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Niemal 550 000 mkw. nowej powierzchni i liczne debiuty marek – rynek handlowy w 2025 roku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Międzynarodowa agencja doradcza Cushman &amp; Wakefield podsumowała sytuację w sektorze nieruchomości handlowych w Polsce. Ubiegły rok przyniósł dobre rezultaty zarówno po stronie podaży, jak i popytu. W ciągu 12 miesięcy na polskim rynku powstało ok. 545 000 mkw. nowej powierzchni, a swoje debiuty zaliczyło aż 31 marek. Wyniki po stronie odwiedzalności i obrotów centrów handlowych, choć notowały miesięczne wahania, również pozostają powodem do zadowolenia dla właścicieli i najemców tego sektora. 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PODAŻ: CZWARTY KWARTAŁ NAJLEPSZY OD BLISKO DEKADY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Dane za czwarty kwartał wskazują, że zasoby powierzchni handlowej zwiększyły się aż o ok. 314 000 mkw. GLA. To najwyższy kwartalny przyrost od 2016 roku, potwierdzający, że deweloperzy nie tracą impetu. Statystyki podaży obejmują obiekty o powierzchni powyżej 5000 mkw. GLA i uwzględniają nowe budynki, ale także rozbudowy i przebudowy.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Cały rok 2025 dostarczył około 545 000 mkw. powierzchni. Struktura nowej podaży była zdominowana przez parki handlowe, które stanowiły aż 75% oddanej powierzchni, kolejne 13% przypadło na magazyny handlowe typu OBI czy Castorama, 8% na centra handlowe, a 4% na outlet wyprzedażowy. W minionym roku doszło również do kilku zamknięć obiektów, w tym m.in. Centrum Handlowego Glinki, Makro w Rybniku czy też Galerii Lubelskiej w Lublinie. W rezultacie z rynku zniknęło w 2025 roku ok. 80 000 mkw. powierzchni handlowej.</w:t>
      </w:r>
      <w:r w:rsidDel="00000000" w:rsidR="00000000" w:rsidRPr="00000000">
        <w:rPr>
          <w:sz w:val="20"/>
          <w:szCs w:val="20"/>
          <w:rtl w:val="0"/>
        </w:rPr>
        <w:t xml:space="preserve"> – komentuje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Ewelina Staruch, Senior Analyst, Cushman &amp; Wakefield.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Największymi obiektami oddanymi do użytku w ostatnim kwartale 2025 roku były: park handlowy S1 Dąbrovia (17 800 mkw.), Agata Meble w Olsztynie (16 000 mkw.), Park handlowy Targowa Lubartów (15 000 mkw.), Park handlowy S1 Tarnowskie Góry (przebudowa po Tesco o powierzchni 15 000 mkw.) oraz centrum handlowe Brama Jury (14 500 mkw.). Jednocześnie blisko 65% nowo oddanej powierzchni trafiło do obiektów o wielkości poniżej 10 000 mkw. Całkowita nowoczesna powierzchnia handlowa w Polsce sięga obecnie ok. 17,26 mln mkw. GLA.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Na koniec czwartego kwartału w budowie pozostawało około 644 000 mkw. GLA powierzchni handlowej i mimo obecności nowych projektów w największych miastach, jedynie co czwarty metr kwadratowy nowej powierzchni powstaje w aglomeracjach liczących ponad 400 tys. mieszkańców. Inwestorzy aktywnie zagospodarowują białe plamy na mapie mniejszych ośrodków.</w:t>
      </w:r>
      <w:r w:rsidDel="00000000" w:rsidR="00000000" w:rsidRPr="00000000">
        <w:rPr>
          <w:sz w:val="20"/>
          <w:szCs w:val="20"/>
          <w:rtl w:val="0"/>
        </w:rPr>
        <w:t xml:space="preserve"> – dodaje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Ewelina Staruch.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Wśród największych projektów będących obecnie w budowie znajdują się: BIG Piła (38 000 mkw.), Brama Bieszczad w Sanoku (21 500 mkw.) oraz Galeria Podhalańska w Nowym Targu (21 500 mkw.). Dodatkowo w Warszawie ruszyła budowa centrum handlowego Plac Wiślany, którego otwarcie zaplanowano na wiosnę 2027 roku.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POPYT: IMPONUJĄCY BILANS ROKU – 31 DEBIUTÓW SIECI HANDLOWYCH W POLSCE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2025 roku swoje pierwsze sklepy stacjonarne w Polsce otworzyło aż 31 nowych marek, co jest podobnym rezultatem do liczby debiutów w roku 2024, kiedy do naszego kraju weszło 29 retailerów. W samym czwartym kwartale zadebiutowało aż 10 najemców: Nikon (aparaty i akcesoria fotograficzne, pierwsza lokalizacja w Złotych Tarasach), Influcenter (sklep z produktami influencerów w Bonarce), Longines (luksusowa marka zegarków, Westfield Mokotów), Boardriders (powrót na rynek, odzież, obuwie i akcesoria, Wola Park), Dan John (luksusowa włoska marka odzieży męskiej, G City Targówek), HeyDude (obuwie, Wola Park), Burgermeister (sieć burgerowni, debiut w Szczecinie), GymBeam (suplementy, zdrowa żywność i akcesoria, Towarowa 7 w Warszawie), Adopt Parfums (marka perfumeryjna, Posnania) oraz Baseus (elektronika, Wola Park).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SPRZEDAŻ DETALICZNA: ROK 2025 POD ZNAKIEM ODBICIA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całym 2025 roku sprzedaż detaliczna w cenach stałych wyraźnie się poprawiła, osiągając najwyższą dynamikę w kwietniu, a następnie utrzymując dodatnie tempo wzrostu w drugiej połowie roku. W okresie styczeń-listopad 2025 roku sprzedaż wzrosła o 4,4% w skali roku. Na podstawie dostępnych danych GUS za IV kwartał obejmujących obecnie dwa miesiące kwartału, październik przyniósł solidny wzrost o 5,4% r/r, jednak w listopadzie dynamika spowolniła do 3,1% r/r.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IV kwartale najwyższe tempo wzrostu odnotowały kategorie kluczowe dla centrów handlowych. Sprzedaż w grupie Meble, RTV, AGD wzrosła w listopadzie o 16,6% r/r, a w kategorii Tekstylia, odzież, obuwie o 12,2% r/r. Jednocześnie listopad odnotował spadki jedynie w dwóch segmentach: Prasa i książki (-5,2% r/r) oraz Żywność, napoje i wyroby tytoniowe (-2,9% r/r). </w:t>
      </w:r>
    </w:p>
    <w:p w:rsidR="00000000" w:rsidDel="00000000" w:rsidP="00000000" w:rsidRDefault="00000000" w:rsidRPr="00000000" w14:paraId="0000000E">
      <w:pPr>
        <w:spacing w:line="228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Dane za grudzień, który jest napędzany zakupami świątecznymi, mogą pozytywnie wpłynąć na podwyższenie dynamiki sprzedaży w IV kwartale. Ponadto warto zwrócić uwagę, że wskaźnik ufności konsumenckiej rośnie, zwłaszcza, jeśli oceniamy Polskę na tle innych krajów europejskich. W grudniowym badaniu Eurostatu wskaźnik dla Polski wyniósł -1,4, podczas gdy średnia dla całej Unii Europejskiej to -13,6. To oznacza, że polscy konsumenci należą do najbardziej optymistycznych w regionie, co może być sygnałem stabilizacji i większej odporności na zewnętrzne wstrząsy gospodarcze</w:t>
      </w:r>
      <w:r w:rsidDel="00000000" w:rsidR="00000000" w:rsidRPr="00000000">
        <w:rPr>
          <w:sz w:val="20"/>
          <w:szCs w:val="20"/>
          <w:rtl w:val="0"/>
        </w:rPr>
        <w:t xml:space="preserve"> – tłumaczy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Ewa Derlatka-Chilewicz, Head of Research, Cushman &amp; Wakefield.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Również dane GUS pokazują, że fundamenty nastrojów konsumenckich są coraz mocniejsze. W grudniu szczególnie pozytywnie oceniano obecną sytuację finansową gospodarstwa domowego, która osiągnęła wartość +30,8. Na rosnącą stabilność wskazują także przewidywania dotyczące przyszłej sytuacji finansowej (+15,1) oraz skłonność do oszczędzania (+14,3). Jedynym obszarem, który nadal pozostaje w cieniu, jest planowanie większych zakupów – wskaźnik ten wyniósł -26,3, co oznacza poprawę o 15,6 punktu procentowego względem tego samego okresu w 2022 roku, kiedy w grudniu wskaźnik ten sięgał poziomu -41,9.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ODWIEDZALNOŚĆ I OBROTY: PAŹDZIERNIK I GRUDZIEŃ NA PLUSIE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Odwiedzalność centrów handlowych w ostatnim kwartale osiąga najwyższe wartości w roku i nie inaczej było w 2025 roku. Październik przyniósł średnio 427 tys. klientów na obiekt, co oznacza niewielki wzrost o 0,4% r/r. W listopadzie ruch spadł do ok. 400 tys. klientów, notując spadek o 3,2% r/r, co było najsłabszym wynikiem kwartału. Z kolei grudzień przyniósł wyraźne odbicie – liczba odwiedzających wzrosła 4,0% r/r do ok. 514 tys., czyniąc go najlepszym miesiącem końcówki roku</w:t>
      </w:r>
      <w:r w:rsidDel="00000000" w:rsidR="00000000" w:rsidRPr="00000000">
        <w:rPr>
          <w:sz w:val="20"/>
          <w:szCs w:val="20"/>
          <w:rtl w:val="0"/>
        </w:rPr>
        <w:t xml:space="preserve">. – tłumaczy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Ewa Derlatka-Chilewicz. 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Analiza wyników sprzedażowych najemców centrów handlowych w czwartym kwartale pokazuje, że październik był lepszy od listopada. W październiku średnie obroty wyniosły ok. 1140 zł/mkw., co oznacza wzrost o 4,2% r/r. W listopadzie odnotowano natomiast spadek do ok. 1120 zł/mkw., czyli o 2,3% r/r mniej niż rok wcześniej. Dane grudniowe nie są jeszcze dostępne.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Analizując poszczególne kategorie najemców można zaobserwować, że obroty w okresie styczeń-listopad 2025 najbardziej wzrosły w usługach (&gt;10%), rozrywce (&gt;7%) oraz gastronomii (&gt;6%). Obroty kategorii zdrowie i uroda, która rok wcześniej odznaczała się jednym z najwyższych poziomów wzrostów, w 2025 roku urosły o prawie 6%. Natomiast spadki obrotów w centrach handlowych wystąpiły w kategoriach żywność oraz dom i elektronika. Jednak przyglądając się dokładniej tej ostatniej kategorii można zauważyć, że spadki dotyczą podkategorii DIY oraz elektroniki, natomiast meble oraz dekoracje domowe odnotowały wzrost.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CZYNSZE W OBIEKTACH PRIME: PARKI HANDLOWE NA FALI WZROSTÓW, 2026 ROK PRZYNIESIE KOLEJNE PODWYŻKI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W 2025 roku czynsze w najlepszych centrach handlowych i na głównych ulicach w Polsce pozostały stabilne, bez zmian w ujęciu kwartalnym, choć w porównaniu z 2024 rokiem wzrosły o około 5–6%. Natomiast w parkach handlowych typu “prime” stawki rosły systematycznie z kwartału na kwartał, osiągając najwyższy wzrost spośród wszystkich trzech formatów handlowych – około 10% w odniesieniu do 2024 roku. Warto podkreślić, że wzrosty te uwzględniają indeksacje o wskaźnik inflacji. W parkach handlowych spoza segmentu “prime” podwyżki czynszów były spowodowane głównie efektem indeksacji</w:t>
      </w:r>
      <w:r w:rsidDel="00000000" w:rsidR="00000000" w:rsidRPr="00000000">
        <w:rPr>
          <w:sz w:val="20"/>
          <w:szCs w:val="20"/>
          <w:rtl w:val="0"/>
        </w:rPr>
        <w:t xml:space="preserve"> – komentuje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Michał Masztakowski, Head of Retail Agency, Cushman &amp; Wakefield. 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 początku 2026 roku indeksacja czynszów ze względu na inflację wyniesie ok. 3,5-4%, podobnie jak w 2025. Dodatkowe podwyżki mogą pojawić się przy renegocjacjach w szczególności flagowych lokali, wspierane wysokim popytem i dobrymi wynikami najemców. W przypadku nowych kontraktów najwyższy potencjał do wzrostu stawek mają obiekty handlowe typu “prime”.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9" w:w="11907" w:orient="portrait"/>
      <w:pgMar w:bottom="2880" w:top="3600" w:left="1224" w:right="1008" w:header="180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Layout w:type="fixed"/>
      <w:tblLook w:val="0400"/>
    </w:tblPr>
    <w:tblGrid>
      <w:gridCol w:w="9000"/>
      <w:tblGridChange w:id="0">
        <w:tblGrid>
          <w:gridCol w:w="9000"/>
        </w:tblGrid>
      </w:tblGridChange>
    </w:tblGrid>
    <w:tr>
      <w:trPr>
        <w:cantSplit w:val="0"/>
        <w:trHeight w:val="63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1C">
          <w:pPr>
            <w:pStyle w:val="Heading2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rtl w:val="0"/>
            </w:rPr>
            <w:t xml:space="preserve">Dodatkowe informacje:</w:t>
          </w:r>
        </w:p>
      </w:tc>
    </w:tr>
    <w:tr>
      <w:trPr>
        <w:cantSplit w:val="0"/>
        <w:trHeight w:val="1260" w:hRule="atLeast"/>
        <w:tblHeader w:val="0"/>
      </w:trPr>
      <w:tc>
        <w:tcPr/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8582.0" w:type="dxa"/>
            <w:jc w:val="left"/>
            <w:tblLayout w:type="fixed"/>
            <w:tblLook w:val="04A0"/>
          </w:tblPr>
          <w:tblGrid>
            <w:gridCol w:w="4244"/>
            <w:gridCol w:w="4102"/>
            <w:gridCol w:w="236"/>
            <w:tblGridChange w:id="0">
              <w:tblGrid>
                <w:gridCol w:w="4244"/>
                <w:gridCol w:w="4102"/>
                <w:gridCol w:w="236"/>
              </w:tblGrid>
            </w:tblGridChange>
          </w:tblGrid>
          <w:tr>
            <w:trPr>
              <w:cantSplit w:val="0"/>
              <w:trHeight w:val="1164" w:hRule="atLeast"/>
              <w:tblHeader w:val="0"/>
            </w:trPr>
            <w:tc>
              <w:tcPr/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tbl>
                <w:tblPr>
                  <w:tblStyle w:val="Table3"/>
                  <w:tblW w:w="12172.0" w:type="dxa"/>
                  <w:jc w:val="left"/>
                  <w:tbl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  <w:insideH w:color="000000" w:space="0" w:sz="0" w:val="nil"/>
                    <w:insideV w:color="000000" w:space="0" w:sz="0" w:val="nil"/>
                  </w:tblBorders>
                  <w:tblLayout w:type="fixed"/>
                  <w:tblLook w:val="0400"/>
                </w:tblPr>
                <w:tblGrid>
                  <w:gridCol w:w="6086"/>
                  <w:gridCol w:w="6086"/>
                  <w:tblGridChange w:id="0">
                    <w:tblGrid>
                      <w:gridCol w:w="6086"/>
                      <w:gridCol w:w="6086"/>
                    </w:tblGrid>
                  </w:tblGridChange>
                </w:tblGrid>
                <w:tr>
                  <w:trPr>
                    <w:cantSplit w:val="0"/>
                    <w:trHeight w:val="738" w:hRule="atLeast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1F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  <w:rtl w:val="0"/>
                        </w:rPr>
                        <w:t xml:space="preserve">Karolina Samczyńska-Fiślak</w:t>
                      </w:r>
                    </w:p>
                    <w:p w:rsidR="00000000" w:rsidDel="00000000" w:rsidP="00000000" w:rsidRDefault="00000000" w:rsidRPr="00000000" w14:paraId="00000020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  <w:rtl w:val="0"/>
                        </w:rPr>
                        <w:t xml:space="preserve">Cushman &amp; Wakefield </w:t>
                      </w:r>
                    </w:p>
                    <w:p w:rsidR="00000000" w:rsidDel="00000000" w:rsidP="00000000" w:rsidRDefault="00000000" w:rsidRPr="00000000" w14:paraId="00000021">
                      <w:pPr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  <w:u w:val="none"/>
                          <w:rtl w:val="0"/>
                        </w:rPr>
                        <w:t xml:space="preserve">Tel: + 48 22 820 20 20; 691 060 202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22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tabs>
                          <w:tab w:val="right" w:leader="none" w:pos="4688"/>
                        </w:tabs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  <w:rtl w:val="0"/>
                        </w:rPr>
                        <w:t xml:space="preserve">e-mail: </w:t>
                      </w:r>
                      <w:hyperlink r:id="rId1">
                        <w:r w:rsidDel="00000000" w:rsidR="00000000" w:rsidRPr="00000000">
                          <w:rPr>
                            <w:rFonts w:ascii="Calibri" w:cs="Calibri" w:eastAsia="Calibri" w:hAnsi="Calibri"/>
                            <w:b w:val="1"/>
                            <w:bCs w:val="1"/>
                            <w:i w:val="0"/>
                            <w:iCs w:val="0"/>
                            <w:smallCaps w:val="0"/>
                            <w:strike w:val="0"/>
                            <w:color w:val="4472c4"/>
                            <w:sz w:val="18"/>
                            <w:szCs w:val="18"/>
                            <w:u w:val="single"/>
                            <w:shd w:fill="auto" w:val="clear"/>
                            <w:vertAlign w:val="baseline"/>
                            <w:rtl w:val="0"/>
                          </w:rPr>
                          <w:t xml:space="preserve">karolina.samczynska@cushwake.pl</w:t>
                        </w:r>
                      </w:hyperlink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3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  <w:rtl w:val="0"/>
                        </w:rPr>
                        <w:t xml:space="preserve">Magdalena Znyk-Ossowska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24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  <w:rtl w:val="0"/>
                        </w:rPr>
                        <w:t xml:space="preserve">Linkleaders</w:t>
                      </w:r>
                    </w:p>
                    <w:p w:rsidR="00000000" w:rsidDel="00000000" w:rsidP="00000000" w:rsidRDefault="00000000" w:rsidRPr="00000000" w14:paraId="00000025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  <w:rtl w:val="0"/>
                        </w:rPr>
                        <w:t xml:space="preserve">Tel: +48 502 556 846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26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27">
                      <w:pPr>
                        <w:keepNext w:val="0"/>
                        <w:keepLines w:val="0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  <w:color w:val="000000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  <w:rtl w:val="0"/>
                        </w:rPr>
                        <w:t xml:space="preserve">e-mail: </w:t>
                      </w:r>
                      <w:r w:rsidDel="00000000" w:rsidR="00000000" w:rsidRPr="00000000">
                        <w:rPr>
                          <w:rFonts w:ascii="Calibri" w:cs="Calibri" w:eastAsia="Calibri" w:hAnsi="Calibri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  <w:color w:val="008b98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  <w:rtl w:val="0"/>
                        </w:rPr>
                        <w:t xml:space="preserve">Magdalena.ossowska@linkleaders.pl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28">
                      <w:pPr>
                        <w:keepNext w:val="1"/>
                        <w:keepLines w:val="1"/>
                        <w:pageBreakBefore w:val="0"/>
                        <w:widowControl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1"/>
                          <w:bCs w:val="1"/>
                          <w:i w:val="0"/>
                          <w:iCs w:val="0"/>
                          <w:smallCaps w:val="0"/>
                          <w:strike w:val="0"/>
                          <w:color w:val="696b6b"/>
                          <w:sz w:val="18"/>
                          <w:szCs w:val="18"/>
                          <w:u w:val="none"/>
                          <w:shd w:fill="auto" w:val="clear"/>
                          <w:vertAlign w:val="baseline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0"/>
                    <w:bCs w:val="0"/>
                    <w:i w:val="0"/>
                    <w:iCs w:val="0"/>
                    <w:smallCaps w:val="0"/>
                    <w:strike w:val="0"/>
                    <w:color w:val="696b6b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4"/>
      <w:tblW w:w="9000.0" w:type="dxa"/>
      <w:jc w:val="left"/>
      <w:tblLayout w:type="fixed"/>
      <w:tblLook w:val="0400"/>
    </w:tblPr>
    <w:tblGrid>
      <w:gridCol w:w="5670"/>
      <w:gridCol w:w="3330"/>
      <w:tblGridChange w:id="0">
        <w:tblGrid>
          <w:gridCol w:w="5670"/>
          <w:gridCol w:w="3330"/>
        </w:tblGrid>
      </w:tblGridChange>
    </w:tblGrid>
    <w:tr>
      <w:trPr>
        <w:cantSplit w:val="0"/>
        <w:trHeight w:val="63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30">
          <w:pPr>
            <w:pStyle w:val="Heading2"/>
            <w:rPr>
              <w:rFonts w:ascii="Arial" w:cs="Arial" w:eastAsia="Arial" w:hAnsi="Arial"/>
              <w:color w:val="696b6b"/>
            </w:rPr>
          </w:pPr>
          <w:r w:rsidDel="00000000" w:rsidR="00000000" w:rsidRPr="00000000">
            <w:rPr>
              <w:rFonts w:ascii="Arial" w:cs="Arial" w:eastAsia="Arial" w:hAnsi="Arial"/>
              <w:color w:val="696b6b"/>
              <w:rtl w:val="0"/>
            </w:rPr>
            <w:t xml:space="preserve">Media Contact:</w:t>
          </w:r>
        </w:p>
      </w:tc>
      <w:tc>
        <w:tcPr>
          <w:vAlign w:val="bottom"/>
        </w:tcPr>
        <w:p w:rsidR="00000000" w:rsidDel="00000000" w:rsidP="00000000" w:rsidRDefault="00000000" w:rsidRPr="00000000" w14:paraId="00000031">
          <w:pPr>
            <w:spacing w:after="100" w:line="240" w:lineRule="auto"/>
            <w:rPr>
              <w:b w:val="1"/>
              <w:bCs w:val="1"/>
              <w:color w:val="696b6b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26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32">
          <w:pPr>
            <w:keepNext w:val="1"/>
            <w:keepLines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b w:val="1"/>
              <w:bCs w:val="1"/>
              <w:color w:val="696b6b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color w:val="696b6b"/>
              <w:sz w:val="18"/>
              <w:szCs w:val="18"/>
              <w:rtl w:val="0"/>
            </w:rPr>
            <w:t xml:space="preserve">Name</w:t>
          </w:r>
        </w:p>
        <w:p w:rsidR="00000000" w:rsidDel="00000000" w:rsidP="00000000" w:rsidRDefault="00000000" w:rsidRPr="00000000" w14:paraId="0000003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Title</w:t>
          </w:r>
        </w:p>
        <w:p w:rsidR="00000000" w:rsidDel="00000000" w:rsidP="00000000" w:rsidRDefault="00000000" w:rsidRPr="00000000" w14:paraId="0000003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+1 000 000 0000</w:t>
          </w:r>
        </w:p>
        <w:p w:rsidR="00000000" w:rsidDel="00000000" w:rsidP="00000000" w:rsidRDefault="00000000" w:rsidRPr="00000000" w14:paraId="0000003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hyperlink r:id="rId1">
            <w:r w:rsidDel="00000000" w:rsidR="00000000" w:rsidRPr="00000000">
              <w:rPr>
                <w:color w:val="4472c4"/>
                <w:sz w:val="18"/>
                <w:szCs w:val="18"/>
                <w:u w:val="single"/>
                <w:rtl w:val="0"/>
              </w:rPr>
              <w:t xml:space="preserve">first.last@cushwake.com</w:t>
            </w:r>
          </w:hyperlink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 </w:t>
          </w:r>
        </w:p>
      </w:tc>
      <w:tc>
        <w:tcPr>
          <w:vAlign w:val="bottom"/>
        </w:tcPr>
        <w:p w:rsidR="00000000" w:rsidDel="00000000" w:rsidP="00000000" w:rsidRDefault="00000000" w:rsidRPr="00000000" w14:paraId="0000003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43134</wp:posOffset>
          </wp:positionH>
          <wp:positionV relativeFrom="paragraph">
            <wp:posOffset>-154973</wp:posOffset>
          </wp:positionV>
          <wp:extent cx="1933575" cy="40767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3813</wp:posOffset>
          </wp:positionH>
          <wp:positionV relativeFrom="paragraph">
            <wp:posOffset>-201292</wp:posOffset>
          </wp:positionV>
          <wp:extent cx="1933575" cy="407670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00" w:lineRule="auto"/>
    </w:pPr>
    <w:rPr>
      <w:rFonts w:ascii="Calibri" w:cs="Calibri" w:eastAsia="Calibri" w:hAnsi="Calibri"/>
      <w:b w:val="1"/>
      <w:bCs w:val="1"/>
      <w:smallCaps w:val="1"/>
      <w:color w:val="008b98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2Znak" w:customStyle="1">
    <w:name w:val="Nagłówek 2 Znak"/>
    <w:basedOn w:val="Domylnaczcionkaakapitu"/>
    <w:link w:val="Nagwek2"/>
    <w:uiPriority w:val="9"/>
    <w:rsid w:val="00D84A2D"/>
    <w:rPr>
      <w:rFonts w:ascii="Calibri" w:cs="Calibri" w:eastAsia="Calibri" w:hAnsi="Calibri"/>
      <w:b w:val="1"/>
      <w:smallCaps w:val="1"/>
      <w:color w:val="008b98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84A2D"/>
    <w:rPr>
      <w:rFonts w:ascii="Arial" w:cs="Arial" w:eastAsia="Arial" w:hAnsi="Arial"/>
      <w:lang w:eastAsia="pl-PL"/>
    </w:rPr>
  </w:style>
  <w:style w:type="character" w:styleId="Hipercze">
    <w:name w:val="Hyperlink"/>
    <w:basedOn w:val="Domylnaczcionkaakapitu"/>
    <w:unhideWhenUsed w:val="1"/>
    <w:qFormat w:val="1"/>
    <w:rsid w:val="00D84A2D"/>
    <w:rPr>
      <w:color w:val="4472c4" w:themeColor="accent1"/>
      <w:u w:val="single"/>
    </w:rPr>
  </w:style>
  <w:style w:type="table" w:styleId="Tabela-Siatka">
    <w:name w:val="Table Grid"/>
    <w:basedOn w:val="Standardowy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ntactName" w:customStyle="1">
    <w:name w:val="ContactName"/>
    <w:basedOn w:val="Nagwek3"/>
    <w:qFormat w:val="1"/>
    <w:rsid w:val="00D84A2D"/>
    <w:pPr>
      <w:spacing w:before="0" w:line="216" w:lineRule="atLeast"/>
    </w:pPr>
    <w:rPr>
      <w:rFonts w:ascii="Calibri" w:cs="Times New Roman" w:eastAsia="Times New Roman" w:hAnsi="Calibri"/>
      <w:b w:val="1"/>
      <w:bCs w:val="1"/>
      <w:color w:val="008b98"/>
      <w:sz w:val="18"/>
      <w:lang w:eastAsia="en-GB" w:val="en-GB"/>
    </w:rPr>
  </w:style>
  <w:style w:type="paragraph" w:styleId="ContactDetail" w:customStyle="1">
    <w:name w:val="ContactDetail"/>
    <w:basedOn w:val="Normalny"/>
    <w:rsid w:val="00D84A2D"/>
    <w:pPr>
      <w:spacing w:after="0" w:line="216" w:lineRule="atLeast"/>
    </w:pPr>
    <w:rPr>
      <w:rFonts w:ascii="Calibri" w:cs="Times New Roman" w:eastAsia="Times New Roman" w:hAnsi="Calibri"/>
      <w:color w:val="000000"/>
      <w:sz w:val="18"/>
      <w:szCs w:val="24"/>
      <w:lang w:eastAsia="en-GB" w:val="en-GB"/>
    </w:rPr>
  </w:style>
  <w:style w:type="character" w:styleId="Brak" w:customStyle="1">
    <w:name w:val="Brak"/>
    <w:rsid w:val="00D84A2D"/>
  </w:style>
  <w:style w:type="character" w:styleId="Hyperlink0" w:customStyle="1">
    <w:name w:val="Hyperlink.0"/>
    <w:basedOn w:val="Brak"/>
    <w:rsid w:val="00D84A2D"/>
  </w:style>
  <w:style w:type="table" w:styleId="PlainTable41" w:customStyle="1">
    <w:name w:val="Plain Table 41"/>
    <w:basedOn w:val="Standardowy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Zwykytekst">
    <w:name w:val="Plain Text"/>
    <w:basedOn w:val="Normalny"/>
    <w:link w:val="ZwykytekstZnak"/>
    <w:uiPriority w:val="99"/>
    <w:unhideWhenUsed w:val="1"/>
    <w:rsid w:val="00D84A2D"/>
    <w:pPr>
      <w:spacing w:after="0" w:line="240" w:lineRule="auto"/>
    </w:pPr>
    <w:rPr>
      <w:rFonts w:ascii="Calibri" w:cs="Consolas" w:eastAsia="Times New Roman" w:hAnsi="Calibri"/>
      <w:szCs w:val="21"/>
    </w:rPr>
  </w:style>
  <w:style w:type="character" w:styleId="ZwykytekstZnak" w:customStyle="1">
    <w:name w:val="Zwykły tekst Znak"/>
    <w:basedOn w:val="Domylnaczcionkaakapitu"/>
    <w:link w:val="Zwykytekst"/>
    <w:uiPriority w:val="99"/>
    <w:rsid w:val="00D84A2D"/>
    <w:rPr>
      <w:rFonts w:ascii="Calibri" w:cs="Consolas" w:eastAsia="Times New Roman" w:hAnsi="Calibri"/>
      <w:szCs w:val="21"/>
      <w:lang w:eastAsia="pl-PL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D84A2D"/>
    <w:rPr>
      <w:rFonts w:asciiTheme="majorHAnsi" w:cstheme="majorBidi" w:eastAsiaTheme="majorEastAsia" w:hAnsiTheme="majorHAnsi"/>
      <w:color w:val="1f3763" w:themeColor="accent1" w:themeShade="0000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CB2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CB2FB2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CB2FB2"/>
    <w:rPr>
      <w:rFonts w:ascii="Arial" w:cs="Arial" w:eastAsia="Arial" w:hAnsi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CB2FB2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CB2FB2"/>
    <w:rPr>
      <w:rFonts w:ascii="Arial" w:cs="Arial" w:eastAsia="Arial" w:hAnsi="Arial"/>
      <w:b w:val="1"/>
      <w:bCs w:val="1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CB2FB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CB2FB2"/>
    <w:rPr>
      <w:rFonts w:ascii="Segoe UI" w:cs="Segoe UI" w:eastAsia="Arial" w:hAnsi="Segoe UI"/>
      <w:sz w:val="18"/>
      <w:szCs w:val="18"/>
      <w:lang w:eastAsia="pl-PL"/>
    </w:rPr>
  </w:style>
  <w:style w:type="paragraph" w:styleId="Poprawka">
    <w:name w:val="Revision"/>
    <w:hidden w:val="1"/>
    <w:uiPriority w:val="99"/>
    <w:semiHidden w:val="1"/>
    <w:rsid w:val="005323BE"/>
    <w:pPr>
      <w:spacing w:after="0" w:line="240" w:lineRule="auto"/>
    </w:pPr>
    <w:rPr>
      <w:rFonts w:ascii="Arial" w:cs="Arial" w:eastAsia="Arial" w:hAnsi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976C9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976C95"/>
    <w:rPr>
      <w:rFonts w:ascii="Arial" w:cs="Arial" w:eastAsia="Arial" w:hAnsi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976C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 w:val="1"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77D91"/>
    <w:rPr>
      <w:rFonts w:ascii="Arial" w:cs="Arial" w:eastAsia="Arial" w:hAnsi="Arial"/>
      <w:lang w:eastAsia="pl-PL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B77D91"/>
    <w:rPr>
      <w:color w:val="605e5c"/>
      <w:shd w:color="auto" w:fill="e1dfdd" w:val="clear"/>
    </w:rPr>
  </w:style>
  <w:style w:type="character" w:styleId="Nierozpoznanawzmianka2" w:customStyle="1">
    <w:name w:val="Nierozpoznana wzmianka2"/>
    <w:basedOn w:val="Domylnaczcionkaakapitu"/>
    <w:uiPriority w:val="99"/>
    <w:semiHidden w:val="1"/>
    <w:unhideWhenUsed w:val="1"/>
    <w:rsid w:val="006B635B"/>
    <w:rPr>
      <w:color w:val="605e5c"/>
      <w:shd w:color="auto" w:fill="e1dfdd" w:val="clear"/>
    </w:rPr>
  </w:style>
  <w:style w:type="paragraph" w:styleId="western" w:customStyle="1">
    <w:name w:val="western"/>
    <w:basedOn w:val="Normalny"/>
    <w:rsid w:val="00FE3132"/>
    <w:pPr>
      <w:spacing w:after="100" w:afterAutospacing="1" w:before="100" w:beforeAutospacing="1" w:line="240" w:lineRule="auto"/>
    </w:pPr>
    <w:rPr>
      <w:rFonts w:ascii="Calibri" w:cs="Calibri" w:hAnsi="Calibri" w:eastAsiaTheme="minorHAnsi"/>
    </w:rPr>
  </w:style>
  <w:style w:type="character" w:styleId="Pogrubienie">
    <w:name w:val="Strong"/>
    <w:basedOn w:val="Domylnaczcionkaakapitu"/>
    <w:uiPriority w:val="22"/>
    <w:qFormat w:val="1"/>
    <w:rsid w:val="00FE3132"/>
    <w:rPr>
      <w:b w:val="1"/>
      <w:bCs w:val="1"/>
    </w:rPr>
  </w:style>
  <w:style w:type="character" w:styleId="Nagwek1Znak" w:customStyle="1">
    <w:name w:val="Nagłówek 1 Znak"/>
    <w:basedOn w:val="Domylnaczcionkaakapitu"/>
    <w:link w:val="Nagwek1"/>
    <w:uiPriority w:val="9"/>
    <w:rsid w:val="00FE3132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 w:val="1"/>
    <w:rsid w:val="00E909E6"/>
    <w:rPr>
      <w:i w:val="1"/>
      <w:iCs w:val="1"/>
    </w:rPr>
  </w:style>
  <w:style w:type="character" w:styleId="cf01" w:customStyle="1">
    <w:name w:val="cf01"/>
    <w:basedOn w:val="Domylnaczcionkaakapitu"/>
    <w:rsid w:val="00167436"/>
    <w:rPr>
      <w:rFonts w:ascii="Segoe UI" w:cs="Segoe UI" w:hAnsi="Segoe UI" w:hint="default"/>
      <w:sz w:val="18"/>
      <w:szCs w:val="18"/>
    </w:rPr>
  </w:style>
  <w:style w:type="character" w:styleId="apple-converted-space" w:customStyle="1">
    <w:name w:val="apple-converted-space"/>
    <w:basedOn w:val="Domylnaczcionkaakapitu"/>
    <w:rsid w:val="00775E16"/>
  </w:style>
  <w:style w:type="paragraph" w:styleId="Akapitzlist">
    <w:name w:val="List Paragraph"/>
    <w:basedOn w:val="Normalny"/>
    <w:uiPriority w:val="34"/>
    <w:qFormat w:val="1"/>
    <w:rsid w:val="00AF11EE"/>
    <w:pPr>
      <w:spacing w:after="0" w:line="240" w:lineRule="auto"/>
      <w:ind w:left="720"/>
    </w:pPr>
    <w:rPr>
      <w:rFonts w:ascii="Calibri" w:cs="Calibri" w:hAnsi="Calibri" w:eastAsiaTheme="minorHAnsi"/>
      <w:lang w:eastAsia="en-GB" w:val="en-GB"/>
    </w:rPr>
  </w:style>
  <w:style w:type="paragraph" w:styleId="NormalnyWeb">
    <w:name w:val="Normal (Web)"/>
    <w:basedOn w:val="Normalny"/>
    <w:uiPriority w:val="99"/>
    <w:unhideWhenUsed w:val="1"/>
    <w:rsid w:val="00AF11E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US" w:val="en-US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AF11EE"/>
    <w:pPr>
      <w:spacing w:after="0" w:line="240" w:lineRule="auto"/>
    </w:pPr>
    <w:rPr>
      <w:rFonts w:asciiTheme="minorHAnsi" w:cstheme="minorBidi" w:eastAsiaTheme="minorHAnsi" w:hAnsiTheme="minorHAnsi"/>
      <w:sz w:val="20"/>
      <w:szCs w:val="20"/>
      <w:lang w:eastAsia="en-US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AF1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AF11EE"/>
    <w:rPr>
      <w:vertAlign w:val="superscript"/>
    </w:rPr>
  </w:style>
  <w:style w:type="character" w:styleId="normaltextrun" w:customStyle="1">
    <w:name w:val="normaltextrun"/>
    <w:basedOn w:val="Domylnaczcionkaakapitu"/>
    <w:rsid w:val="00C0604F"/>
  </w:style>
  <w:style w:type="character" w:styleId="eop" w:customStyle="1">
    <w:name w:val="eop"/>
    <w:basedOn w:val="Domylnaczcionkaakapitu"/>
    <w:rsid w:val="00C0604F"/>
  </w:style>
  <w:style w:type="paragraph" w:styleId="pf0" w:customStyle="1">
    <w:name w:val="pf0"/>
    <w:basedOn w:val="Normalny"/>
    <w:rsid w:val="00A12B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UnresolvedMention1" w:customStyle="1">
    <w:name w:val="Unresolved Mention1"/>
    <w:basedOn w:val="Domylnaczcionkaakapitu"/>
    <w:uiPriority w:val="99"/>
    <w:semiHidden w:val="1"/>
    <w:unhideWhenUsed w:val="1"/>
    <w:rsid w:val="006C62BD"/>
    <w:rPr>
      <w:color w:val="605e5c"/>
      <w:shd w:color="auto" w:fill="e1dfdd" w:val="clear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B70FF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7E6E1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karolina.samczynska@cushwake.pl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pZiCkqP7ALYWutL0FmLmws3e4g==">CgMxLjA4AHIhMXVrcGp3VDAySDhIdXlTbTZvTEwwODh3Sjl1dzlzX3Ex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2026-01-19T10:18:00Z</dcterms:created>
  <dc:creator>Natalia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0x010100EC618526F10DA64CBE3916EAA4716759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docLang">
    <vt:lpwstr>pl</vt:lpwstr>
  </property>
</Properties>
</file>