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30B92" w14:textId="24399238" w:rsidR="005519F2" w:rsidRPr="002670B8" w:rsidRDefault="005519F2" w:rsidP="005519F2">
      <w:pPr>
        <w:pStyle w:val="NoSpacing"/>
        <w:jc w:val="center"/>
        <w:rPr>
          <w:rFonts w:ascii="Arial" w:hAnsi="Arial" w:cs="Arial"/>
          <w:b/>
          <w:bCs/>
          <w:sz w:val="32"/>
          <w:szCs w:val="32"/>
          <w:lang w:val="es-ES"/>
        </w:rPr>
      </w:pPr>
      <w:r w:rsidRPr="002670B8">
        <w:rPr>
          <w:rFonts w:ascii="Arial" w:hAnsi="Arial" w:cs="Arial"/>
          <w:b/>
          <w:bCs/>
          <w:sz w:val="32"/>
          <w:szCs w:val="32"/>
          <w:lang w:val="es-ES"/>
        </w:rPr>
        <w:t>TD SYNNEX lanza el roadshow Destination AI 2026 para impulsar la adopción de</w:t>
      </w:r>
      <w:r w:rsidR="00D510FC">
        <w:rPr>
          <w:rFonts w:ascii="Arial" w:hAnsi="Arial" w:cs="Arial"/>
          <w:b/>
          <w:bCs/>
          <w:sz w:val="32"/>
          <w:szCs w:val="32"/>
          <w:lang w:val="es-ES"/>
        </w:rPr>
        <w:t xml:space="preserve"> la</w:t>
      </w:r>
      <w:r w:rsidRPr="002670B8">
        <w:rPr>
          <w:rFonts w:ascii="Arial" w:hAnsi="Arial" w:cs="Arial"/>
          <w:b/>
          <w:bCs/>
          <w:sz w:val="32"/>
          <w:szCs w:val="32"/>
          <w:lang w:val="es-ES"/>
        </w:rPr>
        <w:t xml:space="preserve"> IA en el canal</w:t>
      </w:r>
    </w:p>
    <w:p w14:paraId="03BAD8FD" w14:textId="77777777" w:rsidR="005519F2" w:rsidRPr="002670B8" w:rsidRDefault="005519F2" w:rsidP="0098009A">
      <w:pPr>
        <w:pStyle w:val="NoSpacing"/>
        <w:jc w:val="center"/>
        <w:rPr>
          <w:rFonts w:ascii="Arial" w:eastAsia="inter" w:hAnsi="Arial" w:cs="Arial"/>
          <w:b/>
          <w:bCs/>
          <w:color w:val="000000"/>
          <w:sz w:val="32"/>
          <w:szCs w:val="32"/>
          <w:lang w:val="es-ES"/>
        </w:rPr>
      </w:pPr>
    </w:p>
    <w:p w14:paraId="14817459" w14:textId="36CA643F" w:rsidR="005519F2" w:rsidRPr="002670B8" w:rsidRDefault="005519F2" w:rsidP="005519F2">
      <w:pPr>
        <w:pStyle w:val="NoSpacing"/>
        <w:numPr>
          <w:ilvl w:val="0"/>
          <w:numId w:val="14"/>
        </w:numPr>
        <w:jc w:val="both"/>
        <w:rPr>
          <w:rFonts w:ascii="Arial" w:hAnsi="Arial" w:cs="Arial"/>
          <w:i/>
          <w:iCs/>
          <w:sz w:val="22"/>
          <w:szCs w:val="22"/>
          <w:lang w:val="es-ES"/>
        </w:rPr>
      </w:pPr>
      <w:r w:rsidRPr="002670B8">
        <w:rPr>
          <w:rFonts w:ascii="Arial" w:hAnsi="Arial" w:cs="Arial"/>
          <w:i/>
          <w:iCs/>
          <w:sz w:val="22"/>
          <w:szCs w:val="22"/>
          <w:lang w:val="es-ES"/>
        </w:rPr>
        <w:t>Comenza</w:t>
      </w:r>
      <w:r w:rsidR="009642E0">
        <w:rPr>
          <w:rFonts w:ascii="Arial" w:hAnsi="Arial" w:cs="Arial"/>
          <w:i/>
          <w:iCs/>
          <w:sz w:val="22"/>
          <w:szCs w:val="22"/>
          <w:lang w:val="es-ES"/>
        </w:rPr>
        <w:t>n</w:t>
      </w:r>
      <w:r w:rsidRPr="002670B8">
        <w:rPr>
          <w:rFonts w:ascii="Arial" w:hAnsi="Arial" w:cs="Arial"/>
          <w:i/>
          <w:iCs/>
          <w:sz w:val="22"/>
          <w:szCs w:val="22"/>
          <w:lang w:val="es-ES"/>
        </w:rPr>
        <w:t xml:space="preserve">do en </w:t>
      </w:r>
      <w:r w:rsidR="009642E0">
        <w:rPr>
          <w:rFonts w:ascii="Arial" w:hAnsi="Arial" w:cs="Arial"/>
          <w:i/>
          <w:iCs/>
          <w:sz w:val="22"/>
          <w:szCs w:val="22"/>
          <w:lang w:val="es-ES"/>
        </w:rPr>
        <w:t>Barcelona</w:t>
      </w:r>
      <w:r w:rsidRPr="002670B8">
        <w:rPr>
          <w:rFonts w:ascii="Arial" w:hAnsi="Arial" w:cs="Arial"/>
          <w:i/>
          <w:iCs/>
          <w:sz w:val="22"/>
          <w:szCs w:val="22"/>
          <w:lang w:val="es-ES"/>
        </w:rPr>
        <w:t xml:space="preserve">, el tour </w:t>
      </w:r>
      <w:r w:rsidRPr="00F22C43">
        <w:rPr>
          <w:rFonts w:ascii="Arial" w:hAnsi="Arial" w:cs="Arial"/>
          <w:i/>
          <w:iCs/>
          <w:color w:val="000000" w:themeColor="text1"/>
          <w:sz w:val="22"/>
          <w:szCs w:val="22"/>
          <w:lang w:val="es-ES"/>
        </w:rPr>
        <w:t xml:space="preserve">recorrerá </w:t>
      </w:r>
      <w:r w:rsidR="005C5360">
        <w:rPr>
          <w:rFonts w:ascii="Arial" w:hAnsi="Arial" w:cs="Arial"/>
          <w:i/>
          <w:iCs/>
          <w:color w:val="000000" w:themeColor="text1"/>
          <w:sz w:val="22"/>
          <w:szCs w:val="22"/>
          <w:lang w:val="es-ES"/>
        </w:rPr>
        <w:t>ocho</w:t>
      </w:r>
      <w:r w:rsidR="00F22C43" w:rsidRPr="00F22C43">
        <w:rPr>
          <w:rFonts w:ascii="Arial" w:hAnsi="Arial" w:cs="Arial"/>
          <w:i/>
          <w:iCs/>
          <w:color w:val="000000" w:themeColor="text1"/>
          <w:sz w:val="22"/>
          <w:szCs w:val="22"/>
          <w:lang w:val="es-ES"/>
        </w:rPr>
        <w:t xml:space="preserve"> </w:t>
      </w:r>
      <w:r w:rsidRPr="00F22C43">
        <w:rPr>
          <w:rFonts w:ascii="Arial" w:hAnsi="Arial" w:cs="Arial"/>
          <w:i/>
          <w:iCs/>
          <w:color w:val="000000" w:themeColor="text1"/>
          <w:sz w:val="22"/>
          <w:szCs w:val="22"/>
          <w:lang w:val="es-ES"/>
        </w:rPr>
        <w:t xml:space="preserve">ciudades </w:t>
      </w:r>
      <w:r w:rsidRPr="002670B8">
        <w:rPr>
          <w:rFonts w:ascii="Arial" w:hAnsi="Arial" w:cs="Arial"/>
          <w:i/>
          <w:iCs/>
          <w:sz w:val="22"/>
          <w:szCs w:val="22"/>
          <w:lang w:val="es-ES"/>
        </w:rPr>
        <w:t>españolas y portuguesas entre enero y noviembre de 2026, acercando el conocimiento práctico sobre inteligencia artificial a los partners.</w:t>
      </w:r>
    </w:p>
    <w:p w14:paraId="6E11F3C6" w14:textId="77777777" w:rsidR="005519F2" w:rsidRPr="002670B8" w:rsidRDefault="005519F2" w:rsidP="005519F2">
      <w:pPr>
        <w:pStyle w:val="NoSpacing"/>
        <w:ind w:left="720"/>
        <w:jc w:val="both"/>
        <w:rPr>
          <w:rFonts w:ascii="Arial" w:hAnsi="Arial" w:cs="Arial"/>
          <w:i/>
          <w:iCs/>
          <w:sz w:val="22"/>
          <w:szCs w:val="22"/>
          <w:lang w:val="es-ES"/>
        </w:rPr>
      </w:pPr>
    </w:p>
    <w:p w14:paraId="45593D65" w14:textId="7C1552A8" w:rsidR="005519F2" w:rsidRPr="002670B8" w:rsidRDefault="005519F2" w:rsidP="005519F2">
      <w:pPr>
        <w:pStyle w:val="NoSpacing"/>
        <w:numPr>
          <w:ilvl w:val="0"/>
          <w:numId w:val="14"/>
        </w:numPr>
        <w:jc w:val="both"/>
        <w:rPr>
          <w:rFonts w:ascii="Arial" w:hAnsi="Arial" w:cs="Arial"/>
          <w:i/>
          <w:iCs/>
          <w:sz w:val="22"/>
          <w:szCs w:val="22"/>
          <w:lang w:val="es-ES"/>
        </w:rPr>
      </w:pPr>
      <w:r w:rsidRPr="002670B8">
        <w:rPr>
          <w:rFonts w:ascii="Arial" w:hAnsi="Arial" w:cs="Arial"/>
          <w:i/>
          <w:iCs/>
          <w:sz w:val="22"/>
          <w:szCs w:val="22"/>
          <w:lang w:val="es-ES"/>
        </w:rPr>
        <w:t>La iniciativa integra el marco AI Game Plan, que ayuda a los partners a transformar las oportunidades de IA en resultados tangibles de negocio mediante talleres interactivos.</w:t>
      </w:r>
    </w:p>
    <w:p w14:paraId="444C428E" w14:textId="77777777" w:rsidR="005519F2" w:rsidRPr="002670B8" w:rsidRDefault="005519F2" w:rsidP="005519F2">
      <w:pPr>
        <w:pStyle w:val="NoSpacing"/>
        <w:ind w:left="720"/>
        <w:jc w:val="both"/>
        <w:rPr>
          <w:rFonts w:ascii="Arial" w:hAnsi="Arial" w:cs="Arial"/>
          <w:i/>
          <w:iCs/>
          <w:sz w:val="22"/>
          <w:szCs w:val="22"/>
          <w:lang w:val="es-ES"/>
        </w:rPr>
      </w:pPr>
    </w:p>
    <w:p w14:paraId="0B9514FA" w14:textId="41C1D66F" w:rsidR="005519F2" w:rsidRPr="002670B8" w:rsidRDefault="005519F2" w:rsidP="005519F2">
      <w:pPr>
        <w:pStyle w:val="NoSpacing"/>
        <w:numPr>
          <w:ilvl w:val="0"/>
          <w:numId w:val="14"/>
        </w:numPr>
        <w:jc w:val="both"/>
        <w:rPr>
          <w:rFonts w:ascii="Arial" w:hAnsi="Arial" w:cs="Arial"/>
          <w:i/>
          <w:iCs/>
          <w:sz w:val="22"/>
          <w:szCs w:val="22"/>
          <w:lang w:val="es-ES"/>
        </w:rPr>
      </w:pPr>
      <w:r w:rsidRPr="002670B8">
        <w:rPr>
          <w:rFonts w:ascii="Arial" w:hAnsi="Arial" w:cs="Arial"/>
          <w:i/>
          <w:iCs/>
          <w:sz w:val="22"/>
          <w:szCs w:val="22"/>
          <w:lang w:val="es-ES"/>
        </w:rPr>
        <w:t>Cada evento incluirá tendencias reales de IA, keynotes con expertos, casos prácticos y networking de alto valor para fortalecer el ecosistema del canal.</w:t>
      </w:r>
    </w:p>
    <w:p w14:paraId="6D8BD4B3" w14:textId="77777777" w:rsidR="00A755DA" w:rsidRPr="002670B8" w:rsidRDefault="00A755DA" w:rsidP="008C4129">
      <w:pPr>
        <w:pStyle w:val="NoSpacing"/>
        <w:jc w:val="center"/>
        <w:rPr>
          <w:rFonts w:ascii="Arial" w:eastAsia="inter" w:hAnsi="Arial" w:cs="Arial"/>
          <w:i/>
          <w:iCs/>
          <w:color w:val="000000"/>
          <w:lang w:val="es-ES"/>
        </w:rPr>
      </w:pPr>
    </w:p>
    <w:p w14:paraId="2A8E81FF" w14:textId="100BB695" w:rsidR="00EB2E24" w:rsidRPr="002670B8" w:rsidRDefault="004F14BE" w:rsidP="00EB2E24">
      <w:pPr>
        <w:pStyle w:val="NoSpacing"/>
        <w:spacing w:line="276" w:lineRule="auto"/>
        <w:jc w:val="both"/>
        <w:rPr>
          <w:rFonts w:ascii="Arial" w:hAnsi="Arial" w:cs="Arial"/>
          <w:sz w:val="20"/>
          <w:szCs w:val="20"/>
          <w:lang w:val="es-ES"/>
        </w:rPr>
      </w:pPr>
      <w:r w:rsidRPr="002670B8">
        <w:rPr>
          <w:rFonts w:ascii="Arial" w:eastAsia="Arial" w:hAnsi="Arial" w:cs="Arial"/>
          <w:b/>
          <w:bCs/>
          <w:color w:val="000000" w:themeColor="text1"/>
          <w:sz w:val="20"/>
          <w:szCs w:val="20"/>
          <w:lang w:val="es-ES"/>
        </w:rPr>
        <w:t xml:space="preserve">Madrid, </w:t>
      </w:r>
      <w:r w:rsidR="00A50F2E" w:rsidRPr="002670B8">
        <w:rPr>
          <w:rFonts w:ascii="Arial" w:eastAsia="Arial" w:hAnsi="Arial" w:cs="Arial"/>
          <w:b/>
          <w:bCs/>
          <w:color w:val="000000" w:themeColor="text1"/>
          <w:sz w:val="20"/>
          <w:szCs w:val="20"/>
          <w:lang w:val="es-ES"/>
        </w:rPr>
        <w:t>19</w:t>
      </w:r>
      <w:r w:rsidRPr="002670B8">
        <w:rPr>
          <w:rFonts w:ascii="Arial" w:eastAsia="Arial" w:hAnsi="Arial" w:cs="Arial"/>
          <w:b/>
          <w:bCs/>
          <w:color w:val="000000" w:themeColor="text1"/>
          <w:sz w:val="20"/>
          <w:szCs w:val="20"/>
          <w:lang w:val="es-ES"/>
        </w:rPr>
        <w:t xml:space="preserve"> de enero de 2026. – </w:t>
      </w:r>
      <w:hyperlink r:id="rId10">
        <w:r w:rsidRPr="002670B8">
          <w:rPr>
            <w:rStyle w:val="Hyperlink"/>
            <w:rFonts w:ascii="Arial" w:eastAsia="Arial" w:hAnsi="Arial" w:cs="Arial"/>
            <w:sz w:val="20"/>
            <w:szCs w:val="20"/>
            <w:lang w:val="es-ES"/>
          </w:rPr>
          <w:t>TD SYNNEX</w:t>
        </w:r>
      </w:hyperlink>
      <w:r w:rsidRPr="002670B8">
        <w:rPr>
          <w:rFonts w:ascii="Arial" w:eastAsia="Arial" w:hAnsi="Arial" w:cs="Arial"/>
          <w:color w:val="000000" w:themeColor="text1"/>
          <w:sz w:val="20"/>
          <w:szCs w:val="20"/>
          <w:lang w:val="es-ES"/>
        </w:rPr>
        <w:t xml:space="preserve"> (NYSE:SNX), distribuidor global líder y agregador de soluciones para el ecosistema tecnológico</w:t>
      </w:r>
      <w:r w:rsidRPr="002670B8">
        <w:rPr>
          <w:rFonts w:ascii="Arial" w:eastAsia="inter" w:hAnsi="Arial" w:cs="Arial"/>
          <w:sz w:val="20"/>
          <w:szCs w:val="20"/>
          <w:lang w:val="es-ES"/>
        </w:rPr>
        <w:t xml:space="preserve">, </w:t>
      </w:r>
      <w:r w:rsidR="00CA347B" w:rsidRPr="002670B8">
        <w:rPr>
          <w:rFonts w:ascii="Arial" w:eastAsia="inter" w:hAnsi="Arial" w:cs="Arial"/>
          <w:sz w:val="20"/>
          <w:szCs w:val="20"/>
          <w:lang w:val="es-ES"/>
        </w:rPr>
        <w:t>ha</w:t>
      </w:r>
      <w:r w:rsidR="005519F2" w:rsidRPr="002670B8">
        <w:rPr>
          <w:rFonts w:ascii="Arial" w:hAnsi="Arial" w:cs="Arial"/>
          <w:sz w:val="20"/>
          <w:szCs w:val="20"/>
          <w:lang w:val="es-ES"/>
        </w:rPr>
        <w:t xml:space="preserve"> anunciado el lanzamiento del roadshow </w:t>
      </w:r>
      <w:hyperlink r:id="rId11" w:history="1">
        <w:r w:rsidR="005519F2" w:rsidRPr="002670B8">
          <w:rPr>
            <w:rStyle w:val="Hyperlink"/>
            <w:rFonts w:ascii="Arial" w:hAnsi="Arial" w:cs="Arial"/>
            <w:sz w:val="20"/>
            <w:szCs w:val="20"/>
            <w:lang w:val="es-ES"/>
          </w:rPr>
          <w:t>Destination AI 2026</w:t>
        </w:r>
      </w:hyperlink>
      <w:r w:rsidR="005519F2" w:rsidRPr="002670B8">
        <w:rPr>
          <w:rFonts w:ascii="Arial" w:hAnsi="Arial" w:cs="Arial"/>
          <w:color w:val="000000" w:themeColor="text1"/>
          <w:sz w:val="20"/>
          <w:szCs w:val="20"/>
          <w:lang w:val="es-ES"/>
        </w:rPr>
        <w:t xml:space="preserve">, </w:t>
      </w:r>
      <w:r w:rsidR="005519F2" w:rsidRPr="002670B8">
        <w:rPr>
          <w:rFonts w:ascii="Arial" w:hAnsi="Arial" w:cs="Arial"/>
          <w:sz w:val="20"/>
          <w:szCs w:val="20"/>
          <w:lang w:val="es-ES"/>
        </w:rPr>
        <w:t>una gira itinerante que recorrerá ocho ciudades de la península ibérica con el objetivo de acelerar la adopción empresarial de la inteligencia artificial a través del canal de distribución.</w:t>
      </w:r>
      <w:r w:rsidR="00EB2E24" w:rsidRPr="002670B8">
        <w:rPr>
          <w:rFonts w:ascii="Arial" w:hAnsi="Arial" w:cs="Arial"/>
          <w:sz w:val="20"/>
          <w:szCs w:val="20"/>
          <w:lang w:val="es-ES"/>
        </w:rPr>
        <w:t xml:space="preserve"> </w:t>
      </w:r>
    </w:p>
    <w:p w14:paraId="6C5213D7" w14:textId="77777777" w:rsidR="00EB2E24" w:rsidRPr="002670B8" w:rsidRDefault="00EB2E24" w:rsidP="00EB2E24">
      <w:pPr>
        <w:pStyle w:val="NoSpacing"/>
        <w:spacing w:line="276" w:lineRule="auto"/>
        <w:jc w:val="both"/>
        <w:rPr>
          <w:rFonts w:ascii="Arial" w:hAnsi="Arial" w:cs="Arial"/>
          <w:sz w:val="20"/>
          <w:szCs w:val="20"/>
          <w:lang w:val="es-ES"/>
        </w:rPr>
      </w:pPr>
    </w:p>
    <w:p w14:paraId="501FD167" w14:textId="0A6B5A8A" w:rsidR="00EB2E24" w:rsidRPr="002670B8" w:rsidRDefault="005519F2" w:rsidP="00EB2E24">
      <w:pPr>
        <w:pStyle w:val="NoSpacing"/>
        <w:spacing w:line="276" w:lineRule="auto"/>
        <w:jc w:val="both"/>
        <w:rPr>
          <w:rFonts w:ascii="Arial" w:hAnsi="Arial" w:cs="Arial"/>
          <w:sz w:val="20"/>
          <w:szCs w:val="20"/>
          <w:lang w:val="es-ES"/>
        </w:rPr>
      </w:pPr>
      <w:r w:rsidRPr="002670B8">
        <w:rPr>
          <w:rFonts w:ascii="Arial" w:hAnsi="Arial" w:cs="Arial"/>
          <w:sz w:val="20"/>
          <w:szCs w:val="20"/>
          <w:lang w:val="es-ES"/>
        </w:rPr>
        <w:t xml:space="preserve">El </w:t>
      </w:r>
      <w:r w:rsidR="00EB2E24" w:rsidRPr="002670B8">
        <w:rPr>
          <w:rFonts w:ascii="Arial" w:hAnsi="Arial" w:cs="Arial"/>
          <w:sz w:val="20"/>
          <w:szCs w:val="20"/>
          <w:lang w:val="es-ES"/>
        </w:rPr>
        <w:t>tour tecnológico y de negocio</w:t>
      </w:r>
      <w:r w:rsidRPr="002670B8">
        <w:rPr>
          <w:rFonts w:ascii="Arial" w:hAnsi="Arial" w:cs="Arial"/>
          <w:sz w:val="20"/>
          <w:szCs w:val="20"/>
          <w:lang w:val="es-ES"/>
        </w:rPr>
        <w:t xml:space="preserve"> </w:t>
      </w:r>
      <w:r w:rsidR="00EB2E24" w:rsidRPr="002670B8">
        <w:rPr>
          <w:rFonts w:ascii="Arial" w:hAnsi="Arial" w:cs="Arial"/>
          <w:sz w:val="20"/>
          <w:szCs w:val="20"/>
          <w:lang w:val="es-ES"/>
        </w:rPr>
        <w:t>c</w:t>
      </w:r>
      <w:r w:rsidRPr="002670B8">
        <w:rPr>
          <w:rFonts w:ascii="Arial" w:hAnsi="Arial" w:cs="Arial"/>
          <w:sz w:val="20"/>
          <w:szCs w:val="20"/>
          <w:lang w:val="es-ES"/>
        </w:rPr>
        <w:t>omenzará su recorrido el 22 de enero en Barcelona y continuará por Oporto (26 de febrero), Bilbao (26 de marzo), Sevilla (18 de junio), Zaragoza (1 de octubre), Valencia (22 de octubre) y Madrid (12 de noviembre)</w:t>
      </w:r>
      <w:r w:rsidR="002825D8">
        <w:rPr>
          <w:rFonts w:ascii="Arial" w:hAnsi="Arial" w:cs="Arial"/>
          <w:sz w:val="20"/>
          <w:szCs w:val="20"/>
          <w:lang w:val="es-ES"/>
        </w:rPr>
        <w:t xml:space="preserve">, </w:t>
      </w:r>
      <w:r w:rsidRPr="002670B8">
        <w:rPr>
          <w:rFonts w:ascii="Arial" w:hAnsi="Arial" w:cs="Arial"/>
          <w:sz w:val="20"/>
          <w:szCs w:val="20"/>
          <w:lang w:val="es-ES"/>
        </w:rPr>
        <w:t xml:space="preserve">finalizando en </w:t>
      </w:r>
      <w:r w:rsidR="0022174C">
        <w:rPr>
          <w:rFonts w:ascii="Arial" w:hAnsi="Arial" w:cs="Arial"/>
          <w:sz w:val="20"/>
          <w:szCs w:val="20"/>
          <w:lang w:val="es-ES"/>
        </w:rPr>
        <w:t>Lisboa</w:t>
      </w:r>
      <w:r w:rsidRPr="002670B8">
        <w:rPr>
          <w:rFonts w:ascii="Arial" w:hAnsi="Arial" w:cs="Arial"/>
          <w:sz w:val="20"/>
          <w:szCs w:val="20"/>
          <w:lang w:val="es-ES"/>
        </w:rPr>
        <w:t xml:space="preserve">. Cada evento contará con una capacidad de 100 participantes en Madrid, 70 en Barcelona y 40 en el resto de </w:t>
      </w:r>
      <w:proofErr w:type="gramStart"/>
      <w:r w:rsidRPr="002670B8">
        <w:rPr>
          <w:rFonts w:ascii="Arial" w:hAnsi="Arial" w:cs="Arial"/>
          <w:sz w:val="20"/>
          <w:szCs w:val="20"/>
          <w:lang w:val="es-ES"/>
        </w:rPr>
        <w:t>ciudades</w:t>
      </w:r>
      <w:proofErr w:type="gramEnd"/>
      <w:r w:rsidRPr="002670B8">
        <w:rPr>
          <w:rFonts w:ascii="Arial" w:hAnsi="Arial" w:cs="Arial"/>
          <w:sz w:val="20"/>
          <w:szCs w:val="20"/>
          <w:lang w:val="es-ES"/>
        </w:rPr>
        <w:t>, ofreciendo un formato cercano y participativo.</w:t>
      </w:r>
      <w:bookmarkStart w:id="0" w:name="fnref1_1"/>
      <w:bookmarkEnd w:id="0"/>
    </w:p>
    <w:p w14:paraId="7EAEBA4C" w14:textId="77777777" w:rsidR="00EB2E24" w:rsidRPr="002670B8" w:rsidRDefault="00EB2E24" w:rsidP="00EB2E24">
      <w:pPr>
        <w:pStyle w:val="NoSpacing"/>
        <w:spacing w:line="276" w:lineRule="auto"/>
        <w:jc w:val="both"/>
        <w:rPr>
          <w:rFonts w:ascii="Arial" w:hAnsi="Arial" w:cs="Arial"/>
          <w:sz w:val="20"/>
          <w:szCs w:val="20"/>
          <w:lang w:val="es-ES"/>
        </w:rPr>
      </w:pPr>
    </w:p>
    <w:p w14:paraId="266B7EE6" w14:textId="72C486D2" w:rsidR="00C733EC" w:rsidRPr="002670B8" w:rsidRDefault="00EB2E24" w:rsidP="00C733EC">
      <w:pPr>
        <w:pStyle w:val="NoSpacing"/>
        <w:spacing w:line="276" w:lineRule="auto"/>
        <w:jc w:val="both"/>
        <w:rPr>
          <w:rFonts w:ascii="Arial" w:hAnsi="Arial" w:cs="Arial"/>
          <w:sz w:val="20"/>
          <w:szCs w:val="20"/>
          <w:lang w:val="es-ES"/>
        </w:rPr>
      </w:pPr>
      <w:r w:rsidRPr="002670B8">
        <w:rPr>
          <w:rFonts w:ascii="Arial" w:hAnsi="Arial" w:cs="Arial"/>
          <w:i/>
          <w:iCs/>
          <w:sz w:val="20"/>
          <w:szCs w:val="20"/>
          <w:lang w:val="es-ES"/>
        </w:rPr>
        <w:t>“</w:t>
      </w:r>
      <w:r w:rsidR="005519F2" w:rsidRPr="002670B8">
        <w:rPr>
          <w:rFonts w:ascii="Arial" w:hAnsi="Arial" w:cs="Arial"/>
          <w:i/>
          <w:iCs/>
          <w:sz w:val="20"/>
          <w:szCs w:val="20"/>
          <w:lang w:val="es-ES"/>
        </w:rPr>
        <w:t xml:space="preserve">La innovación no puede quedarse encerrada en grandes capitales o eventos únicos. Con Destination AI 2026 queremos estar cerca de nuestros partners </w:t>
      </w:r>
      <w:r w:rsidR="0096250B" w:rsidRPr="002670B8">
        <w:rPr>
          <w:rFonts w:ascii="Arial" w:hAnsi="Arial" w:cs="Arial"/>
          <w:i/>
          <w:iCs/>
          <w:sz w:val="20"/>
          <w:szCs w:val="20"/>
          <w:lang w:val="es-ES"/>
        </w:rPr>
        <w:t xml:space="preserve">independientemente de </w:t>
      </w:r>
      <w:r w:rsidR="005519F2" w:rsidRPr="002670B8">
        <w:rPr>
          <w:rFonts w:ascii="Arial" w:hAnsi="Arial" w:cs="Arial"/>
          <w:i/>
          <w:iCs/>
          <w:sz w:val="20"/>
          <w:szCs w:val="20"/>
          <w:lang w:val="es-ES"/>
        </w:rPr>
        <w:t>d</w:t>
      </w:r>
      <w:r w:rsidR="006249C2">
        <w:rPr>
          <w:rFonts w:ascii="Arial" w:hAnsi="Arial" w:cs="Arial"/>
          <w:i/>
          <w:iCs/>
          <w:sz w:val="20"/>
          <w:szCs w:val="20"/>
          <w:lang w:val="es-ES"/>
        </w:rPr>
        <w:t>ó</w:t>
      </w:r>
      <w:r w:rsidR="005519F2" w:rsidRPr="002670B8">
        <w:rPr>
          <w:rFonts w:ascii="Arial" w:hAnsi="Arial" w:cs="Arial"/>
          <w:i/>
          <w:iCs/>
          <w:sz w:val="20"/>
          <w:szCs w:val="20"/>
          <w:lang w:val="es-ES"/>
        </w:rPr>
        <w:t xml:space="preserve">nde se encuentren, proporcionándoles las herramientas y el conocimiento necesarios para que lideren la transformación de la IA en sus </w:t>
      </w:r>
      <w:r w:rsidR="0096250B" w:rsidRPr="002670B8">
        <w:rPr>
          <w:rFonts w:ascii="Arial" w:hAnsi="Arial" w:cs="Arial"/>
          <w:i/>
          <w:iCs/>
          <w:sz w:val="20"/>
          <w:szCs w:val="20"/>
          <w:lang w:val="es-ES"/>
        </w:rPr>
        <w:t>áreas de influencia</w:t>
      </w:r>
      <w:r w:rsidR="005519F2" w:rsidRPr="002670B8">
        <w:rPr>
          <w:rFonts w:ascii="Arial" w:hAnsi="Arial" w:cs="Arial"/>
          <w:i/>
          <w:iCs/>
          <w:sz w:val="20"/>
          <w:szCs w:val="20"/>
          <w:lang w:val="es-ES"/>
        </w:rPr>
        <w:t>. Este roadshow representa nuestro compromiso de democratizar el acceso a la inteligencia artificial y convertir cada ciudad en un punto de encuentro para la innovación</w:t>
      </w:r>
      <w:r w:rsidRPr="002670B8">
        <w:rPr>
          <w:rFonts w:ascii="Arial" w:hAnsi="Arial" w:cs="Arial"/>
          <w:i/>
          <w:iCs/>
          <w:sz w:val="20"/>
          <w:szCs w:val="20"/>
          <w:lang w:val="es-ES"/>
        </w:rPr>
        <w:t>”</w:t>
      </w:r>
      <w:r w:rsidR="005519F2" w:rsidRPr="002670B8">
        <w:rPr>
          <w:rFonts w:ascii="Arial" w:hAnsi="Arial" w:cs="Arial"/>
          <w:sz w:val="20"/>
          <w:szCs w:val="20"/>
          <w:lang w:val="es-ES"/>
        </w:rPr>
        <w:t xml:space="preserve">, afirma </w:t>
      </w:r>
      <w:r w:rsidR="005519F2" w:rsidRPr="002670B8">
        <w:rPr>
          <w:rFonts w:ascii="Arial" w:hAnsi="Arial" w:cs="Arial"/>
          <w:b/>
          <w:bCs/>
          <w:sz w:val="20"/>
          <w:szCs w:val="20"/>
          <w:lang w:val="es-ES"/>
        </w:rPr>
        <w:t xml:space="preserve">Santiago Méndez, </w:t>
      </w:r>
      <w:proofErr w:type="gramStart"/>
      <w:r w:rsidR="005519F2" w:rsidRPr="002670B8">
        <w:rPr>
          <w:rFonts w:ascii="Arial" w:hAnsi="Arial" w:cs="Arial"/>
          <w:b/>
          <w:bCs/>
          <w:sz w:val="20"/>
          <w:szCs w:val="20"/>
          <w:lang w:val="es-ES"/>
        </w:rPr>
        <w:t>Director General</w:t>
      </w:r>
      <w:proofErr w:type="gramEnd"/>
      <w:r w:rsidR="005519F2" w:rsidRPr="002670B8">
        <w:rPr>
          <w:rFonts w:ascii="Arial" w:hAnsi="Arial" w:cs="Arial"/>
          <w:b/>
          <w:bCs/>
          <w:sz w:val="20"/>
          <w:szCs w:val="20"/>
          <w:lang w:val="es-ES"/>
        </w:rPr>
        <w:t xml:space="preserve"> de </w:t>
      </w:r>
      <w:r w:rsidRPr="002670B8">
        <w:rPr>
          <w:rFonts w:ascii="Arial" w:hAnsi="Arial" w:cs="Arial"/>
          <w:b/>
          <w:bCs/>
          <w:sz w:val="20"/>
          <w:szCs w:val="20"/>
          <w:lang w:val="es-ES"/>
        </w:rPr>
        <w:t xml:space="preserve">Advanced Solutions </w:t>
      </w:r>
      <w:r w:rsidR="005519F2" w:rsidRPr="002670B8">
        <w:rPr>
          <w:rFonts w:ascii="Arial" w:hAnsi="Arial" w:cs="Arial"/>
          <w:b/>
          <w:bCs/>
          <w:sz w:val="20"/>
          <w:szCs w:val="20"/>
          <w:lang w:val="es-ES"/>
        </w:rPr>
        <w:t>en TD SYNNEX</w:t>
      </w:r>
      <w:r w:rsidRPr="002670B8">
        <w:rPr>
          <w:rFonts w:ascii="Arial" w:hAnsi="Arial" w:cs="Arial"/>
          <w:b/>
          <w:bCs/>
          <w:sz w:val="20"/>
          <w:szCs w:val="20"/>
          <w:lang w:val="es-ES"/>
        </w:rPr>
        <w:t xml:space="preserve"> para</w:t>
      </w:r>
      <w:r w:rsidR="005519F2" w:rsidRPr="002670B8">
        <w:rPr>
          <w:rFonts w:ascii="Arial" w:hAnsi="Arial" w:cs="Arial"/>
          <w:b/>
          <w:bCs/>
          <w:sz w:val="20"/>
          <w:szCs w:val="20"/>
          <w:lang w:val="es-ES"/>
        </w:rPr>
        <w:t xml:space="preserve"> Iberia</w:t>
      </w:r>
      <w:r w:rsidR="005519F2" w:rsidRPr="002670B8">
        <w:rPr>
          <w:rFonts w:ascii="Arial" w:hAnsi="Arial" w:cs="Arial"/>
          <w:sz w:val="20"/>
          <w:szCs w:val="20"/>
          <w:lang w:val="es-ES"/>
        </w:rPr>
        <w:t>.</w:t>
      </w:r>
      <w:bookmarkStart w:id="1" w:name="fnref1_2"/>
      <w:bookmarkStart w:id="2" w:name="ai_game_plan_de_la_teoría_a_la_acción"/>
      <w:bookmarkEnd w:id="1"/>
    </w:p>
    <w:p w14:paraId="044F24F7" w14:textId="77777777" w:rsidR="00C733EC" w:rsidRPr="002670B8" w:rsidRDefault="00C733EC" w:rsidP="00C733EC">
      <w:pPr>
        <w:pStyle w:val="NoSpacing"/>
        <w:spacing w:line="276" w:lineRule="auto"/>
        <w:jc w:val="both"/>
        <w:rPr>
          <w:rFonts w:ascii="Arial" w:hAnsi="Arial" w:cs="Arial"/>
          <w:sz w:val="20"/>
          <w:szCs w:val="20"/>
          <w:lang w:val="es-ES"/>
        </w:rPr>
      </w:pPr>
    </w:p>
    <w:p w14:paraId="454E0AE3" w14:textId="77777777" w:rsidR="00C733EC" w:rsidRPr="002670B8" w:rsidRDefault="005519F2" w:rsidP="00C733EC">
      <w:pPr>
        <w:pStyle w:val="NoSpacing"/>
        <w:spacing w:line="276" w:lineRule="auto"/>
        <w:jc w:val="both"/>
        <w:rPr>
          <w:rFonts w:ascii="Arial" w:hAnsi="Arial" w:cs="Arial"/>
          <w:sz w:val="20"/>
          <w:szCs w:val="20"/>
          <w:lang w:val="es-ES"/>
        </w:rPr>
      </w:pPr>
      <w:r w:rsidRPr="002670B8">
        <w:rPr>
          <w:rFonts w:ascii="Arial" w:hAnsi="Arial" w:cs="Arial"/>
          <w:b/>
          <w:bCs/>
          <w:sz w:val="20"/>
          <w:szCs w:val="20"/>
          <w:lang w:val="es-ES"/>
        </w:rPr>
        <w:t>AI Game Plan: de la teoría a la acción</w:t>
      </w:r>
      <w:bookmarkEnd w:id="2"/>
    </w:p>
    <w:p w14:paraId="3FB6BFDC" w14:textId="77777777" w:rsidR="00D3080E" w:rsidRPr="002670B8" w:rsidRDefault="005519F2" w:rsidP="00C733EC">
      <w:pPr>
        <w:pStyle w:val="NoSpacing"/>
        <w:spacing w:line="276" w:lineRule="auto"/>
        <w:jc w:val="both"/>
        <w:rPr>
          <w:rFonts w:ascii="Arial" w:hAnsi="Arial" w:cs="Arial"/>
          <w:sz w:val="20"/>
          <w:szCs w:val="20"/>
          <w:lang w:val="es-ES"/>
        </w:rPr>
      </w:pPr>
      <w:r w:rsidRPr="002670B8">
        <w:rPr>
          <w:rFonts w:ascii="Arial" w:hAnsi="Arial" w:cs="Arial"/>
          <w:sz w:val="20"/>
          <w:szCs w:val="20"/>
          <w:lang w:val="es-ES"/>
        </w:rPr>
        <w:t xml:space="preserve">El roadshow integra </w:t>
      </w:r>
      <w:hyperlink r:id="rId12" w:history="1">
        <w:r w:rsidRPr="002670B8">
          <w:rPr>
            <w:rStyle w:val="Hyperlink"/>
            <w:rFonts w:ascii="Arial" w:hAnsi="Arial" w:cs="Arial"/>
            <w:sz w:val="20"/>
            <w:szCs w:val="20"/>
            <w:lang w:val="es-ES"/>
          </w:rPr>
          <w:t>AI Game Plan</w:t>
        </w:r>
      </w:hyperlink>
      <w:r w:rsidRPr="002670B8">
        <w:rPr>
          <w:rFonts w:ascii="Arial" w:hAnsi="Arial" w:cs="Arial"/>
          <w:sz w:val="20"/>
          <w:szCs w:val="20"/>
          <w:lang w:val="es-ES"/>
        </w:rPr>
        <w:t xml:space="preserve">, el nuevo marco de talleres interactivos </w:t>
      </w:r>
      <w:r w:rsidR="0096250B" w:rsidRPr="002670B8">
        <w:rPr>
          <w:rFonts w:ascii="Arial" w:hAnsi="Arial" w:cs="Arial"/>
          <w:sz w:val="20"/>
          <w:szCs w:val="20"/>
          <w:lang w:val="es-ES"/>
        </w:rPr>
        <w:t>diseñado</w:t>
      </w:r>
      <w:r w:rsidRPr="002670B8">
        <w:rPr>
          <w:rFonts w:ascii="Arial" w:hAnsi="Arial" w:cs="Arial"/>
          <w:sz w:val="20"/>
          <w:szCs w:val="20"/>
          <w:lang w:val="es-ES"/>
        </w:rPr>
        <w:t xml:space="preserve"> por TD SYNNEX que forma parte de la iniciativa global Destination AI. Según el cuarto informe </w:t>
      </w:r>
      <w:r w:rsidRPr="002670B8">
        <w:rPr>
          <w:rFonts w:ascii="Arial" w:hAnsi="Arial" w:cs="Arial"/>
          <w:color w:val="000000" w:themeColor="text1"/>
          <w:sz w:val="20"/>
          <w:szCs w:val="20"/>
          <w:lang w:val="es-ES"/>
        </w:rPr>
        <w:t xml:space="preserve">anual </w:t>
      </w:r>
      <w:hyperlink r:id="rId13" w:history="1">
        <w:r w:rsidRPr="002670B8">
          <w:rPr>
            <w:rStyle w:val="Hyperlink"/>
            <w:rFonts w:ascii="Arial" w:hAnsi="Arial" w:cs="Arial"/>
            <w:sz w:val="20"/>
            <w:szCs w:val="20"/>
            <w:lang w:val="es-ES"/>
          </w:rPr>
          <w:t>Direction of Technology</w:t>
        </w:r>
      </w:hyperlink>
      <w:r w:rsidRPr="002670B8">
        <w:rPr>
          <w:rFonts w:ascii="Arial" w:hAnsi="Arial" w:cs="Arial"/>
          <w:color w:val="000000" w:themeColor="text1"/>
          <w:sz w:val="20"/>
          <w:szCs w:val="20"/>
          <w:lang w:val="es-ES"/>
        </w:rPr>
        <w:t xml:space="preserve"> de </w:t>
      </w:r>
      <w:r w:rsidRPr="002670B8">
        <w:rPr>
          <w:rFonts w:ascii="Arial" w:hAnsi="Arial" w:cs="Arial"/>
          <w:sz w:val="20"/>
          <w:szCs w:val="20"/>
          <w:lang w:val="es-ES"/>
        </w:rPr>
        <w:t xml:space="preserve">TD SYNNEX, el 45% de los partners identifica como principal desafío la dificultad de traducir las soluciones de IA en valor específico para sus clientes. AI Game Plan nace precisamente para </w:t>
      </w:r>
      <w:r w:rsidR="00BB5FE3" w:rsidRPr="002670B8">
        <w:rPr>
          <w:rFonts w:ascii="Arial" w:hAnsi="Arial" w:cs="Arial"/>
          <w:sz w:val="20"/>
          <w:szCs w:val="20"/>
          <w:lang w:val="es-ES"/>
        </w:rPr>
        <w:t xml:space="preserve">superar </w:t>
      </w:r>
      <w:r w:rsidRPr="002670B8">
        <w:rPr>
          <w:rFonts w:ascii="Arial" w:hAnsi="Arial" w:cs="Arial"/>
          <w:sz w:val="20"/>
          <w:szCs w:val="20"/>
          <w:lang w:val="es-ES"/>
        </w:rPr>
        <w:t xml:space="preserve">esa </w:t>
      </w:r>
      <w:r w:rsidR="00BB5FE3" w:rsidRPr="002670B8">
        <w:rPr>
          <w:rFonts w:ascii="Arial" w:hAnsi="Arial" w:cs="Arial"/>
          <w:sz w:val="20"/>
          <w:szCs w:val="20"/>
          <w:lang w:val="es-ES"/>
        </w:rPr>
        <w:t>barrera</w:t>
      </w:r>
      <w:r w:rsidRPr="002670B8">
        <w:rPr>
          <w:rFonts w:ascii="Arial" w:hAnsi="Arial" w:cs="Arial"/>
          <w:sz w:val="20"/>
          <w:szCs w:val="20"/>
          <w:lang w:val="es-ES"/>
        </w:rPr>
        <w:t xml:space="preserve">, ofreciendo un proceso estructurado y repetible que permite pasar de la </w:t>
      </w:r>
      <w:r w:rsidR="0096250B" w:rsidRPr="002670B8">
        <w:rPr>
          <w:rFonts w:ascii="Arial" w:hAnsi="Arial" w:cs="Arial"/>
          <w:sz w:val="20"/>
          <w:szCs w:val="20"/>
          <w:lang w:val="es-ES"/>
        </w:rPr>
        <w:t>evaluación</w:t>
      </w:r>
      <w:r w:rsidRPr="002670B8">
        <w:rPr>
          <w:rFonts w:ascii="Arial" w:hAnsi="Arial" w:cs="Arial"/>
          <w:sz w:val="20"/>
          <w:szCs w:val="20"/>
          <w:lang w:val="es-ES"/>
        </w:rPr>
        <w:t xml:space="preserve"> inicial a resultados concretos.</w:t>
      </w:r>
    </w:p>
    <w:p w14:paraId="37F289EE" w14:textId="77777777" w:rsidR="00D3080E" w:rsidRPr="002670B8" w:rsidRDefault="00D3080E" w:rsidP="00C733EC">
      <w:pPr>
        <w:pStyle w:val="NoSpacing"/>
        <w:spacing w:line="276" w:lineRule="auto"/>
        <w:jc w:val="both"/>
        <w:rPr>
          <w:rFonts w:ascii="Arial" w:hAnsi="Arial" w:cs="Arial"/>
          <w:color w:val="000000" w:themeColor="text1"/>
          <w:sz w:val="20"/>
          <w:szCs w:val="20"/>
          <w:lang w:val="es-ES"/>
        </w:rPr>
      </w:pPr>
    </w:p>
    <w:p w14:paraId="5676FA30" w14:textId="2CEC9B4C" w:rsidR="00424DA2" w:rsidRPr="002670B8" w:rsidRDefault="005519F2" w:rsidP="008F7F53">
      <w:pPr>
        <w:pStyle w:val="NoSpacing"/>
        <w:spacing w:line="276" w:lineRule="auto"/>
        <w:jc w:val="both"/>
        <w:rPr>
          <w:rFonts w:ascii="Arial" w:hAnsi="Arial" w:cs="Arial"/>
          <w:color w:val="000000" w:themeColor="text1"/>
          <w:sz w:val="20"/>
          <w:szCs w:val="20"/>
          <w:lang w:val="es-ES"/>
        </w:rPr>
      </w:pPr>
      <w:r w:rsidRPr="002670B8">
        <w:rPr>
          <w:rFonts w:ascii="Arial" w:hAnsi="Arial" w:cs="Arial"/>
          <w:color w:val="000000" w:themeColor="text1"/>
          <w:sz w:val="20"/>
          <w:szCs w:val="20"/>
          <w:lang w:val="es-ES"/>
        </w:rPr>
        <w:t xml:space="preserve">El programa </w:t>
      </w:r>
      <w:r w:rsidR="002076B4" w:rsidRPr="002670B8">
        <w:rPr>
          <w:rFonts w:ascii="Arial" w:hAnsi="Arial" w:cs="Arial"/>
          <w:color w:val="000000" w:themeColor="text1"/>
          <w:sz w:val="20"/>
          <w:szCs w:val="20"/>
          <w:lang w:val="es-ES"/>
        </w:rPr>
        <w:t xml:space="preserve">Destination AI </w:t>
      </w:r>
      <w:r w:rsidRPr="002670B8">
        <w:rPr>
          <w:rFonts w:ascii="Arial" w:hAnsi="Arial" w:cs="Arial"/>
          <w:color w:val="000000" w:themeColor="text1"/>
          <w:sz w:val="20"/>
          <w:szCs w:val="20"/>
          <w:lang w:val="es-ES"/>
        </w:rPr>
        <w:t xml:space="preserve">se articula en tres etapas claramente definidas: </w:t>
      </w:r>
      <w:r w:rsidR="00424DA2" w:rsidRPr="002670B8">
        <w:rPr>
          <w:rFonts w:ascii="Arial" w:hAnsi="Arial" w:cs="Arial"/>
          <w:color w:val="000000" w:themeColor="text1"/>
          <w:sz w:val="20"/>
          <w:szCs w:val="20"/>
          <w:lang w:val="es-ES"/>
        </w:rPr>
        <w:t>‘</w:t>
      </w:r>
      <w:r w:rsidRPr="002670B8">
        <w:rPr>
          <w:rFonts w:ascii="Arial" w:hAnsi="Arial" w:cs="Arial"/>
          <w:color w:val="000000" w:themeColor="text1"/>
          <w:sz w:val="20"/>
          <w:szCs w:val="20"/>
          <w:lang w:val="es-ES"/>
        </w:rPr>
        <w:t>Descubrimiento</w:t>
      </w:r>
      <w:r w:rsidR="00424DA2" w:rsidRPr="002670B8">
        <w:rPr>
          <w:rFonts w:ascii="Arial" w:hAnsi="Arial" w:cs="Arial"/>
          <w:color w:val="000000" w:themeColor="text1"/>
          <w:sz w:val="20"/>
          <w:szCs w:val="20"/>
          <w:lang w:val="es-ES"/>
        </w:rPr>
        <w:t>’</w:t>
      </w:r>
      <w:r w:rsidRPr="002670B8">
        <w:rPr>
          <w:rFonts w:ascii="Arial" w:hAnsi="Arial" w:cs="Arial"/>
          <w:color w:val="000000" w:themeColor="text1"/>
          <w:sz w:val="20"/>
          <w:szCs w:val="20"/>
          <w:lang w:val="es-ES"/>
        </w:rPr>
        <w:t xml:space="preserve">, donde se identifican los puntos críticos en los que la IA puede aportar eficiencia; </w:t>
      </w:r>
      <w:r w:rsidR="00424DA2" w:rsidRPr="002670B8">
        <w:rPr>
          <w:rFonts w:ascii="Arial" w:hAnsi="Arial" w:cs="Arial"/>
          <w:color w:val="000000" w:themeColor="text1"/>
          <w:sz w:val="20"/>
          <w:szCs w:val="20"/>
          <w:lang w:val="es-ES"/>
        </w:rPr>
        <w:t>‘</w:t>
      </w:r>
      <w:r w:rsidRPr="002670B8">
        <w:rPr>
          <w:rFonts w:ascii="Arial" w:hAnsi="Arial" w:cs="Arial"/>
          <w:color w:val="000000" w:themeColor="text1"/>
          <w:sz w:val="20"/>
          <w:szCs w:val="20"/>
          <w:lang w:val="es-ES"/>
        </w:rPr>
        <w:t>Puntuación</w:t>
      </w:r>
      <w:r w:rsidR="00424DA2" w:rsidRPr="002670B8">
        <w:rPr>
          <w:rFonts w:ascii="Arial" w:hAnsi="Arial" w:cs="Arial"/>
          <w:color w:val="000000" w:themeColor="text1"/>
          <w:sz w:val="20"/>
          <w:szCs w:val="20"/>
          <w:lang w:val="es-ES"/>
        </w:rPr>
        <w:t>’</w:t>
      </w:r>
      <w:r w:rsidRPr="002670B8">
        <w:rPr>
          <w:rFonts w:ascii="Arial" w:hAnsi="Arial" w:cs="Arial"/>
          <w:color w:val="000000" w:themeColor="text1"/>
          <w:sz w:val="20"/>
          <w:szCs w:val="20"/>
          <w:lang w:val="es-ES"/>
        </w:rPr>
        <w:t xml:space="preserve">, que prioriza casos de uso según su viabilidad, impacto y alineación estratégica; y </w:t>
      </w:r>
      <w:r w:rsidR="00424DA2" w:rsidRPr="002670B8">
        <w:rPr>
          <w:rFonts w:ascii="Arial" w:hAnsi="Arial" w:cs="Arial"/>
          <w:color w:val="000000" w:themeColor="text1"/>
          <w:sz w:val="20"/>
          <w:szCs w:val="20"/>
          <w:lang w:val="es-ES"/>
        </w:rPr>
        <w:t>‘</w:t>
      </w:r>
      <w:r w:rsidRPr="002670B8">
        <w:rPr>
          <w:rFonts w:ascii="Arial" w:hAnsi="Arial" w:cs="Arial"/>
          <w:color w:val="000000" w:themeColor="text1"/>
          <w:sz w:val="20"/>
          <w:szCs w:val="20"/>
          <w:lang w:val="es-ES"/>
        </w:rPr>
        <w:t>Activación</w:t>
      </w:r>
      <w:r w:rsidR="00424DA2" w:rsidRPr="002670B8">
        <w:rPr>
          <w:rFonts w:ascii="Arial" w:hAnsi="Arial" w:cs="Arial"/>
          <w:color w:val="000000" w:themeColor="text1"/>
          <w:sz w:val="20"/>
          <w:szCs w:val="20"/>
          <w:lang w:val="es-ES"/>
        </w:rPr>
        <w:t>’</w:t>
      </w:r>
      <w:r w:rsidRPr="002670B8">
        <w:rPr>
          <w:rFonts w:ascii="Arial" w:hAnsi="Arial" w:cs="Arial"/>
          <w:color w:val="000000" w:themeColor="text1"/>
          <w:sz w:val="20"/>
          <w:szCs w:val="20"/>
          <w:lang w:val="es-ES"/>
        </w:rPr>
        <w:t>, que define un plan de acción con iniciativas de alto valor y un roadmap de 90 días para su implementación.</w:t>
      </w:r>
      <w:bookmarkStart w:id="3" w:name="fnref5_1"/>
      <w:bookmarkStart w:id="4" w:name="fnref4_1"/>
      <w:bookmarkStart w:id="5" w:name="contenido_de_alto_valor_para_el_e_4405b9"/>
      <w:bookmarkEnd w:id="3"/>
      <w:bookmarkEnd w:id="4"/>
      <w:r w:rsidR="00C733EC" w:rsidRPr="002670B8">
        <w:rPr>
          <w:rFonts w:ascii="Arial" w:hAnsi="Arial" w:cs="Arial"/>
          <w:color w:val="000000" w:themeColor="text1"/>
          <w:sz w:val="20"/>
          <w:szCs w:val="20"/>
          <w:lang w:val="es-ES"/>
        </w:rPr>
        <w:t xml:space="preserve"> </w:t>
      </w:r>
      <w:r w:rsidR="00424DA2" w:rsidRPr="002670B8">
        <w:rPr>
          <w:rFonts w:ascii="Arial" w:hAnsi="Arial" w:cs="Arial"/>
          <w:color w:val="000000" w:themeColor="text1"/>
          <w:sz w:val="20"/>
          <w:szCs w:val="20"/>
          <w:lang w:val="es-ES"/>
        </w:rPr>
        <w:t xml:space="preserve">En el programa ya </w:t>
      </w:r>
      <w:r w:rsidR="002670B8" w:rsidRPr="002670B8">
        <w:rPr>
          <w:rFonts w:ascii="Arial" w:hAnsi="Arial" w:cs="Arial"/>
          <w:color w:val="000000" w:themeColor="text1"/>
          <w:sz w:val="20"/>
          <w:szCs w:val="20"/>
          <w:lang w:val="es-ES"/>
        </w:rPr>
        <w:t>participan</w:t>
      </w:r>
      <w:r w:rsidR="00424DA2" w:rsidRPr="002670B8">
        <w:rPr>
          <w:rFonts w:ascii="Arial" w:hAnsi="Arial" w:cs="Arial"/>
          <w:color w:val="000000" w:themeColor="text1"/>
          <w:sz w:val="20"/>
          <w:szCs w:val="20"/>
          <w:lang w:val="es-ES"/>
        </w:rPr>
        <w:t xml:space="preserve"> </w:t>
      </w:r>
      <w:r w:rsidR="008F7F53" w:rsidRPr="002670B8">
        <w:rPr>
          <w:rFonts w:ascii="Arial" w:hAnsi="Arial" w:cs="Arial"/>
          <w:color w:val="000000" w:themeColor="text1"/>
          <w:sz w:val="20"/>
          <w:szCs w:val="20"/>
          <w:lang w:val="es-ES"/>
        </w:rPr>
        <w:t xml:space="preserve">entre 40 y 50 partners </w:t>
      </w:r>
      <w:r w:rsidR="002670B8" w:rsidRPr="002670B8">
        <w:rPr>
          <w:rFonts w:ascii="Arial" w:hAnsi="Arial" w:cs="Arial"/>
          <w:color w:val="000000" w:themeColor="text1"/>
          <w:sz w:val="20"/>
          <w:szCs w:val="20"/>
          <w:lang w:val="es-ES"/>
        </w:rPr>
        <w:t>seleccionados</w:t>
      </w:r>
      <w:r w:rsidR="008F7F53" w:rsidRPr="002670B8">
        <w:rPr>
          <w:rFonts w:ascii="Arial" w:hAnsi="Arial" w:cs="Arial"/>
          <w:color w:val="000000" w:themeColor="text1"/>
          <w:sz w:val="20"/>
          <w:szCs w:val="20"/>
          <w:lang w:val="es-ES"/>
        </w:rPr>
        <w:t xml:space="preserve"> en Iberia para impulsar su capacitación y generación de demanda. </w:t>
      </w:r>
    </w:p>
    <w:p w14:paraId="2B7958E8" w14:textId="77777777" w:rsidR="00424DA2" w:rsidRPr="002670B8" w:rsidRDefault="00424DA2" w:rsidP="008F7F53">
      <w:pPr>
        <w:pStyle w:val="NoSpacing"/>
        <w:spacing w:line="276" w:lineRule="auto"/>
        <w:jc w:val="both"/>
        <w:rPr>
          <w:rFonts w:ascii="Arial" w:hAnsi="Arial" w:cs="Arial"/>
          <w:color w:val="EE0000"/>
          <w:sz w:val="20"/>
          <w:szCs w:val="20"/>
          <w:lang w:val="es-ES"/>
        </w:rPr>
      </w:pPr>
    </w:p>
    <w:p w14:paraId="370FB38A" w14:textId="0A427542" w:rsidR="00C733EC" w:rsidRPr="002670B8" w:rsidRDefault="005519F2" w:rsidP="00C733EC">
      <w:pPr>
        <w:pStyle w:val="NoSpacing"/>
        <w:spacing w:line="276" w:lineRule="auto"/>
        <w:jc w:val="both"/>
        <w:rPr>
          <w:rFonts w:ascii="Arial" w:hAnsi="Arial" w:cs="Arial"/>
          <w:b/>
          <w:bCs/>
          <w:sz w:val="20"/>
          <w:szCs w:val="20"/>
          <w:lang w:val="es-ES"/>
        </w:rPr>
      </w:pPr>
      <w:r w:rsidRPr="002670B8">
        <w:rPr>
          <w:rFonts w:ascii="Arial" w:hAnsi="Arial" w:cs="Arial"/>
          <w:b/>
          <w:bCs/>
          <w:sz w:val="20"/>
          <w:szCs w:val="20"/>
          <w:lang w:val="es-ES"/>
        </w:rPr>
        <w:t>Contenido de alto valor</w:t>
      </w:r>
      <w:bookmarkEnd w:id="5"/>
    </w:p>
    <w:p w14:paraId="64CE3D3C" w14:textId="77777777" w:rsidR="002670B8" w:rsidRDefault="005519F2" w:rsidP="002670B8">
      <w:pPr>
        <w:pStyle w:val="NoSpacing"/>
        <w:spacing w:line="276" w:lineRule="auto"/>
        <w:jc w:val="both"/>
        <w:rPr>
          <w:rFonts w:ascii="Arial" w:hAnsi="Arial" w:cs="Arial"/>
          <w:sz w:val="20"/>
          <w:szCs w:val="20"/>
          <w:lang w:val="es-ES"/>
        </w:rPr>
      </w:pPr>
      <w:r w:rsidRPr="002670B8">
        <w:rPr>
          <w:rFonts w:ascii="Arial" w:hAnsi="Arial" w:cs="Arial"/>
          <w:sz w:val="20"/>
          <w:szCs w:val="20"/>
          <w:lang w:val="es-ES"/>
        </w:rPr>
        <w:t xml:space="preserve">Cada parada del roadshow Destination AI 2026 ofrecerá a los asistentes acceso a tendencias reales de IA aplicadas al canal, keynotes y mesas redondas con expertos y fabricantes líderes del sector, casos </w:t>
      </w:r>
      <w:r w:rsidRPr="002670B8">
        <w:rPr>
          <w:rFonts w:ascii="Arial" w:hAnsi="Arial" w:cs="Arial"/>
          <w:sz w:val="20"/>
          <w:szCs w:val="20"/>
          <w:lang w:val="es-ES"/>
        </w:rPr>
        <w:lastRenderedPageBreak/>
        <w:t>prácticos con impacto directo en el negocio y oportunidades de networking de alto valor. Los eventos están diseñados para proporcionar conocimiento accionable que los partners puedan implementar en sus organizaciones</w:t>
      </w:r>
      <w:bookmarkStart w:id="6" w:name="fnref2_1"/>
      <w:bookmarkStart w:id="7" w:name="fnref1_3"/>
      <w:bookmarkEnd w:id="6"/>
      <w:bookmarkEnd w:id="7"/>
      <w:r w:rsidR="0096250B" w:rsidRPr="002670B8">
        <w:rPr>
          <w:rFonts w:ascii="Arial" w:hAnsi="Arial" w:cs="Arial"/>
          <w:sz w:val="20"/>
          <w:szCs w:val="20"/>
          <w:lang w:val="es-ES"/>
        </w:rPr>
        <w:t xml:space="preserve"> y las de </w:t>
      </w:r>
      <w:proofErr w:type="gramStart"/>
      <w:r w:rsidR="0096250B" w:rsidRPr="002670B8">
        <w:rPr>
          <w:rFonts w:ascii="Arial" w:hAnsi="Arial" w:cs="Arial"/>
          <w:sz w:val="20"/>
          <w:szCs w:val="20"/>
          <w:lang w:val="es-ES"/>
        </w:rPr>
        <w:t>su clientes finales</w:t>
      </w:r>
      <w:proofErr w:type="gramEnd"/>
      <w:r w:rsidR="0096250B" w:rsidRPr="002670B8">
        <w:rPr>
          <w:rFonts w:ascii="Arial" w:hAnsi="Arial" w:cs="Arial"/>
          <w:sz w:val="20"/>
          <w:szCs w:val="20"/>
          <w:lang w:val="es-ES"/>
        </w:rPr>
        <w:t>.</w:t>
      </w:r>
    </w:p>
    <w:p w14:paraId="21813F00" w14:textId="77777777" w:rsidR="002670B8" w:rsidRDefault="002670B8" w:rsidP="002670B8">
      <w:pPr>
        <w:pStyle w:val="NoSpacing"/>
        <w:spacing w:line="276" w:lineRule="auto"/>
        <w:jc w:val="both"/>
        <w:rPr>
          <w:rFonts w:ascii="Arial" w:hAnsi="Arial" w:cs="Arial"/>
          <w:sz w:val="20"/>
          <w:szCs w:val="20"/>
          <w:lang w:val="es-ES"/>
        </w:rPr>
      </w:pPr>
    </w:p>
    <w:p w14:paraId="5A861349" w14:textId="0DA23727" w:rsidR="009B0A73" w:rsidRPr="00790921" w:rsidRDefault="009B0A73" w:rsidP="4290181E">
      <w:pPr>
        <w:pStyle w:val="NoSpacing"/>
        <w:spacing w:line="276" w:lineRule="auto"/>
        <w:jc w:val="both"/>
        <w:rPr>
          <w:rFonts w:ascii="Arial" w:hAnsi="Arial" w:cs="Arial"/>
          <w:sz w:val="20"/>
          <w:szCs w:val="20"/>
          <w:lang w:val="es-ES"/>
        </w:rPr>
      </w:pPr>
      <w:r w:rsidRPr="00790921">
        <w:rPr>
          <w:rFonts w:ascii="Arial" w:hAnsi="Arial" w:cs="Arial"/>
          <w:i/>
          <w:iCs/>
          <w:sz w:val="20"/>
          <w:szCs w:val="20"/>
          <w:lang w:val="es-ES"/>
        </w:rPr>
        <w:t xml:space="preserve">“El verdadero valor de la inteligencia artificial se materializa cuando los partners pueden aplicar el conocimiento de forma práctica y rentable en sus clientes. Destination AI 2026 no es sólo un evento, sino también un catalizador de transformación para </w:t>
      </w:r>
      <w:r w:rsidR="002670B8" w:rsidRPr="00790921">
        <w:rPr>
          <w:rFonts w:ascii="Arial" w:hAnsi="Arial" w:cs="Arial"/>
          <w:i/>
          <w:iCs/>
          <w:sz w:val="20"/>
          <w:szCs w:val="20"/>
          <w:lang w:val="es-ES"/>
        </w:rPr>
        <w:t xml:space="preserve">que nuestros partners </w:t>
      </w:r>
      <w:r w:rsidRPr="00790921">
        <w:rPr>
          <w:rFonts w:ascii="Arial" w:hAnsi="Arial" w:cs="Arial"/>
          <w:i/>
          <w:iCs/>
          <w:sz w:val="20"/>
          <w:szCs w:val="20"/>
          <w:lang w:val="es-ES"/>
        </w:rPr>
        <w:t>constru</w:t>
      </w:r>
      <w:r w:rsidR="002670B8" w:rsidRPr="00790921">
        <w:rPr>
          <w:rFonts w:ascii="Arial" w:hAnsi="Arial" w:cs="Arial"/>
          <w:i/>
          <w:iCs/>
          <w:sz w:val="20"/>
          <w:szCs w:val="20"/>
          <w:lang w:val="es-ES"/>
        </w:rPr>
        <w:t xml:space="preserve">yan </w:t>
      </w:r>
      <w:r w:rsidRPr="00790921">
        <w:rPr>
          <w:rFonts w:ascii="Arial" w:hAnsi="Arial" w:cs="Arial"/>
          <w:i/>
          <w:iCs/>
          <w:sz w:val="20"/>
          <w:szCs w:val="20"/>
          <w:lang w:val="es-ES"/>
        </w:rPr>
        <w:t xml:space="preserve">prácticas de IA sólidas, escalables y éticas. Las oportunidades más inmediatas incluyen servicios de optimización de infraestructura cloud para ejecutar modelos de IA, implementación de copilots empresariales y proyectos de automatización </w:t>
      </w:r>
      <w:r w:rsidR="002670B8" w:rsidRPr="00790921">
        <w:rPr>
          <w:rFonts w:ascii="Arial" w:hAnsi="Arial" w:cs="Arial"/>
          <w:i/>
          <w:iCs/>
          <w:sz w:val="20"/>
          <w:szCs w:val="20"/>
          <w:lang w:val="es-ES"/>
        </w:rPr>
        <w:t>inteligente.</w:t>
      </w:r>
      <w:r w:rsidRPr="00790921">
        <w:rPr>
          <w:rFonts w:ascii="Arial" w:hAnsi="Arial" w:cs="Arial"/>
          <w:i/>
          <w:iCs/>
          <w:sz w:val="20"/>
          <w:szCs w:val="20"/>
          <w:lang w:val="es-ES"/>
        </w:rPr>
        <w:t xml:space="preserve"> Queremos que cada partner que participe salga con un plan concreto y las conexiones adecuadas para ejecutarlo con éxito</w:t>
      </w:r>
      <w:r w:rsidR="002670B8" w:rsidRPr="00790921">
        <w:rPr>
          <w:rFonts w:ascii="Arial" w:hAnsi="Arial" w:cs="Arial"/>
          <w:i/>
          <w:iCs/>
          <w:sz w:val="20"/>
          <w:szCs w:val="20"/>
          <w:lang w:val="es-ES"/>
        </w:rPr>
        <w:t>”</w:t>
      </w:r>
      <w:r w:rsidRPr="00790921">
        <w:rPr>
          <w:rFonts w:ascii="Arial" w:hAnsi="Arial" w:cs="Arial"/>
          <w:sz w:val="20"/>
          <w:szCs w:val="20"/>
          <w:lang w:val="es-ES"/>
        </w:rPr>
        <w:t xml:space="preserve">, </w:t>
      </w:r>
      <w:r w:rsidR="002670B8" w:rsidRPr="00790921">
        <w:rPr>
          <w:rFonts w:ascii="Arial" w:hAnsi="Arial" w:cs="Arial"/>
          <w:sz w:val="20"/>
          <w:szCs w:val="20"/>
          <w:lang w:val="es-ES"/>
        </w:rPr>
        <w:t>concluye Méndez.</w:t>
      </w:r>
    </w:p>
    <w:p w14:paraId="2FB04E4F" w14:textId="77777777" w:rsidR="00573893" w:rsidRPr="002670B8" w:rsidRDefault="00573893" w:rsidP="00573893">
      <w:pPr>
        <w:pStyle w:val="NoSpacing"/>
        <w:spacing w:line="276" w:lineRule="auto"/>
        <w:jc w:val="both"/>
        <w:rPr>
          <w:rFonts w:ascii="Times New Roman" w:eastAsia="Times New Roman" w:hAnsi="Times New Roman" w:cs="Times New Roman"/>
          <w:lang w:val="es-ES" w:eastAsia="es-ES_tradnl"/>
        </w:rPr>
      </w:pPr>
    </w:p>
    <w:p w14:paraId="3E0A2BB2" w14:textId="18A838E3" w:rsidR="003D776E" w:rsidRPr="002670B8" w:rsidRDefault="002076B4" w:rsidP="00604D64">
      <w:pPr>
        <w:pStyle w:val="NoSpacing"/>
        <w:spacing w:line="276" w:lineRule="auto"/>
        <w:jc w:val="both"/>
        <w:rPr>
          <w:rFonts w:ascii="Arial" w:hAnsi="Arial" w:cs="Arial"/>
          <w:b/>
          <w:bCs/>
          <w:sz w:val="20"/>
          <w:szCs w:val="20"/>
          <w:lang w:val="es-ES"/>
        </w:rPr>
      </w:pPr>
      <w:bookmarkStart w:id="8" w:name="más_allá_del_evento_un_ecosistema_7b224d"/>
      <w:r w:rsidRPr="002670B8">
        <w:rPr>
          <w:rFonts w:ascii="Arial" w:hAnsi="Arial" w:cs="Arial"/>
          <w:b/>
          <w:bCs/>
          <w:sz w:val="20"/>
          <w:szCs w:val="20"/>
          <w:lang w:val="es-ES"/>
        </w:rPr>
        <w:t>A</w:t>
      </w:r>
      <w:r w:rsidR="003D776E" w:rsidRPr="002670B8">
        <w:rPr>
          <w:rFonts w:ascii="Arial" w:hAnsi="Arial" w:cs="Arial"/>
          <w:b/>
          <w:bCs/>
          <w:sz w:val="20"/>
          <w:szCs w:val="20"/>
          <w:lang w:val="es-ES"/>
        </w:rPr>
        <w:t>poyo continuo al</w:t>
      </w:r>
      <w:r w:rsidR="005519F2" w:rsidRPr="002670B8">
        <w:rPr>
          <w:rFonts w:ascii="Arial" w:hAnsi="Arial" w:cs="Arial"/>
          <w:b/>
          <w:bCs/>
          <w:sz w:val="20"/>
          <w:szCs w:val="20"/>
          <w:lang w:val="es-ES"/>
        </w:rPr>
        <w:t xml:space="preserve"> ecosistema</w:t>
      </w:r>
      <w:bookmarkEnd w:id="8"/>
    </w:p>
    <w:p w14:paraId="30F05DD4" w14:textId="335D76DB" w:rsidR="003D776E" w:rsidRPr="002670B8" w:rsidRDefault="005519F2" w:rsidP="00604D64">
      <w:pPr>
        <w:pStyle w:val="NoSpacing"/>
        <w:spacing w:line="276" w:lineRule="auto"/>
        <w:jc w:val="both"/>
        <w:rPr>
          <w:rFonts w:ascii="Arial" w:hAnsi="Arial" w:cs="Arial"/>
          <w:b/>
          <w:bCs/>
          <w:sz w:val="20"/>
          <w:szCs w:val="20"/>
          <w:lang w:val="es-ES"/>
        </w:rPr>
      </w:pPr>
      <w:r w:rsidRPr="002670B8">
        <w:rPr>
          <w:rFonts w:ascii="Arial" w:hAnsi="Arial" w:cs="Arial"/>
          <w:sz w:val="20"/>
          <w:szCs w:val="20"/>
          <w:lang w:val="es-ES"/>
        </w:rPr>
        <w:t xml:space="preserve">El roadshow </w:t>
      </w:r>
      <w:proofErr w:type="gramStart"/>
      <w:r w:rsidRPr="002670B8">
        <w:rPr>
          <w:rFonts w:ascii="Arial" w:hAnsi="Arial" w:cs="Arial"/>
          <w:sz w:val="20"/>
          <w:szCs w:val="20"/>
          <w:lang w:val="es-ES"/>
        </w:rPr>
        <w:t>se enmarca dentro de</w:t>
      </w:r>
      <w:proofErr w:type="gramEnd"/>
      <w:r w:rsidRPr="002670B8">
        <w:rPr>
          <w:rFonts w:ascii="Arial" w:hAnsi="Arial" w:cs="Arial"/>
          <w:sz w:val="20"/>
          <w:szCs w:val="20"/>
          <w:lang w:val="es-ES"/>
        </w:rPr>
        <w:t xml:space="preserve"> la estrategia más amplia de TD SYNNEX para convertirse en el catalizador de innovación en IA para el canal ibérico. La compañía cuenta con un completo catálogo de proveedores que integra cada capa del stack de IA -datos, seguridad, infraestructura y nube- y es el único mayorista con los principales </w:t>
      </w:r>
      <w:r w:rsidR="0016340D" w:rsidRPr="002670B8">
        <w:rPr>
          <w:rFonts w:ascii="Arial" w:hAnsi="Arial" w:cs="Arial"/>
          <w:sz w:val="20"/>
          <w:szCs w:val="20"/>
          <w:lang w:val="es-ES"/>
        </w:rPr>
        <w:t xml:space="preserve">hyperscalers </w:t>
      </w:r>
      <w:r w:rsidR="00573893" w:rsidRPr="002670B8">
        <w:rPr>
          <w:rFonts w:ascii="Arial" w:hAnsi="Arial" w:cs="Arial"/>
          <w:sz w:val="20"/>
          <w:szCs w:val="20"/>
          <w:lang w:val="es-ES"/>
        </w:rPr>
        <w:t xml:space="preserve">(AWS, Microsoft Azure, IBM y Google </w:t>
      </w:r>
      <w:r w:rsidR="00573893" w:rsidRPr="002670B8">
        <w:rPr>
          <w:rFonts w:ascii="Arial" w:hAnsi="Arial" w:cs="Arial"/>
          <w:color w:val="000000" w:themeColor="text1"/>
          <w:sz w:val="20"/>
          <w:szCs w:val="20"/>
          <w:lang w:val="es-ES"/>
        </w:rPr>
        <w:t>Cloud</w:t>
      </w:r>
      <w:r w:rsidR="00573893" w:rsidRPr="002670B8">
        <w:rPr>
          <w:rFonts w:ascii="Arial" w:hAnsi="Arial" w:cs="Arial"/>
          <w:sz w:val="20"/>
          <w:szCs w:val="20"/>
          <w:lang w:val="es-ES"/>
        </w:rPr>
        <w:t>)</w:t>
      </w:r>
      <w:r w:rsidR="00573893">
        <w:rPr>
          <w:rFonts w:ascii="Arial" w:hAnsi="Arial" w:cs="Arial"/>
          <w:sz w:val="20"/>
          <w:szCs w:val="20"/>
          <w:lang w:val="es-ES"/>
        </w:rPr>
        <w:t xml:space="preserve"> </w:t>
      </w:r>
      <w:r w:rsidRPr="002670B8">
        <w:rPr>
          <w:rFonts w:ascii="Arial" w:hAnsi="Arial" w:cs="Arial"/>
          <w:sz w:val="20"/>
          <w:szCs w:val="20"/>
          <w:lang w:val="es-ES"/>
        </w:rPr>
        <w:t>en su por</w:t>
      </w:r>
      <w:r w:rsidR="00573893">
        <w:rPr>
          <w:rFonts w:ascii="Arial" w:hAnsi="Arial" w:cs="Arial"/>
          <w:sz w:val="20"/>
          <w:szCs w:val="20"/>
          <w:lang w:val="es-ES"/>
        </w:rPr>
        <w:t>f</w:t>
      </w:r>
      <w:r w:rsidRPr="002670B8">
        <w:rPr>
          <w:rFonts w:ascii="Arial" w:hAnsi="Arial" w:cs="Arial"/>
          <w:sz w:val="20"/>
          <w:szCs w:val="20"/>
          <w:lang w:val="es-ES"/>
        </w:rPr>
        <w:t>olio</w:t>
      </w:r>
      <w:r w:rsidR="003D776E" w:rsidRPr="002670B8">
        <w:rPr>
          <w:rFonts w:ascii="Arial" w:hAnsi="Arial" w:cs="Arial"/>
          <w:sz w:val="20"/>
          <w:szCs w:val="20"/>
          <w:lang w:val="es-ES"/>
        </w:rPr>
        <w:t>.</w:t>
      </w:r>
    </w:p>
    <w:p w14:paraId="5EFC856F" w14:textId="77777777" w:rsidR="003D776E" w:rsidRPr="002670B8" w:rsidRDefault="003D776E" w:rsidP="00604D64">
      <w:pPr>
        <w:pStyle w:val="NoSpacing"/>
        <w:spacing w:line="276" w:lineRule="auto"/>
        <w:jc w:val="both"/>
        <w:rPr>
          <w:rFonts w:ascii="Arial" w:hAnsi="Arial" w:cs="Arial"/>
          <w:b/>
          <w:bCs/>
          <w:sz w:val="20"/>
          <w:szCs w:val="20"/>
          <w:lang w:val="es-ES"/>
        </w:rPr>
      </w:pPr>
    </w:p>
    <w:p w14:paraId="4A9741D7" w14:textId="50FD9E80" w:rsidR="00CF3037" w:rsidRPr="002670B8" w:rsidRDefault="005519F2" w:rsidP="00604D64">
      <w:pPr>
        <w:pStyle w:val="NoSpacing"/>
        <w:spacing w:line="276" w:lineRule="auto"/>
        <w:jc w:val="both"/>
        <w:rPr>
          <w:rFonts w:ascii="Arial" w:hAnsi="Arial" w:cs="Arial"/>
          <w:sz w:val="20"/>
          <w:szCs w:val="20"/>
          <w:lang w:val="es-ES"/>
        </w:rPr>
      </w:pPr>
      <w:r w:rsidRPr="002670B8">
        <w:rPr>
          <w:rFonts w:ascii="Arial" w:hAnsi="Arial" w:cs="Arial"/>
          <w:sz w:val="20"/>
          <w:szCs w:val="20"/>
          <w:lang w:val="es-ES"/>
        </w:rPr>
        <w:t xml:space="preserve">Además del roadshow, TD SYNNEX ofrece a sus partners acceso al portal digital unificado </w:t>
      </w:r>
      <w:hyperlink r:id="rId14" w:history="1">
        <w:r w:rsidRPr="00573893">
          <w:rPr>
            <w:rStyle w:val="Hyperlink"/>
            <w:rFonts w:ascii="Arial" w:hAnsi="Arial" w:cs="Arial"/>
            <w:sz w:val="20"/>
            <w:szCs w:val="20"/>
            <w:lang w:val="es-ES"/>
          </w:rPr>
          <w:t>PartnerFirst</w:t>
        </w:r>
      </w:hyperlink>
      <w:r w:rsidRPr="002670B8">
        <w:rPr>
          <w:rFonts w:ascii="Arial" w:hAnsi="Arial" w:cs="Arial"/>
          <w:sz w:val="20"/>
          <w:szCs w:val="20"/>
          <w:lang w:val="es-ES"/>
        </w:rPr>
        <w:t xml:space="preserve"> y recursos continuos de capacitación, evaluación y supervisión para maximizar el valor de las inversiones en IA. AI Game Plan está disponible globalmente para partners elegibles que se encuentran en los niveles "AI Ready" o "AI Expert" de Destination AI</w:t>
      </w:r>
      <w:bookmarkStart w:id="9" w:name="fnref5_2"/>
      <w:bookmarkStart w:id="10" w:name="fnref4_3"/>
      <w:bookmarkEnd w:id="9"/>
      <w:bookmarkEnd w:id="10"/>
      <w:r w:rsidRPr="002670B8">
        <w:rPr>
          <w:rFonts w:ascii="Arial" w:hAnsi="Arial" w:cs="Arial"/>
          <w:sz w:val="20"/>
          <w:szCs w:val="20"/>
          <w:lang w:val="es-ES"/>
        </w:rPr>
        <w:t>.</w:t>
      </w:r>
    </w:p>
    <w:p w14:paraId="4610C125" w14:textId="77777777" w:rsidR="0096250B" w:rsidRPr="002670B8" w:rsidRDefault="0096250B" w:rsidP="00604D64">
      <w:pPr>
        <w:pStyle w:val="NoSpacing"/>
        <w:spacing w:line="276" w:lineRule="auto"/>
        <w:jc w:val="both"/>
        <w:rPr>
          <w:rFonts w:ascii="Arial" w:hAnsi="Arial" w:cs="Arial"/>
          <w:sz w:val="20"/>
          <w:szCs w:val="20"/>
          <w:lang w:val="es-ES"/>
        </w:rPr>
      </w:pPr>
    </w:p>
    <w:p w14:paraId="0A6C0CB9" w14:textId="0155B5A2" w:rsidR="0096250B" w:rsidRPr="002670B8" w:rsidRDefault="00F142EB" w:rsidP="00ED0A51">
      <w:pPr>
        <w:pStyle w:val="NoSpacing"/>
        <w:spacing w:line="276" w:lineRule="auto"/>
        <w:jc w:val="center"/>
        <w:rPr>
          <w:rFonts w:ascii="Arial" w:hAnsi="Arial" w:cs="Arial"/>
          <w:sz w:val="20"/>
          <w:szCs w:val="20"/>
          <w:lang w:val="es-ES"/>
        </w:rPr>
      </w:pPr>
      <w:r>
        <w:rPr>
          <w:rFonts w:ascii="Arial" w:hAnsi="Arial" w:cs="Arial"/>
          <w:noProof/>
          <w:sz w:val="20"/>
          <w:szCs w:val="20"/>
          <w:lang w:val="es-ES"/>
        </w:rPr>
        <w:drawing>
          <wp:inline distT="0" distB="0" distL="0" distR="0" wp14:anchorId="5025A825" wp14:editId="6CE71C8B">
            <wp:extent cx="4508500" cy="2425700"/>
            <wp:effectExtent l="0" t="0" r="0" b="0"/>
            <wp:docPr id="1209497793" name="Imagen 1" descr="Diagrama, 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97793" name="Imagen 1" descr="Diagrama, Escala de tiempo&#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4508500" cy="2425700"/>
                    </a:xfrm>
                    <a:prstGeom prst="rect">
                      <a:avLst/>
                    </a:prstGeom>
                  </pic:spPr>
                </pic:pic>
              </a:graphicData>
            </a:graphic>
          </wp:inline>
        </w:drawing>
      </w:r>
    </w:p>
    <w:p w14:paraId="7215397E" w14:textId="77777777" w:rsidR="00F142EB" w:rsidRDefault="00F142EB" w:rsidP="005622B2">
      <w:pPr>
        <w:spacing w:after="0" w:line="276" w:lineRule="auto"/>
        <w:jc w:val="both"/>
        <w:rPr>
          <w:rFonts w:ascii="Arial" w:eastAsia="Arial" w:hAnsi="Arial" w:cs="Arial"/>
          <w:b/>
          <w:bCs/>
          <w:sz w:val="18"/>
          <w:szCs w:val="18"/>
          <w:lang w:val="es-ES"/>
        </w:rPr>
      </w:pPr>
    </w:p>
    <w:p w14:paraId="11513BC7" w14:textId="22D0041A" w:rsidR="00F142EB" w:rsidRPr="00B27771" w:rsidRDefault="00F142EB" w:rsidP="005622B2">
      <w:pPr>
        <w:spacing w:after="0" w:line="276" w:lineRule="auto"/>
        <w:jc w:val="both"/>
        <w:rPr>
          <w:rFonts w:ascii="Arial" w:eastAsia="Arial" w:hAnsi="Arial" w:cs="Arial"/>
          <w:color w:val="000000" w:themeColor="text1"/>
          <w:sz w:val="20"/>
          <w:szCs w:val="20"/>
          <w:lang w:val="es-ES"/>
        </w:rPr>
      </w:pPr>
      <w:r w:rsidRPr="00B27771">
        <w:rPr>
          <w:rFonts w:ascii="Arial" w:eastAsia="Arial" w:hAnsi="Arial" w:cs="Arial"/>
          <w:color w:val="000000" w:themeColor="text1"/>
          <w:sz w:val="20"/>
          <w:szCs w:val="20"/>
          <w:lang w:val="es-ES"/>
        </w:rPr>
        <w:t xml:space="preserve">Los partners pueden inscribirse </w:t>
      </w:r>
      <w:hyperlink r:id="rId16" w:history="1">
        <w:r w:rsidRPr="005507DA">
          <w:rPr>
            <w:rStyle w:val="Hyperlink"/>
            <w:rFonts w:ascii="Arial" w:eastAsia="Arial" w:hAnsi="Arial" w:cs="Arial"/>
            <w:sz w:val="20"/>
            <w:szCs w:val="20"/>
            <w:lang w:val="es-ES"/>
          </w:rPr>
          <w:t>aquí</w:t>
        </w:r>
      </w:hyperlink>
      <w:r w:rsidRPr="00B27771">
        <w:rPr>
          <w:rFonts w:ascii="Arial" w:eastAsia="Arial" w:hAnsi="Arial" w:cs="Arial"/>
          <w:color w:val="000000" w:themeColor="text1"/>
          <w:sz w:val="20"/>
          <w:szCs w:val="20"/>
          <w:lang w:val="es-ES"/>
        </w:rPr>
        <w:t xml:space="preserve"> en el evento de </w:t>
      </w:r>
      <w:r w:rsidR="005507DA">
        <w:rPr>
          <w:rFonts w:ascii="Arial" w:eastAsia="Arial" w:hAnsi="Arial" w:cs="Arial"/>
          <w:color w:val="000000" w:themeColor="text1"/>
          <w:sz w:val="20"/>
          <w:szCs w:val="20"/>
          <w:lang w:val="es-ES"/>
        </w:rPr>
        <w:t xml:space="preserve">Barcelona de </w:t>
      </w:r>
      <w:r w:rsidRPr="00B27771">
        <w:rPr>
          <w:rFonts w:ascii="Arial" w:eastAsia="Arial" w:hAnsi="Arial" w:cs="Arial"/>
          <w:color w:val="000000" w:themeColor="text1"/>
          <w:sz w:val="20"/>
          <w:szCs w:val="20"/>
          <w:lang w:val="es-ES"/>
        </w:rPr>
        <w:t>forma gratuita.</w:t>
      </w:r>
    </w:p>
    <w:p w14:paraId="59368D3D" w14:textId="77777777" w:rsidR="00573893" w:rsidRDefault="00573893" w:rsidP="005622B2">
      <w:pPr>
        <w:spacing w:after="0" w:line="276" w:lineRule="auto"/>
        <w:jc w:val="both"/>
        <w:rPr>
          <w:rFonts w:ascii="Arial" w:eastAsia="Arial" w:hAnsi="Arial" w:cs="Arial"/>
          <w:b/>
          <w:bCs/>
          <w:sz w:val="18"/>
          <w:szCs w:val="18"/>
          <w:lang w:val="es-ES"/>
        </w:rPr>
      </w:pPr>
    </w:p>
    <w:p w14:paraId="610B9300" w14:textId="77777777" w:rsidR="00183A02" w:rsidRDefault="00183A02" w:rsidP="005622B2">
      <w:pPr>
        <w:spacing w:after="0" w:line="276" w:lineRule="auto"/>
        <w:jc w:val="both"/>
        <w:rPr>
          <w:rFonts w:ascii="Arial" w:eastAsia="Arial" w:hAnsi="Arial" w:cs="Arial"/>
          <w:b/>
          <w:bCs/>
          <w:sz w:val="18"/>
          <w:szCs w:val="18"/>
          <w:lang w:val="es-ES"/>
        </w:rPr>
      </w:pPr>
    </w:p>
    <w:p w14:paraId="151CD057" w14:textId="1042783E" w:rsidR="005622B2" w:rsidRPr="002670B8" w:rsidRDefault="005622B2" w:rsidP="005622B2">
      <w:pPr>
        <w:spacing w:after="0" w:line="276" w:lineRule="auto"/>
        <w:jc w:val="both"/>
        <w:rPr>
          <w:rFonts w:ascii="Arial" w:eastAsia="Arial" w:hAnsi="Arial" w:cs="Arial"/>
          <w:b/>
          <w:bCs/>
          <w:sz w:val="18"/>
          <w:szCs w:val="18"/>
          <w:lang w:val="es-ES"/>
        </w:rPr>
      </w:pPr>
      <w:r w:rsidRPr="002670B8">
        <w:rPr>
          <w:rFonts w:ascii="Arial" w:eastAsia="Arial" w:hAnsi="Arial" w:cs="Arial"/>
          <w:b/>
          <w:bCs/>
          <w:sz w:val="18"/>
          <w:szCs w:val="18"/>
          <w:lang w:val="es-ES"/>
        </w:rPr>
        <w:t xml:space="preserve">Acerca de TD SYNNEX </w:t>
      </w:r>
    </w:p>
    <w:p w14:paraId="0D7167AF" w14:textId="77777777" w:rsidR="005622B2" w:rsidRPr="002670B8" w:rsidRDefault="005622B2" w:rsidP="005622B2">
      <w:pPr>
        <w:spacing w:after="0" w:line="276" w:lineRule="auto"/>
        <w:jc w:val="both"/>
        <w:rPr>
          <w:rFonts w:ascii="Arial" w:eastAsia="Arial" w:hAnsi="Arial" w:cs="Arial"/>
          <w:color w:val="000000" w:themeColor="text1"/>
          <w:sz w:val="18"/>
          <w:szCs w:val="18"/>
          <w:lang w:val="es-ES"/>
        </w:rPr>
      </w:pPr>
      <w:r w:rsidRPr="002670B8">
        <w:rPr>
          <w:rFonts w:ascii="Arial" w:eastAsia="Arial" w:hAnsi="Arial" w:cs="Arial"/>
          <w:sz w:val="18"/>
          <w:szCs w:val="18"/>
          <w:lang w:val="es-ES"/>
        </w:rPr>
        <w:t xml:space="preserve">TD SYNNEX (NYSE: SNX) es un distribuidor global líder y agregador de soluciones para el ecosistema de TI. Somos un partner innovador que ayuda a más de 150.000 clientes en más de 100 países a maximizar el valor de sus inversiones en tecnología, demostrar resultados de negocio y aprovechar oportunidades de crecimiento. Con sede en Clearwater, Florida, y Fremont, California, los 23.000 empleados de TD SYNNEX se dedican a integrar productos, servicios y soluciones de TI innovadores de más de 2.500 proveedores tecnológicos líderes en el sector. Nuestro porfolio integral, desde el extremo hasta la nube, se basa en algunos de los segmentos tecnológicos de mayor crecimiento, como el cloud, la ciberseguridad, el big data y la analítica, la IA, el IoT, la movilidad y el ‘todo como </w:t>
      </w:r>
      <w:r w:rsidRPr="002670B8">
        <w:rPr>
          <w:rFonts w:ascii="Arial" w:eastAsia="Arial" w:hAnsi="Arial" w:cs="Arial"/>
          <w:sz w:val="18"/>
          <w:szCs w:val="18"/>
          <w:lang w:val="es-ES"/>
        </w:rPr>
        <w:lastRenderedPageBreak/>
        <w:t xml:space="preserve">servicio’. En TD SYNNEX, estamos comprometidos con nuestros clientes y las comunidades, y creemos que podemos generar un impacto positivo en las personas y en el planeta, actuando como una empresa socialmente responsable. Aspiramos a ser una compañía diversa e inclusiva, y un referente para el talento en todo el ecosistema de TI. Para obtener más información, visita </w:t>
      </w:r>
      <w:hyperlink r:id="rId17">
        <w:r w:rsidRPr="002670B8">
          <w:rPr>
            <w:rStyle w:val="Hyperlink"/>
            <w:rFonts w:ascii="Arial" w:eastAsia="Arial" w:hAnsi="Arial" w:cs="Arial"/>
            <w:sz w:val="18"/>
            <w:szCs w:val="18"/>
            <w:lang w:val="es-ES"/>
          </w:rPr>
          <w:t>www.TDSYNNEX.com</w:t>
        </w:r>
      </w:hyperlink>
      <w:r w:rsidRPr="002670B8">
        <w:rPr>
          <w:rFonts w:ascii="Arial" w:eastAsia="Arial" w:hAnsi="Arial" w:cs="Arial"/>
          <w:color w:val="000000" w:themeColor="text1"/>
          <w:sz w:val="18"/>
          <w:szCs w:val="18"/>
          <w:lang w:val="es-ES"/>
        </w:rPr>
        <w:t xml:space="preserve"> </w:t>
      </w:r>
      <w:r w:rsidRPr="002670B8">
        <w:rPr>
          <w:rFonts w:ascii="Arial" w:eastAsia="Arial" w:hAnsi="Arial" w:cs="Arial"/>
          <w:sz w:val="18"/>
          <w:szCs w:val="18"/>
          <w:lang w:val="es-ES"/>
        </w:rPr>
        <w:t xml:space="preserve">o síguenos en </w:t>
      </w:r>
      <w:hyperlink r:id="rId18">
        <w:r w:rsidRPr="002670B8">
          <w:rPr>
            <w:rStyle w:val="Hyperlink"/>
            <w:rFonts w:ascii="Arial" w:eastAsia="Arial" w:hAnsi="Arial" w:cs="Arial"/>
            <w:sz w:val="18"/>
            <w:szCs w:val="18"/>
            <w:lang w:val="es-ES"/>
          </w:rPr>
          <w:t>LinkedIn</w:t>
        </w:r>
      </w:hyperlink>
      <w:r w:rsidRPr="002670B8">
        <w:rPr>
          <w:rFonts w:ascii="Arial" w:eastAsia="Arial" w:hAnsi="Arial" w:cs="Arial"/>
          <w:color w:val="000000" w:themeColor="text1"/>
          <w:sz w:val="18"/>
          <w:szCs w:val="18"/>
          <w:lang w:val="es-ES"/>
        </w:rPr>
        <w:t>, </w:t>
      </w:r>
      <w:hyperlink r:id="rId19">
        <w:r w:rsidRPr="002670B8">
          <w:rPr>
            <w:rStyle w:val="Hyperlink"/>
            <w:rFonts w:ascii="Arial" w:eastAsia="Arial" w:hAnsi="Arial" w:cs="Arial"/>
            <w:sz w:val="18"/>
            <w:szCs w:val="18"/>
            <w:lang w:val="es-ES"/>
          </w:rPr>
          <w:t>Facebook</w:t>
        </w:r>
      </w:hyperlink>
      <w:r w:rsidRPr="002670B8">
        <w:rPr>
          <w:rFonts w:ascii="Arial" w:eastAsia="Arial" w:hAnsi="Arial" w:cs="Arial"/>
          <w:color w:val="000000" w:themeColor="text1"/>
          <w:sz w:val="18"/>
          <w:szCs w:val="18"/>
          <w:lang w:val="es-ES"/>
        </w:rPr>
        <w:t xml:space="preserve"> e</w:t>
      </w:r>
      <w:r w:rsidRPr="002670B8">
        <w:rPr>
          <w:rFonts w:ascii="Arial" w:eastAsia="Arial" w:hAnsi="Arial" w:cs="Arial"/>
          <w:sz w:val="22"/>
          <w:szCs w:val="22"/>
          <w:lang w:val="es-ES"/>
        </w:rPr>
        <w:t xml:space="preserve"> </w:t>
      </w:r>
      <w:hyperlink r:id="rId20">
        <w:r w:rsidRPr="002670B8">
          <w:rPr>
            <w:rStyle w:val="Hyperlink"/>
            <w:rFonts w:ascii="Arial" w:eastAsia="Arial" w:hAnsi="Arial" w:cs="Arial"/>
            <w:sz w:val="18"/>
            <w:szCs w:val="18"/>
            <w:lang w:val="es-ES"/>
          </w:rPr>
          <w:t>Instagram</w:t>
        </w:r>
      </w:hyperlink>
      <w:r w:rsidRPr="002670B8">
        <w:rPr>
          <w:rFonts w:ascii="Arial" w:eastAsia="Arial" w:hAnsi="Arial" w:cs="Arial"/>
          <w:color w:val="000000" w:themeColor="text1"/>
          <w:sz w:val="18"/>
          <w:szCs w:val="18"/>
          <w:lang w:val="es-ES"/>
        </w:rPr>
        <w:t>.</w:t>
      </w:r>
    </w:p>
    <w:p w14:paraId="52A36264" w14:textId="77777777" w:rsidR="005622B2" w:rsidRPr="002670B8" w:rsidRDefault="005622B2" w:rsidP="005622B2">
      <w:pPr>
        <w:spacing w:after="0" w:line="276" w:lineRule="auto"/>
        <w:jc w:val="both"/>
        <w:rPr>
          <w:rFonts w:ascii="Arial" w:eastAsia="Arial" w:hAnsi="Arial" w:cs="Arial"/>
          <w:sz w:val="18"/>
          <w:szCs w:val="18"/>
          <w:lang w:val="es-ES"/>
        </w:rPr>
      </w:pPr>
    </w:p>
    <w:p w14:paraId="61026A8C" w14:textId="77777777" w:rsidR="005622B2" w:rsidRPr="002670B8" w:rsidRDefault="005622B2" w:rsidP="005622B2">
      <w:pPr>
        <w:pStyle w:val="NoSpacing"/>
        <w:spacing w:line="276" w:lineRule="auto"/>
        <w:jc w:val="both"/>
        <w:rPr>
          <w:rFonts w:ascii="Arial" w:eastAsia="Arial" w:hAnsi="Arial" w:cs="Arial"/>
          <w:sz w:val="18"/>
          <w:szCs w:val="18"/>
          <w:lang w:val="es-ES"/>
        </w:rPr>
      </w:pPr>
      <w:r w:rsidRPr="002670B8">
        <w:rPr>
          <w:rFonts w:ascii="Arial" w:eastAsia="Arial" w:hAnsi="Arial" w:cs="Arial"/>
          <w:sz w:val="18"/>
          <w:szCs w:val="18"/>
          <w:lang w:val="es-ES"/>
        </w:rPr>
        <w:t>Copyright 2025 TD SYNNEX Corporation. Todos los derechos reservados. TD SYNNEX, el logotipo de TD SYNNEX y todos los demás nombres y eslóganes de empresas, productos y servicios de TD SYNNEX son marcas comerciales de TD SYNNEX Corporation. Los demás nombres y marcas comerciales son propiedad de sus respectivos dueños.</w:t>
      </w:r>
    </w:p>
    <w:p w14:paraId="34BE5CFE" w14:textId="77777777" w:rsidR="005622B2" w:rsidRPr="002670B8" w:rsidRDefault="005622B2" w:rsidP="005622B2">
      <w:pPr>
        <w:pStyle w:val="NoSpacing"/>
        <w:spacing w:line="276" w:lineRule="auto"/>
        <w:jc w:val="both"/>
        <w:rPr>
          <w:rFonts w:ascii="Arial" w:eastAsia="Arial" w:hAnsi="Arial" w:cs="Arial"/>
          <w:b/>
          <w:bCs/>
          <w:sz w:val="18"/>
          <w:szCs w:val="18"/>
          <w:lang w:val="es-ES"/>
        </w:rPr>
      </w:pPr>
    </w:p>
    <w:p w14:paraId="060257D7" w14:textId="77777777" w:rsidR="005622B2" w:rsidRPr="002670B8" w:rsidRDefault="005622B2" w:rsidP="005622B2">
      <w:pPr>
        <w:pStyle w:val="NoSpacing"/>
        <w:spacing w:line="276" w:lineRule="auto"/>
        <w:rPr>
          <w:rFonts w:ascii="Arial" w:eastAsia="Arial" w:hAnsi="Arial" w:cs="Arial"/>
          <w:b/>
          <w:bCs/>
          <w:sz w:val="20"/>
          <w:szCs w:val="20"/>
          <w:lang w:val="es-ES"/>
        </w:rPr>
      </w:pPr>
      <w:r w:rsidRPr="002670B8">
        <w:rPr>
          <w:rFonts w:ascii="Arial" w:eastAsia="Arial" w:hAnsi="Arial" w:cs="Arial"/>
          <w:b/>
          <w:bCs/>
          <w:sz w:val="20"/>
          <w:szCs w:val="20"/>
          <w:lang w:val="es-ES"/>
        </w:rPr>
        <w:t>Para obtener más información:</w:t>
      </w:r>
    </w:p>
    <w:p w14:paraId="22F0853C" w14:textId="77777777" w:rsidR="005622B2" w:rsidRPr="002670B8" w:rsidRDefault="005622B2" w:rsidP="005622B2">
      <w:pPr>
        <w:pStyle w:val="NoSpacing"/>
        <w:spacing w:line="276" w:lineRule="auto"/>
        <w:rPr>
          <w:rFonts w:ascii="Arial" w:eastAsia="Arial" w:hAnsi="Arial" w:cs="Arial"/>
          <w:sz w:val="20"/>
          <w:szCs w:val="20"/>
          <w:lang w:val="es-ES"/>
        </w:rPr>
      </w:pPr>
      <w:r w:rsidRPr="002670B8">
        <w:rPr>
          <w:rFonts w:ascii="Arial" w:eastAsia="Arial" w:hAnsi="Arial" w:cs="Arial"/>
          <w:color w:val="0000FF"/>
          <w:sz w:val="20"/>
          <w:szCs w:val="20"/>
          <w:u w:val="single"/>
          <w:lang w:val="es-ES"/>
        </w:rPr>
        <w:t>TEAM Lewis</w:t>
      </w:r>
    </w:p>
    <w:p w14:paraId="00341622" w14:textId="77777777" w:rsidR="005622B2" w:rsidRPr="002670B8" w:rsidRDefault="005622B2" w:rsidP="005622B2">
      <w:pPr>
        <w:pStyle w:val="NoSpacing"/>
        <w:spacing w:line="276" w:lineRule="auto"/>
        <w:rPr>
          <w:rFonts w:ascii="Arial" w:eastAsia="Arial" w:hAnsi="Arial" w:cs="Arial"/>
          <w:color w:val="212121"/>
          <w:sz w:val="20"/>
          <w:szCs w:val="20"/>
          <w:lang w:val="es-ES"/>
        </w:rPr>
      </w:pPr>
      <w:r w:rsidRPr="002670B8">
        <w:rPr>
          <w:rFonts w:ascii="Arial" w:eastAsia="Arial" w:hAnsi="Arial" w:cs="Arial"/>
          <w:color w:val="212121"/>
          <w:sz w:val="20"/>
          <w:szCs w:val="20"/>
          <w:lang w:val="es-ES"/>
        </w:rPr>
        <w:t>Nina Janmaat </w:t>
      </w:r>
    </w:p>
    <w:p w14:paraId="6941C6D4" w14:textId="77777777" w:rsidR="005622B2" w:rsidRPr="002670B8" w:rsidRDefault="005622B2" w:rsidP="005622B2">
      <w:pPr>
        <w:pStyle w:val="NoSpacing"/>
        <w:spacing w:line="276" w:lineRule="auto"/>
        <w:rPr>
          <w:rFonts w:ascii="Arial" w:eastAsia="Arial" w:hAnsi="Arial" w:cs="Arial"/>
          <w:color w:val="212121"/>
          <w:sz w:val="20"/>
          <w:szCs w:val="20"/>
          <w:lang w:val="es-ES"/>
        </w:rPr>
      </w:pPr>
      <w:r w:rsidRPr="002670B8">
        <w:rPr>
          <w:rFonts w:ascii="Arial" w:eastAsia="Arial" w:hAnsi="Arial" w:cs="Arial"/>
          <w:color w:val="212121"/>
          <w:sz w:val="20"/>
          <w:szCs w:val="20"/>
          <w:lang w:val="es-ES"/>
        </w:rPr>
        <w:t>Tel: 91 926 62 82 </w:t>
      </w:r>
    </w:p>
    <w:p w14:paraId="1B75A0DD" w14:textId="77777777" w:rsidR="005622B2" w:rsidRPr="002670B8" w:rsidRDefault="005622B2" w:rsidP="005622B2">
      <w:pPr>
        <w:pStyle w:val="NoSpacing"/>
        <w:spacing w:line="276" w:lineRule="auto"/>
        <w:rPr>
          <w:rFonts w:ascii="Arial" w:eastAsia="Arial" w:hAnsi="Arial" w:cs="Arial"/>
          <w:color w:val="212121"/>
          <w:sz w:val="20"/>
          <w:szCs w:val="20"/>
          <w:lang w:val="es-ES"/>
        </w:rPr>
      </w:pPr>
      <w:r w:rsidRPr="002670B8">
        <w:rPr>
          <w:rFonts w:ascii="Arial" w:eastAsia="Arial" w:hAnsi="Arial" w:cs="Arial"/>
          <w:color w:val="212121"/>
          <w:sz w:val="20"/>
          <w:szCs w:val="20"/>
          <w:lang w:val="es-ES"/>
        </w:rPr>
        <w:t>E-mail: </w:t>
      </w:r>
      <w:hyperlink r:id="rId21">
        <w:r w:rsidRPr="002670B8">
          <w:rPr>
            <w:rFonts w:ascii="Arial" w:eastAsia="Arial" w:hAnsi="Arial" w:cs="Arial"/>
            <w:color w:val="614DFF"/>
            <w:sz w:val="20"/>
            <w:szCs w:val="20"/>
            <w:u w:val="single"/>
            <w:lang w:val="es-ES"/>
          </w:rPr>
          <w:t>nina.janmaat@teamlewis.com </w:t>
        </w:r>
      </w:hyperlink>
      <w:r w:rsidRPr="002670B8">
        <w:rPr>
          <w:rFonts w:ascii="Arial" w:eastAsia="Arial" w:hAnsi="Arial" w:cs="Arial"/>
          <w:color w:val="212121"/>
          <w:sz w:val="20"/>
          <w:szCs w:val="20"/>
          <w:lang w:val="es-ES"/>
        </w:rPr>
        <w:t> </w:t>
      </w:r>
    </w:p>
    <w:p w14:paraId="0AA90B17" w14:textId="77777777" w:rsidR="005622B2" w:rsidRPr="002670B8" w:rsidRDefault="005622B2" w:rsidP="005622B2">
      <w:pPr>
        <w:pStyle w:val="NoSpacing"/>
        <w:spacing w:line="276" w:lineRule="auto"/>
        <w:rPr>
          <w:rFonts w:ascii="Arial" w:eastAsia="Arial" w:hAnsi="Arial" w:cs="Arial"/>
          <w:sz w:val="20"/>
          <w:szCs w:val="20"/>
          <w:lang w:val="es-ES"/>
        </w:rPr>
      </w:pPr>
    </w:p>
    <w:p w14:paraId="121B2BCD" w14:textId="77777777" w:rsidR="005622B2" w:rsidRPr="002670B8" w:rsidRDefault="005622B2" w:rsidP="005622B2">
      <w:pPr>
        <w:pStyle w:val="NoSpacing"/>
        <w:spacing w:line="276" w:lineRule="auto"/>
        <w:rPr>
          <w:rFonts w:ascii="Arial" w:eastAsia="Arial" w:hAnsi="Arial" w:cs="Arial"/>
          <w:sz w:val="20"/>
          <w:szCs w:val="20"/>
          <w:lang w:val="es-ES"/>
        </w:rPr>
      </w:pPr>
      <w:r w:rsidRPr="002670B8">
        <w:rPr>
          <w:rFonts w:ascii="Arial" w:eastAsia="Arial" w:hAnsi="Arial" w:cs="Arial"/>
          <w:sz w:val="20"/>
          <w:szCs w:val="20"/>
          <w:lang w:val="es-ES"/>
        </w:rPr>
        <w:t>Juan Ortiz</w:t>
      </w:r>
    </w:p>
    <w:p w14:paraId="376C2506" w14:textId="77777777" w:rsidR="005622B2" w:rsidRPr="002670B8" w:rsidRDefault="005622B2" w:rsidP="005622B2">
      <w:pPr>
        <w:pStyle w:val="NoSpacing"/>
        <w:spacing w:line="276" w:lineRule="auto"/>
        <w:rPr>
          <w:rFonts w:ascii="Arial" w:eastAsia="Arial" w:hAnsi="Arial" w:cs="Arial"/>
          <w:sz w:val="20"/>
          <w:szCs w:val="20"/>
          <w:lang w:val="es-ES"/>
        </w:rPr>
      </w:pPr>
      <w:r w:rsidRPr="002670B8">
        <w:rPr>
          <w:rFonts w:ascii="Arial" w:eastAsia="Arial" w:hAnsi="Arial" w:cs="Arial"/>
          <w:sz w:val="20"/>
          <w:szCs w:val="20"/>
          <w:lang w:val="es-ES"/>
        </w:rPr>
        <w:t>Tel: 91 926 67 05</w:t>
      </w:r>
    </w:p>
    <w:p w14:paraId="41C329D3" w14:textId="0BF372BD" w:rsidR="0017673B" w:rsidRPr="002670B8" w:rsidRDefault="005622B2" w:rsidP="0017673B">
      <w:pPr>
        <w:pStyle w:val="NoSpacing"/>
        <w:spacing w:line="276" w:lineRule="auto"/>
        <w:rPr>
          <w:rFonts w:ascii="Arial" w:eastAsia="Arial" w:hAnsi="Arial" w:cs="Arial"/>
          <w:b/>
          <w:bCs/>
          <w:sz w:val="20"/>
          <w:szCs w:val="20"/>
          <w:lang w:val="es-ES"/>
        </w:rPr>
      </w:pPr>
      <w:r w:rsidRPr="002670B8">
        <w:rPr>
          <w:rFonts w:ascii="Arial" w:eastAsia="Arial" w:hAnsi="Arial" w:cs="Arial"/>
          <w:sz w:val="20"/>
          <w:szCs w:val="20"/>
          <w:lang w:val="es-ES"/>
        </w:rPr>
        <w:t xml:space="preserve">E-mail: </w:t>
      </w:r>
      <w:hyperlink r:id="rId22">
        <w:r w:rsidRPr="002670B8">
          <w:rPr>
            <w:rFonts w:ascii="Arial" w:eastAsia="Arial" w:hAnsi="Arial" w:cs="Arial"/>
            <w:color w:val="0000FF"/>
            <w:sz w:val="20"/>
            <w:szCs w:val="20"/>
            <w:u w:val="single"/>
            <w:lang w:val="es-ES"/>
          </w:rPr>
          <w:t>juan.ortiz@teamlewis.com</w:t>
        </w:r>
      </w:hyperlink>
      <w:bookmarkStart w:id="11" w:name="fn1"/>
      <w:bookmarkEnd w:id="11"/>
    </w:p>
    <w:sectPr w:rsidR="0017673B" w:rsidRPr="002670B8">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6388" w14:textId="77777777" w:rsidR="003D02B5" w:rsidRDefault="003D02B5" w:rsidP="00BC5DEE">
      <w:pPr>
        <w:spacing w:after="0" w:line="240" w:lineRule="auto"/>
      </w:pPr>
      <w:r>
        <w:separator/>
      </w:r>
    </w:p>
  </w:endnote>
  <w:endnote w:type="continuationSeparator" w:id="0">
    <w:p w14:paraId="42F7453E" w14:textId="77777777" w:rsidR="003D02B5" w:rsidRDefault="003D02B5" w:rsidP="00BC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ter">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90C4" w14:textId="77777777" w:rsidR="003D02B5" w:rsidRDefault="003D02B5" w:rsidP="00BC5DEE">
      <w:pPr>
        <w:spacing w:after="0" w:line="240" w:lineRule="auto"/>
      </w:pPr>
      <w:r>
        <w:separator/>
      </w:r>
    </w:p>
  </w:footnote>
  <w:footnote w:type="continuationSeparator" w:id="0">
    <w:p w14:paraId="1607F867" w14:textId="77777777" w:rsidR="003D02B5" w:rsidRDefault="003D02B5" w:rsidP="00BC5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425D" w14:textId="548F1C68" w:rsidR="7D770590" w:rsidRDefault="009158C7" w:rsidP="7D770590">
    <w:pPr>
      <w:pStyle w:val="Header"/>
    </w:pPr>
    <w:r>
      <w:rPr>
        <w:noProof/>
      </w:rPr>
      <w:drawing>
        <wp:anchor distT="0" distB="0" distL="114300" distR="114300" simplePos="0" relativeHeight="251658240" behindDoc="0" locked="0" layoutInCell="1" allowOverlap="1" wp14:anchorId="1141ACDB" wp14:editId="5BBADCFF">
          <wp:simplePos x="0" y="0"/>
          <wp:positionH relativeFrom="margin">
            <wp:posOffset>4730750</wp:posOffset>
          </wp:positionH>
          <wp:positionV relativeFrom="margin">
            <wp:posOffset>-736600</wp:posOffset>
          </wp:positionV>
          <wp:extent cx="1762125" cy="333375"/>
          <wp:effectExtent l="0" t="0" r="3175" b="0"/>
          <wp:wrapSquare wrapText="bothSides"/>
          <wp:docPr id="2146880460" name="drawing" descr="Logo&#10;&#10;Description automatically generated,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80483"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33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420"/>
    <w:multiLevelType w:val="multilevel"/>
    <w:tmpl w:val="D160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F21E0"/>
    <w:multiLevelType w:val="hybridMultilevel"/>
    <w:tmpl w:val="9232F4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46927AB"/>
    <w:multiLevelType w:val="hybridMultilevel"/>
    <w:tmpl w:val="255A5DE8"/>
    <w:lvl w:ilvl="0" w:tplc="09A8AE2E">
      <w:start w:val="1"/>
      <w:numFmt w:val="decimal"/>
      <w:lvlText w:val="%1."/>
      <w:lvlJc w:val="left"/>
      <w:pPr>
        <w:tabs>
          <w:tab w:val="num" w:pos="900"/>
        </w:tabs>
        <w:ind w:left="540" w:hanging="360"/>
      </w:pPr>
    </w:lvl>
    <w:lvl w:ilvl="1" w:tplc="8C2E4BBA">
      <w:numFmt w:val="decimal"/>
      <w:lvlText w:val=""/>
      <w:lvlJc w:val="left"/>
    </w:lvl>
    <w:lvl w:ilvl="2" w:tplc="B3BCC02E">
      <w:numFmt w:val="decimal"/>
      <w:lvlText w:val=""/>
      <w:lvlJc w:val="left"/>
    </w:lvl>
    <w:lvl w:ilvl="3" w:tplc="1DE8CFE8">
      <w:numFmt w:val="decimal"/>
      <w:lvlText w:val=""/>
      <w:lvlJc w:val="left"/>
    </w:lvl>
    <w:lvl w:ilvl="4" w:tplc="73DAED9A">
      <w:numFmt w:val="decimal"/>
      <w:lvlText w:val=""/>
      <w:lvlJc w:val="left"/>
    </w:lvl>
    <w:lvl w:ilvl="5" w:tplc="BF2EC96E">
      <w:numFmt w:val="decimal"/>
      <w:lvlText w:val=""/>
      <w:lvlJc w:val="left"/>
    </w:lvl>
    <w:lvl w:ilvl="6" w:tplc="33A6BC34">
      <w:numFmt w:val="decimal"/>
      <w:lvlText w:val=""/>
      <w:lvlJc w:val="left"/>
    </w:lvl>
    <w:lvl w:ilvl="7" w:tplc="C78E2736">
      <w:numFmt w:val="decimal"/>
      <w:lvlText w:val=""/>
      <w:lvlJc w:val="left"/>
    </w:lvl>
    <w:lvl w:ilvl="8" w:tplc="C15C759E">
      <w:numFmt w:val="decimal"/>
      <w:lvlText w:val=""/>
      <w:lvlJc w:val="left"/>
    </w:lvl>
  </w:abstractNum>
  <w:abstractNum w:abstractNumId="3" w15:restartNumberingAfterBreak="0">
    <w:nsid w:val="1D06CE7F"/>
    <w:multiLevelType w:val="hybridMultilevel"/>
    <w:tmpl w:val="E3AA6F5C"/>
    <w:lvl w:ilvl="0" w:tplc="81C03DAA">
      <w:start w:val="1"/>
      <w:numFmt w:val="bullet"/>
      <w:lvlText w:val=""/>
      <w:lvlJc w:val="left"/>
      <w:pPr>
        <w:ind w:left="720" w:hanging="360"/>
      </w:pPr>
      <w:rPr>
        <w:rFonts w:ascii="Symbol" w:hAnsi="Symbol" w:hint="default"/>
      </w:rPr>
    </w:lvl>
    <w:lvl w:ilvl="1" w:tplc="352C2F20">
      <w:start w:val="1"/>
      <w:numFmt w:val="bullet"/>
      <w:lvlText w:val="o"/>
      <w:lvlJc w:val="left"/>
      <w:pPr>
        <w:ind w:left="1440" w:hanging="360"/>
      </w:pPr>
      <w:rPr>
        <w:rFonts w:ascii="Courier New" w:hAnsi="Courier New" w:hint="default"/>
      </w:rPr>
    </w:lvl>
    <w:lvl w:ilvl="2" w:tplc="50AC4C74">
      <w:start w:val="1"/>
      <w:numFmt w:val="bullet"/>
      <w:lvlText w:val=""/>
      <w:lvlJc w:val="left"/>
      <w:pPr>
        <w:ind w:left="2160" w:hanging="360"/>
      </w:pPr>
      <w:rPr>
        <w:rFonts w:ascii="Wingdings" w:hAnsi="Wingdings" w:hint="default"/>
      </w:rPr>
    </w:lvl>
    <w:lvl w:ilvl="3" w:tplc="6358B68E">
      <w:start w:val="1"/>
      <w:numFmt w:val="bullet"/>
      <w:lvlText w:val=""/>
      <w:lvlJc w:val="left"/>
      <w:pPr>
        <w:ind w:left="2880" w:hanging="360"/>
      </w:pPr>
      <w:rPr>
        <w:rFonts w:ascii="Symbol" w:hAnsi="Symbol" w:hint="default"/>
      </w:rPr>
    </w:lvl>
    <w:lvl w:ilvl="4" w:tplc="0144CF7E">
      <w:start w:val="1"/>
      <w:numFmt w:val="bullet"/>
      <w:lvlText w:val="o"/>
      <w:lvlJc w:val="left"/>
      <w:pPr>
        <w:ind w:left="3600" w:hanging="360"/>
      </w:pPr>
      <w:rPr>
        <w:rFonts w:ascii="Courier New" w:hAnsi="Courier New" w:hint="default"/>
      </w:rPr>
    </w:lvl>
    <w:lvl w:ilvl="5" w:tplc="BAC8178E">
      <w:start w:val="1"/>
      <w:numFmt w:val="bullet"/>
      <w:lvlText w:val=""/>
      <w:lvlJc w:val="left"/>
      <w:pPr>
        <w:ind w:left="4320" w:hanging="360"/>
      </w:pPr>
      <w:rPr>
        <w:rFonts w:ascii="Wingdings" w:hAnsi="Wingdings" w:hint="default"/>
      </w:rPr>
    </w:lvl>
    <w:lvl w:ilvl="6" w:tplc="15EC4272">
      <w:start w:val="1"/>
      <w:numFmt w:val="bullet"/>
      <w:lvlText w:val=""/>
      <w:lvlJc w:val="left"/>
      <w:pPr>
        <w:ind w:left="5040" w:hanging="360"/>
      </w:pPr>
      <w:rPr>
        <w:rFonts w:ascii="Symbol" w:hAnsi="Symbol" w:hint="default"/>
      </w:rPr>
    </w:lvl>
    <w:lvl w:ilvl="7" w:tplc="5EDC95E8">
      <w:start w:val="1"/>
      <w:numFmt w:val="bullet"/>
      <w:lvlText w:val="o"/>
      <w:lvlJc w:val="left"/>
      <w:pPr>
        <w:ind w:left="5760" w:hanging="360"/>
      </w:pPr>
      <w:rPr>
        <w:rFonts w:ascii="Courier New" w:hAnsi="Courier New" w:hint="default"/>
      </w:rPr>
    </w:lvl>
    <w:lvl w:ilvl="8" w:tplc="71D682D6">
      <w:start w:val="1"/>
      <w:numFmt w:val="bullet"/>
      <w:lvlText w:val=""/>
      <w:lvlJc w:val="left"/>
      <w:pPr>
        <w:ind w:left="6480" w:hanging="360"/>
      </w:pPr>
      <w:rPr>
        <w:rFonts w:ascii="Wingdings" w:hAnsi="Wingdings" w:hint="default"/>
      </w:rPr>
    </w:lvl>
  </w:abstractNum>
  <w:abstractNum w:abstractNumId="4" w15:restartNumberingAfterBreak="0">
    <w:nsid w:val="2EE549FA"/>
    <w:multiLevelType w:val="hybridMultilevel"/>
    <w:tmpl w:val="69789F2E"/>
    <w:lvl w:ilvl="0" w:tplc="20CA4756">
      <w:start w:val="1"/>
      <w:numFmt w:val="decimal"/>
      <w:lvlText w:val="%1."/>
      <w:lvlJc w:val="left"/>
      <w:pPr>
        <w:tabs>
          <w:tab w:val="num" w:pos="900"/>
        </w:tabs>
        <w:ind w:left="540" w:hanging="360"/>
      </w:pPr>
    </w:lvl>
    <w:lvl w:ilvl="1" w:tplc="0E0AFE9A">
      <w:numFmt w:val="decimal"/>
      <w:lvlText w:val=""/>
      <w:lvlJc w:val="left"/>
    </w:lvl>
    <w:lvl w:ilvl="2" w:tplc="FFC61654">
      <w:numFmt w:val="decimal"/>
      <w:lvlText w:val=""/>
      <w:lvlJc w:val="left"/>
    </w:lvl>
    <w:lvl w:ilvl="3" w:tplc="DE9484DA">
      <w:numFmt w:val="decimal"/>
      <w:lvlText w:val=""/>
      <w:lvlJc w:val="left"/>
    </w:lvl>
    <w:lvl w:ilvl="4" w:tplc="1C80DEAE">
      <w:numFmt w:val="decimal"/>
      <w:lvlText w:val=""/>
      <w:lvlJc w:val="left"/>
    </w:lvl>
    <w:lvl w:ilvl="5" w:tplc="333616F0">
      <w:numFmt w:val="decimal"/>
      <w:lvlText w:val=""/>
      <w:lvlJc w:val="left"/>
    </w:lvl>
    <w:lvl w:ilvl="6" w:tplc="77DCD0E4">
      <w:numFmt w:val="decimal"/>
      <w:lvlText w:val=""/>
      <w:lvlJc w:val="left"/>
    </w:lvl>
    <w:lvl w:ilvl="7" w:tplc="5DF4CD4E">
      <w:numFmt w:val="decimal"/>
      <w:lvlText w:val=""/>
      <w:lvlJc w:val="left"/>
    </w:lvl>
    <w:lvl w:ilvl="8" w:tplc="C61A5336">
      <w:numFmt w:val="decimal"/>
      <w:lvlText w:val=""/>
      <w:lvlJc w:val="left"/>
    </w:lvl>
  </w:abstractNum>
  <w:abstractNum w:abstractNumId="5" w15:restartNumberingAfterBreak="0">
    <w:nsid w:val="37B2756C"/>
    <w:multiLevelType w:val="multilevel"/>
    <w:tmpl w:val="1714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C520D4"/>
    <w:multiLevelType w:val="hybridMultilevel"/>
    <w:tmpl w:val="56C090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07D3676"/>
    <w:multiLevelType w:val="hybridMultilevel"/>
    <w:tmpl w:val="F724AC7A"/>
    <w:lvl w:ilvl="0" w:tplc="726887F2">
      <w:start w:val="1"/>
      <w:numFmt w:val="decimal"/>
      <w:lvlText w:val="%1."/>
      <w:lvlJc w:val="left"/>
      <w:pPr>
        <w:tabs>
          <w:tab w:val="num" w:pos="900"/>
        </w:tabs>
        <w:ind w:left="540" w:hanging="360"/>
      </w:pPr>
    </w:lvl>
    <w:lvl w:ilvl="1" w:tplc="CC687034">
      <w:numFmt w:val="decimal"/>
      <w:lvlText w:val=""/>
      <w:lvlJc w:val="left"/>
    </w:lvl>
    <w:lvl w:ilvl="2" w:tplc="094CE714">
      <w:numFmt w:val="decimal"/>
      <w:lvlText w:val=""/>
      <w:lvlJc w:val="left"/>
    </w:lvl>
    <w:lvl w:ilvl="3" w:tplc="6D0CBFA8">
      <w:numFmt w:val="decimal"/>
      <w:lvlText w:val=""/>
      <w:lvlJc w:val="left"/>
    </w:lvl>
    <w:lvl w:ilvl="4" w:tplc="31E8E63A">
      <w:numFmt w:val="decimal"/>
      <w:lvlText w:val=""/>
      <w:lvlJc w:val="left"/>
    </w:lvl>
    <w:lvl w:ilvl="5" w:tplc="D05A82A2">
      <w:numFmt w:val="decimal"/>
      <w:lvlText w:val=""/>
      <w:lvlJc w:val="left"/>
    </w:lvl>
    <w:lvl w:ilvl="6" w:tplc="13D07BC4">
      <w:numFmt w:val="decimal"/>
      <w:lvlText w:val=""/>
      <w:lvlJc w:val="left"/>
    </w:lvl>
    <w:lvl w:ilvl="7" w:tplc="9D229AE6">
      <w:numFmt w:val="decimal"/>
      <w:lvlText w:val=""/>
      <w:lvlJc w:val="left"/>
    </w:lvl>
    <w:lvl w:ilvl="8" w:tplc="F82A279A">
      <w:numFmt w:val="decimal"/>
      <w:lvlText w:val=""/>
      <w:lvlJc w:val="left"/>
    </w:lvl>
  </w:abstractNum>
  <w:abstractNum w:abstractNumId="8" w15:restartNumberingAfterBreak="0">
    <w:nsid w:val="54AC04EE"/>
    <w:multiLevelType w:val="hybridMultilevel"/>
    <w:tmpl w:val="7C2C19F6"/>
    <w:lvl w:ilvl="0" w:tplc="6E4E407C">
      <w:start w:val="1"/>
      <w:numFmt w:val="bullet"/>
      <w:lvlText w:val=""/>
      <w:lvlJc w:val="left"/>
      <w:pPr>
        <w:tabs>
          <w:tab w:val="num" w:pos="900"/>
        </w:tabs>
        <w:ind w:left="540" w:hanging="360"/>
      </w:pPr>
      <w:rPr>
        <w:rFonts w:ascii="Symbol" w:hAnsi="Symbol" w:hint="default"/>
      </w:rPr>
    </w:lvl>
    <w:lvl w:ilvl="1" w:tplc="23526E5C">
      <w:numFmt w:val="decimal"/>
      <w:lvlText w:val=""/>
      <w:lvlJc w:val="left"/>
    </w:lvl>
    <w:lvl w:ilvl="2" w:tplc="1CB0F50E">
      <w:numFmt w:val="decimal"/>
      <w:lvlText w:val=""/>
      <w:lvlJc w:val="left"/>
    </w:lvl>
    <w:lvl w:ilvl="3" w:tplc="AA60AE2E">
      <w:numFmt w:val="decimal"/>
      <w:lvlText w:val=""/>
      <w:lvlJc w:val="left"/>
    </w:lvl>
    <w:lvl w:ilvl="4" w:tplc="8884D9DC">
      <w:numFmt w:val="decimal"/>
      <w:lvlText w:val=""/>
      <w:lvlJc w:val="left"/>
    </w:lvl>
    <w:lvl w:ilvl="5" w:tplc="65B07DDE">
      <w:numFmt w:val="decimal"/>
      <w:lvlText w:val=""/>
      <w:lvlJc w:val="left"/>
    </w:lvl>
    <w:lvl w:ilvl="6" w:tplc="3CB44E16">
      <w:numFmt w:val="decimal"/>
      <w:lvlText w:val=""/>
      <w:lvlJc w:val="left"/>
    </w:lvl>
    <w:lvl w:ilvl="7" w:tplc="0D943E68">
      <w:numFmt w:val="decimal"/>
      <w:lvlText w:val=""/>
      <w:lvlJc w:val="left"/>
    </w:lvl>
    <w:lvl w:ilvl="8" w:tplc="7D907AF0">
      <w:numFmt w:val="decimal"/>
      <w:lvlText w:val=""/>
      <w:lvlJc w:val="left"/>
    </w:lvl>
  </w:abstractNum>
  <w:abstractNum w:abstractNumId="9" w15:restartNumberingAfterBreak="0">
    <w:nsid w:val="565A14F5"/>
    <w:multiLevelType w:val="hybridMultilevel"/>
    <w:tmpl w:val="51C208CA"/>
    <w:lvl w:ilvl="0" w:tplc="96D85FC6">
      <w:start w:val="1"/>
      <w:numFmt w:val="bullet"/>
      <w:lvlText w:val=""/>
      <w:lvlJc w:val="left"/>
      <w:pPr>
        <w:tabs>
          <w:tab w:val="num" w:pos="900"/>
        </w:tabs>
        <w:ind w:left="540" w:hanging="360"/>
      </w:pPr>
      <w:rPr>
        <w:rFonts w:ascii="Symbol" w:hAnsi="Symbol" w:hint="default"/>
      </w:rPr>
    </w:lvl>
    <w:lvl w:ilvl="1" w:tplc="863C5188">
      <w:numFmt w:val="decimal"/>
      <w:lvlText w:val=""/>
      <w:lvlJc w:val="left"/>
    </w:lvl>
    <w:lvl w:ilvl="2" w:tplc="34306B9E">
      <w:numFmt w:val="decimal"/>
      <w:lvlText w:val=""/>
      <w:lvlJc w:val="left"/>
    </w:lvl>
    <w:lvl w:ilvl="3" w:tplc="06EA9C64">
      <w:numFmt w:val="decimal"/>
      <w:lvlText w:val=""/>
      <w:lvlJc w:val="left"/>
    </w:lvl>
    <w:lvl w:ilvl="4" w:tplc="133AE104">
      <w:numFmt w:val="decimal"/>
      <w:lvlText w:val=""/>
      <w:lvlJc w:val="left"/>
    </w:lvl>
    <w:lvl w:ilvl="5" w:tplc="E5BCFD56">
      <w:numFmt w:val="decimal"/>
      <w:lvlText w:val=""/>
      <w:lvlJc w:val="left"/>
    </w:lvl>
    <w:lvl w:ilvl="6" w:tplc="4E8E18E6">
      <w:numFmt w:val="decimal"/>
      <w:lvlText w:val=""/>
      <w:lvlJc w:val="left"/>
    </w:lvl>
    <w:lvl w:ilvl="7" w:tplc="B0367E66">
      <w:numFmt w:val="decimal"/>
      <w:lvlText w:val=""/>
      <w:lvlJc w:val="left"/>
    </w:lvl>
    <w:lvl w:ilvl="8" w:tplc="9A44C6BC">
      <w:numFmt w:val="decimal"/>
      <w:lvlText w:val=""/>
      <w:lvlJc w:val="left"/>
    </w:lvl>
  </w:abstractNum>
  <w:abstractNum w:abstractNumId="10" w15:restartNumberingAfterBreak="0">
    <w:nsid w:val="58614C39"/>
    <w:multiLevelType w:val="hybridMultilevel"/>
    <w:tmpl w:val="BD944F78"/>
    <w:lvl w:ilvl="0" w:tplc="02CCC18A">
      <w:start w:val="1"/>
      <w:numFmt w:val="bullet"/>
      <w:lvlText w:val=""/>
      <w:lvlJc w:val="left"/>
      <w:pPr>
        <w:tabs>
          <w:tab w:val="num" w:pos="900"/>
        </w:tabs>
        <w:ind w:left="540" w:hanging="360"/>
      </w:pPr>
      <w:rPr>
        <w:rFonts w:ascii="Symbol" w:hAnsi="Symbol" w:hint="default"/>
      </w:rPr>
    </w:lvl>
    <w:lvl w:ilvl="1" w:tplc="78640510">
      <w:numFmt w:val="decimal"/>
      <w:lvlText w:val=""/>
      <w:lvlJc w:val="left"/>
    </w:lvl>
    <w:lvl w:ilvl="2" w:tplc="ACD273AE">
      <w:numFmt w:val="decimal"/>
      <w:lvlText w:val=""/>
      <w:lvlJc w:val="left"/>
    </w:lvl>
    <w:lvl w:ilvl="3" w:tplc="4F68BFCE">
      <w:numFmt w:val="decimal"/>
      <w:lvlText w:val=""/>
      <w:lvlJc w:val="left"/>
    </w:lvl>
    <w:lvl w:ilvl="4" w:tplc="BC268504">
      <w:numFmt w:val="decimal"/>
      <w:lvlText w:val=""/>
      <w:lvlJc w:val="left"/>
    </w:lvl>
    <w:lvl w:ilvl="5" w:tplc="59F20B80">
      <w:numFmt w:val="decimal"/>
      <w:lvlText w:val=""/>
      <w:lvlJc w:val="left"/>
    </w:lvl>
    <w:lvl w:ilvl="6" w:tplc="8752BD06">
      <w:numFmt w:val="decimal"/>
      <w:lvlText w:val=""/>
      <w:lvlJc w:val="left"/>
    </w:lvl>
    <w:lvl w:ilvl="7" w:tplc="2D92ADE2">
      <w:numFmt w:val="decimal"/>
      <w:lvlText w:val=""/>
      <w:lvlJc w:val="left"/>
    </w:lvl>
    <w:lvl w:ilvl="8" w:tplc="299CB276">
      <w:numFmt w:val="decimal"/>
      <w:lvlText w:val=""/>
      <w:lvlJc w:val="left"/>
    </w:lvl>
  </w:abstractNum>
  <w:abstractNum w:abstractNumId="11" w15:restartNumberingAfterBreak="0">
    <w:nsid w:val="5C9F0C2E"/>
    <w:multiLevelType w:val="multilevel"/>
    <w:tmpl w:val="E264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2719C3"/>
    <w:multiLevelType w:val="multilevel"/>
    <w:tmpl w:val="FD70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D3FB1F"/>
    <w:multiLevelType w:val="hybridMultilevel"/>
    <w:tmpl w:val="FFFFFFFF"/>
    <w:lvl w:ilvl="0" w:tplc="57EC5F66">
      <w:start w:val="1"/>
      <w:numFmt w:val="bullet"/>
      <w:lvlText w:val=""/>
      <w:lvlJc w:val="left"/>
      <w:pPr>
        <w:ind w:left="720" w:hanging="360"/>
      </w:pPr>
      <w:rPr>
        <w:rFonts w:ascii="Symbol" w:hAnsi="Symbol" w:hint="default"/>
      </w:rPr>
    </w:lvl>
    <w:lvl w:ilvl="1" w:tplc="30408D0E">
      <w:start w:val="1"/>
      <w:numFmt w:val="bullet"/>
      <w:lvlText w:val="o"/>
      <w:lvlJc w:val="left"/>
      <w:pPr>
        <w:ind w:left="1440" w:hanging="360"/>
      </w:pPr>
      <w:rPr>
        <w:rFonts w:ascii="Courier New" w:hAnsi="Courier New" w:hint="default"/>
      </w:rPr>
    </w:lvl>
    <w:lvl w:ilvl="2" w:tplc="EDA21A68">
      <w:start w:val="1"/>
      <w:numFmt w:val="bullet"/>
      <w:lvlText w:val=""/>
      <w:lvlJc w:val="left"/>
      <w:pPr>
        <w:ind w:left="2160" w:hanging="360"/>
      </w:pPr>
      <w:rPr>
        <w:rFonts w:ascii="Wingdings" w:hAnsi="Wingdings" w:hint="default"/>
      </w:rPr>
    </w:lvl>
    <w:lvl w:ilvl="3" w:tplc="4DECB17A">
      <w:start w:val="1"/>
      <w:numFmt w:val="bullet"/>
      <w:lvlText w:val=""/>
      <w:lvlJc w:val="left"/>
      <w:pPr>
        <w:ind w:left="2880" w:hanging="360"/>
      </w:pPr>
      <w:rPr>
        <w:rFonts w:ascii="Symbol" w:hAnsi="Symbol" w:hint="default"/>
      </w:rPr>
    </w:lvl>
    <w:lvl w:ilvl="4" w:tplc="43E06076">
      <w:start w:val="1"/>
      <w:numFmt w:val="bullet"/>
      <w:lvlText w:val="o"/>
      <w:lvlJc w:val="left"/>
      <w:pPr>
        <w:ind w:left="3600" w:hanging="360"/>
      </w:pPr>
      <w:rPr>
        <w:rFonts w:ascii="Courier New" w:hAnsi="Courier New" w:hint="default"/>
      </w:rPr>
    </w:lvl>
    <w:lvl w:ilvl="5" w:tplc="FD2C1474">
      <w:start w:val="1"/>
      <w:numFmt w:val="bullet"/>
      <w:lvlText w:val=""/>
      <w:lvlJc w:val="left"/>
      <w:pPr>
        <w:ind w:left="4320" w:hanging="360"/>
      </w:pPr>
      <w:rPr>
        <w:rFonts w:ascii="Wingdings" w:hAnsi="Wingdings" w:hint="default"/>
      </w:rPr>
    </w:lvl>
    <w:lvl w:ilvl="6" w:tplc="FEEC66CE">
      <w:start w:val="1"/>
      <w:numFmt w:val="bullet"/>
      <w:lvlText w:val=""/>
      <w:lvlJc w:val="left"/>
      <w:pPr>
        <w:ind w:left="5040" w:hanging="360"/>
      </w:pPr>
      <w:rPr>
        <w:rFonts w:ascii="Symbol" w:hAnsi="Symbol" w:hint="default"/>
      </w:rPr>
    </w:lvl>
    <w:lvl w:ilvl="7" w:tplc="82B6EDCA">
      <w:start w:val="1"/>
      <w:numFmt w:val="bullet"/>
      <w:lvlText w:val="o"/>
      <w:lvlJc w:val="left"/>
      <w:pPr>
        <w:ind w:left="5760" w:hanging="360"/>
      </w:pPr>
      <w:rPr>
        <w:rFonts w:ascii="Courier New" w:hAnsi="Courier New" w:hint="default"/>
      </w:rPr>
    </w:lvl>
    <w:lvl w:ilvl="8" w:tplc="FED034EA">
      <w:start w:val="1"/>
      <w:numFmt w:val="bullet"/>
      <w:lvlText w:val=""/>
      <w:lvlJc w:val="left"/>
      <w:pPr>
        <w:ind w:left="6480" w:hanging="360"/>
      </w:pPr>
      <w:rPr>
        <w:rFonts w:ascii="Wingdings" w:hAnsi="Wingdings" w:hint="default"/>
      </w:rPr>
    </w:lvl>
  </w:abstractNum>
  <w:num w:numId="1" w16cid:durableId="1321351380">
    <w:abstractNumId w:val="3"/>
  </w:num>
  <w:num w:numId="2" w16cid:durableId="794256929">
    <w:abstractNumId w:val="13"/>
  </w:num>
  <w:num w:numId="3" w16cid:durableId="1646857453">
    <w:abstractNumId w:val="4"/>
  </w:num>
  <w:num w:numId="4" w16cid:durableId="29384624">
    <w:abstractNumId w:val="10"/>
  </w:num>
  <w:num w:numId="5" w16cid:durableId="991719428">
    <w:abstractNumId w:val="2"/>
  </w:num>
  <w:num w:numId="6" w16cid:durableId="1419012770">
    <w:abstractNumId w:val="8"/>
  </w:num>
  <w:num w:numId="7" w16cid:durableId="1254557536">
    <w:abstractNumId w:val="7"/>
  </w:num>
  <w:num w:numId="8" w16cid:durableId="439300994">
    <w:abstractNumId w:val="12"/>
  </w:num>
  <w:num w:numId="9" w16cid:durableId="898635266">
    <w:abstractNumId w:val="5"/>
  </w:num>
  <w:num w:numId="10" w16cid:durableId="208996144">
    <w:abstractNumId w:val="0"/>
  </w:num>
  <w:num w:numId="11" w16cid:durableId="1479690390">
    <w:abstractNumId w:val="11"/>
  </w:num>
  <w:num w:numId="12" w16cid:durableId="1687631379">
    <w:abstractNumId w:val="6"/>
  </w:num>
  <w:num w:numId="13" w16cid:durableId="1699312938">
    <w:abstractNumId w:val="9"/>
  </w:num>
  <w:num w:numId="14" w16cid:durableId="107303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E77EEA"/>
    <w:rsid w:val="00001845"/>
    <w:rsid w:val="00001B0C"/>
    <w:rsid w:val="00010ADF"/>
    <w:rsid w:val="00016BDF"/>
    <w:rsid w:val="00023BCD"/>
    <w:rsid w:val="000265B6"/>
    <w:rsid w:val="00027F7E"/>
    <w:rsid w:val="0003095F"/>
    <w:rsid w:val="0003171E"/>
    <w:rsid w:val="00032251"/>
    <w:rsid w:val="00032DD4"/>
    <w:rsid w:val="0003356F"/>
    <w:rsid w:val="000367A8"/>
    <w:rsid w:val="00043588"/>
    <w:rsid w:val="000511DF"/>
    <w:rsid w:val="0005292C"/>
    <w:rsid w:val="00080F0C"/>
    <w:rsid w:val="00096BE1"/>
    <w:rsid w:val="000A0FD6"/>
    <w:rsid w:val="000A2743"/>
    <w:rsid w:val="000A2844"/>
    <w:rsid w:val="000A30FB"/>
    <w:rsid w:val="000C06EF"/>
    <w:rsid w:val="000C0939"/>
    <w:rsid w:val="000C4F2D"/>
    <w:rsid w:val="000C66AA"/>
    <w:rsid w:val="000C7D5D"/>
    <w:rsid w:val="000D3CA0"/>
    <w:rsid w:val="000D49F8"/>
    <w:rsid w:val="000E6891"/>
    <w:rsid w:val="000E76C9"/>
    <w:rsid w:val="000F0616"/>
    <w:rsid w:val="000F696E"/>
    <w:rsid w:val="001051B6"/>
    <w:rsid w:val="00105F55"/>
    <w:rsid w:val="001069AC"/>
    <w:rsid w:val="00110FBE"/>
    <w:rsid w:val="00116331"/>
    <w:rsid w:val="00122FCE"/>
    <w:rsid w:val="00123450"/>
    <w:rsid w:val="00125B51"/>
    <w:rsid w:val="001275C9"/>
    <w:rsid w:val="001303DA"/>
    <w:rsid w:val="00132190"/>
    <w:rsid w:val="00137C6C"/>
    <w:rsid w:val="001414CB"/>
    <w:rsid w:val="0014217F"/>
    <w:rsid w:val="00143A67"/>
    <w:rsid w:val="00143B04"/>
    <w:rsid w:val="0015253C"/>
    <w:rsid w:val="00153E85"/>
    <w:rsid w:val="00154EA1"/>
    <w:rsid w:val="00155D19"/>
    <w:rsid w:val="0016340D"/>
    <w:rsid w:val="00167832"/>
    <w:rsid w:val="00175840"/>
    <w:rsid w:val="00175E3A"/>
    <w:rsid w:val="0017664A"/>
    <w:rsid w:val="0017673B"/>
    <w:rsid w:val="00183A02"/>
    <w:rsid w:val="0019598E"/>
    <w:rsid w:val="0019599B"/>
    <w:rsid w:val="001B78A5"/>
    <w:rsid w:val="001D3FEA"/>
    <w:rsid w:val="001E1FF5"/>
    <w:rsid w:val="001E30A6"/>
    <w:rsid w:val="001E4D07"/>
    <w:rsid w:val="001E4F44"/>
    <w:rsid w:val="001E6C4C"/>
    <w:rsid w:val="00203CD1"/>
    <w:rsid w:val="002076B4"/>
    <w:rsid w:val="0020C3A8"/>
    <w:rsid w:val="00213EB1"/>
    <w:rsid w:val="00214BDC"/>
    <w:rsid w:val="002202BF"/>
    <w:rsid w:val="0022174C"/>
    <w:rsid w:val="002235D6"/>
    <w:rsid w:val="002255DA"/>
    <w:rsid w:val="002330AF"/>
    <w:rsid w:val="002355AA"/>
    <w:rsid w:val="00236A14"/>
    <w:rsid w:val="00240AAD"/>
    <w:rsid w:val="0024341C"/>
    <w:rsid w:val="00244015"/>
    <w:rsid w:val="002546B3"/>
    <w:rsid w:val="00260694"/>
    <w:rsid w:val="00261175"/>
    <w:rsid w:val="00263CD4"/>
    <w:rsid w:val="0026546B"/>
    <w:rsid w:val="0026571E"/>
    <w:rsid w:val="002670B8"/>
    <w:rsid w:val="0026771E"/>
    <w:rsid w:val="00270B22"/>
    <w:rsid w:val="00274CEB"/>
    <w:rsid w:val="00275F67"/>
    <w:rsid w:val="00281265"/>
    <w:rsid w:val="002814AE"/>
    <w:rsid w:val="002825D8"/>
    <w:rsid w:val="00284B46"/>
    <w:rsid w:val="00295262"/>
    <w:rsid w:val="002A118A"/>
    <w:rsid w:val="002A53AA"/>
    <w:rsid w:val="002B25BB"/>
    <w:rsid w:val="002B3955"/>
    <w:rsid w:val="002B47EE"/>
    <w:rsid w:val="002C2536"/>
    <w:rsid w:val="002E4DF1"/>
    <w:rsid w:val="002E737C"/>
    <w:rsid w:val="002F35BD"/>
    <w:rsid w:val="002F3CB8"/>
    <w:rsid w:val="002F7380"/>
    <w:rsid w:val="00305E3D"/>
    <w:rsid w:val="00324489"/>
    <w:rsid w:val="003255E4"/>
    <w:rsid w:val="00331109"/>
    <w:rsid w:val="0033592E"/>
    <w:rsid w:val="0034389D"/>
    <w:rsid w:val="0035132E"/>
    <w:rsid w:val="0037725D"/>
    <w:rsid w:val="00382F8D"/>
    <w:rsid w:val="00387FE5"/>
    <w:rsid w:val="00393AF0"/>
    <w:rsid w:val="003A3BB7"/>
    <w:rsid w:val="003B6590"/>
    <w:rsid w:val="003C0007"/>
    <w:rsid w:val="003C3218"/>
    <w:rsid w:val="003D02B5"/>
    <w:rsid w:val="003D1184"/>
    <w:rsid w:val="003D2072"/>
    <w:rsid w:val="003D30A3"/>
    <w:rsid w:val="003D4750"/>
    <w:rsid w:val="003D776E"/>
    <w:rsid w:val="003E3E06"/>
    <w:rsid w:val="003E7178"/>
    <w:rsid w:val="00402282"/>
    <w:rsid w:val="00403445"/>
    <w:rsid w:val="00410C9B"/>
    <w:rsid w:val="004131FD"/>
    <w:rsid w:val="00420FB7"/>
    <w:rsid w:val="00424DA2"/>
    <w:rsid w:val="00425C21"/>
    <w:rsid w:val="00425EA8"/>
    <w:rsid w:val="00430120"/>
    <w:rsid w:val="0044196F"/>
    <w:rsid w:val="00442EE9"/>
    <w:rsid w:val="0044348E"/>
    <w:rsid w:val="00454C40"/>
    <w:rsid w:val="0045555F"/>
    <w:rsid w:val="00460DE8"/>
    <w:rsid w:val="004661D6"/>
    <w:rsid w:val="00472077"/>
    <w:rsid w:val="00473495"/>
    <w:rsid w:val="0047505B"/>
    <w:rsid w:val="00475154"/>
    <w:rsid w:val="004873BC"/>
    <w:rsid w:val="004A0B73"/>
    <w:rsid w:val="004A4C3A"/>
    <w:rsid w:val="004A7656"/>
    <w:rsid w:val="004C09DB"/>
    <w:rsid w:val="004E04B4"/>
    <w:rsid w:val="004E3450"/>
    <w:rsid w:val="004F1206"/>
    <w:rsid w:val="004F14BE"/>
    <w:rsid w:val="005007A4"/>
    <w:rsid w:val="005065A4"/>
    <w:rsid w:val="00506C81"/>
    <w:rsid w:val="00507854"/>
    <w:rsid w:val="00521A52"/>
    <w:rsid w:val="005228DA"/>
    <w:rsid w:val="00526AAB"/>
    <w:rsid w:val="00537E47"/>
    <w:rsid w:val="0054431A"/>
    <w:rsid w:val="005507DA"/>
    <w:rsid w:val="005519F2"/>
    <w:rsid w:val="00552654"/>
    <w:rsid w:val="00555EB8"/>
    <w:rsid w:val="00557E4D"/>
    <w:rsid w:val="00561159"/>
    <w:rsid w:val="005622B2"/>
    <w:rsid w:val="00565C47"/>
    <w:rsid w:val="00572B40"/>
    <w:rsid w:val="00573893"/>
    <w:rsid w:val="0057636F"/>
    <w:rsid w:val="00580B1D"/>
    <w:rsid w:val="005823D0"/>
    <w:rsid w:val="005857E8"/>
    <w:rsid w:val="00586294"/>
    <w:rsid w:val="00591BE2"/>
    <w:rsid w:val="00592934"/>
    <w:rsid w:val="0059689B"/>
    <w:rsid w:val="005A0315"/>
    <w:rsid w:val="005A036D"/>
    <w:rsid w:val="005B27DB"/>
    <w:rsid w:val="005B50A4"/>
    <w:rsid w:val="005C5360"/>
    <w:rsid w:val="005C6F82"/>
    <w:rsid w:val="005D16E6"/>
    <w:rsid w:val="005E332A"/>
    <w:rsid w:val="005E4CC7"/>
    <w:rsid w:val="005F3E78"/>
    <w:rsid w:val="005F4999"/>
    <w:rsid w:val="00604D64"/>
    <w:rsid w:val="00606204"/>
    <w:rsid w:val="00607036"/>
    <w:rsid w:val="00617D33"/>
    <w:rsid w:val="00621EE9"/>
    <w:rsid w:val="00622DF9"/>
    <w:rsid w:val="006247CE"/>
    <w:rsid w:val="006249C2"/>
    <w:rsid w:val="00625404"/>
    <w:rsid w:val="00625C5B"/>
    <w:rsid w:val="006263D5"/>
    <w:rsid w:val="00626755"/>
    <w:rsid w:val="006274CB"/>
    <w:rsid w:val="00631282"/>
    <w:rsid w:val="00632BB3"/>
    <w:rsid w:val="006402A6"/>
    <w:rsid w:val="0065176B"/>
    <w:rsid w:val="00653514"/>
    <w:rsid w:val="006549BC"/>
    <w:rsid w:val="00657129"/>
    <w:rsid w:val="00661DDE"/>
    <w:rsid w:val="0066471A"/>
    <w:rsid w:val="006673C7"/>
    <w:rsid w:val="00670713"/>
    <w:rsid w:val="00672A3A"/>
    <w:rsid w:val="00672EAF"/>
    <w:rsid w:val="00677F40"/>
    <w:rsid w:val="006824C8"/>
    <w:rsid w:val="00683A20"/>
    <w:rsid w:val="00696151"/>
    <w:rsid w:val="00696338"/>
    <w:rsid w:val="006C5EAB"/>
    <w:rsid w:val="006D0BD0"/>
    <w:rsid w:val="006D48AE"/>
    <w:rsid w:val="006D4EFC"/>
    <w:rsid w:val="006E7CF1"/>
    <w:rsid w:val="006F22EB"/>
    <w:rsid w:val="006F476C"/>
    <w:rsid w:val="006F688A"/>
    <w:rsid w:val="00724860"/>
    <w:rsid w:val="00735FF6"/>
    <w:rsid w:val="0074038E"/>
    <w:rsid w:val="007540FC"/>
    <w:rsid w:val="00754C38"/>
    <w:rsid w:val="00757D33"/>
    <w:rsid w:val="0076085C"/>
    <w:rsid w:val="00762B49"/>
    <w:rsid w:val="00763153"/>
    <w:rsid w:val="00763714"/>
    <w:rsid w:val="00763757"/>
    <w:rsid w:val="00767828"/>
    <w:rsid w:val="00770915"/>
    <w:rsid w:val="0078133C"/>
    <w:rsid w:val="00790921"/>
    <w:rsid w:val="007923FA"/>
    <w:rsid w:val="007B04C1"/>
    <w:rsid w:val="007C0D82"/>
    <w:rsid w:val="007C1B9A"/>
    <w:rsid w:val="007C5065"/>
    <w:rsid w:val="007C5935"/>
    <w:rsid w:val="007C6D7B"/>
    <w:rsid w:val="007D2780"/>
    <w:rsid w:val="007D7BFA"/>
    <w:rsid w:val="007E3498"/>
    <w:rsid w:val="007E4768"/>
    <w:rsid w:val="007E71B1"/>
    <w:rsid w:val="00814893"/>
    <w:rsid w:val="00816B99"/>
    <w:rsid w:val="008244E6"/>
    <w:rsid w:val="00832161"/>
    <w:rsid w:val="00832DE9"/>
    <w:rsid w:val="00837483"/>
    <w:rsid w:val="00841C2B"/>
    <w:rsid w:val="00842518"/>
    <w:rsid w:val="00842E3B"/>
    <w:rsid w:val="00845CE5"/>
    <w:rsid w:val="0085439C"/>
    <w:rsid w:val="0087279F"/>
    <w:rsid w:val="00882F4D"/>
    <w:rsid w:val="00891682"/>
    <w:rsid w:val="00896BD7"/>
    <w:rsid w:val="008A294D"/>
    <w:rsid w:val="008B12CB"/>
    <w:rsid w:val="008B68A9"/>
    <w:rsid w:val="008C4129"/>
    <w:rsid w:val="008E1750"/>
    <w:rsid w:val="008E230F"/>
    <w:rsid w:val="008E31C8"/>
    <w:rsid w:val="008E74B7"/>
    <w:rsid w:val="008F2D55"/>
    <w:rsid w:val="008F40BD"/>
    <w:rsid w:val="008F7F53"/>
    <w:rsid w:val="00901643"/>
    <w:rsid w:val="009019E3"/>
    <w:rsid w:val="0090279E"/>
    <w:rsid w:val="0091345F"/>
    <w:rsid w:val="009158C7"/>
    <w:rsid w:val="00915FC0"/>
    <w:rsid w:val="00921F4B"/>
    <w:rsid w:val="00925478"/>
    <w:rsid w:val="0092632E"/>
    <w:rsid w:val="009348D3"/>
    <w:rsid w:val="009373C0"/>
    <w:rsid w:val="00937F42"/>
    <w:rsid w:val="00940378"/>
    <w:rsid w:val="00943415"/>
    <w:rsid w:val="00945024"/>
    <w:rsid w:val="00945BE3"/>
    <w:rsid w:val="00947AA3"/>
    <w:rsid w:val="00947D8A"/>
    <w:rsid w:val="00956DC0"/>
    <w:rsid w:val="0096250B"/>
    <w:rsid w:val="009628A4"/>
    <w:rsid w:val="009642E0"/>
    <w:rsid w:val="00971156"/>
    <w:rsid w:val="009734CA"/>
    <w:rsid w:val="00975817"/>
    <w:rsid w:val="009769F0"/>
    <w:rsid w:val="0098009A"/>
    <w:rsid w:val="009824A5"/>
    <w:rsid w:val="00982C8A"/>
    <w:rsid w:val="0098358C"/>
    <w:rsid w:val="0099216D"/>
    <w:rsid w:val="00997EC1"/>
    <w:rsid w:val="009A10B7"/>
    <w:rsid w:val="009A15C0"/>
    <w:rsid w:val="009A5274"/>
    <w:rsid w:val="009A769C"/>
    <w:rsid w:val="009B0A73"/>
    <w:rsid w:val="009B13FA"/>
    <w:rsid w:val="009B7B3B"/>
    <w:rsid w:val="009C3FC3"/>
    <w:rsid w:val="009C5330"/>
    <w:rsid w:val="009C6302"/>
    <w:rsid w:val="009C71BC"/>
    <w:rsid w:val="009E0341"/>
    <w:rsid w:val="009E5AF4"/>
    <w:rsid w:val="009E6142"/>
    <w:rsid w:val="009F0967"/>
    <w:rsid w:val="00A046DA"/>
    <w:rsid w:val="00A166EE"/>
    <w:rsid w:val="00A26028"/>
    <w:rsid w:val="00A268F5"/>
    <w:rsid w:val="00A37D4C"/>
    <w:rsid w:val="00A4628A"/>
    <w:rsid w:val="00A50F2E"/>
    <w:rsid w:val="00A51DE3"/>
    <w:rsid w:val="00A7269F"/>
    <w:rsid w:val="00A727FF"/>
    <w:rsid w:val="00A755DA"/>
    <w:rsid w:val="00A7799C"/>
    <w:rsid w:val="00A80320"/>
    <w:rsid w:val="00A837C9"/>
    <w:rsid w:val="00A84A2A"/>
    <w:rsid w:val="00AA4A69"/>
    <w:rsid w:val="00AB1B57"/>
    <w:rsid w:val="00AB5895"/>
    <w:rsid w:val="00AB77B9"/>
    <w:rsid w:val="00AD3B66"/>
    <w:rsid w:val="00B04662"/>
    <w:rsid w:val="00B0761B"/>
    <w:rsid w:val="00B11953"/>
    <w:rsid w:val="00B179A7"/>
    <w:rsid w:val="00B217EA"/>
    <w:rsid w:val="00B23399"/>
    <w:rsid w:val="00B269B9"/>
    <w:rsid w:val="00B27771"/>
    <w:rsid w:val="00B30560"/>
    <w:rsid w:val="00B42B72"/>
    <w:rsid w:val="00B432C8"/>
    <w:rsid w:val="00B50669"/>
    <w:rsid w:val="00B61E75"/>
    <w:rsid w:val="00B6425A"/>
    <w:rsid w:val="00B73D04"/>
    <w:rsid w:val="00B7640C"/>
    <w:rsid w:val="00B76644"/>
    <w:rsid w:val="00B80C03"/>
    <w:rsid w:val="00B94238"/>
    <w:rsid w:val="00B9624A"/>
    <w:rsid w:val="00BA2200"/>
    <w:rsid w:val="00BB1919"/>
    <w:rsid w:val="00BB1A31"/>
    <w:rsid w:val="00BB5FE3"/>
    <w:rsid w:val="00BB71B3"/>
    <w:rsid w:val="00BC056E"/>
    <w:rsid w:val="00BC2FC4"/>
    <w:rsid w:val="00BC5A9C"/>
    <w:rsid w:val="00BC5DEE"/>
    <w:rsid w:val="00BD28E8"/>
    <w:rsid w:val="00BD2CB1"/>
    <w:rsid w:val="00BD5FA0"/>
    <w:rsid w:val="00BE14D6"/>
    <w:rsid w:val="00BE6C1E"/>
    <w:rsid w:val="00BF0187"/>
    <w:rsid w:val="00C04AA3"/>
    <w:rsid w:val="00C07E03"/>
    <w:rsid w:val="00C208B1"/>
    <w:rsid w:val="00C23C66"/>
    <w:rsid w:val="00C24560"/>
    <w:rsid w:val="00C32C48"/>
    <w:rsid w:val="00C3362D"/>
    <w:rsid w:val="00C3495C"/>
    <w:rsid w:val="00C4002E"/>
    <w:rsid w:val="00C42B4D"/>
    <w:rsid w:val="00C42C9A"/>
    <w:rsid w:val="00C479B3"/>
    <w:rsid w:val="00C53149"/>
    <w:rsid w:val="00C652DA"/>
    <w:rsid w:val="00C67146"/>
    <w:rsid w:val="00C70E73"/>
    <w:rsid w:val="00C7142F"/>
    <w:rsid w:val="00C733EC"/>
    <w:rsid w:val="00C7419B"/>
    <w:rsid w:val="00C827F2"/>
    <w:rsid w:val="00C8717B"/>
    <w:rsid w:val="00C90ED8"/>
    <w:rsid w:val="00C92224"/>
    <w:rsid w:val="00C96F38"/>
    <w:rsid w:val="00C97BC5"/>
    <w:rsid w:val="00CA1586"/>
    <w:rsid w:val="00CA347B"/>
    <w:rsid w:val="00CA4449"/>
    <w:rsid w:val="00CA45AC"/>
    <w:rsid w:val="00CA744B"/>
    <w:rsid w:val="00CB0C52"/>
    <w:rsid w:val="00CB5F75"/>
    <w:rsid w:val="00CB6240"/>
    <w:rsid w:val="00CD0B53"/>
    <w:rsid w:val="00CD1FB1"/>
    <w:rsid w:val="00CE19B3"/>
    <w:rsid w:val="00CE3316"/>
    <w:rsid w:val="00CE4755"/>
    <w:rsid w:val="00CE7A3F"/>
    <w:rsid w:val="00CF0067"/>
    <w:rsid w:val="00CF2A3B"/>
    <w:rsid w:val="00CF3037"/>
    <w:rsid w:val="00CF452A"/>
    <w:rsid w:val="00CF4EBD"/>
    <w:rsid w:val="00D01712"/>
    <w:rsid w:val="00D01817"/>
    <w:rsid w:val="00D028BD"/>
    <w:rsid w:val="00D05738"/>
    <w:rsid w:val="00D15C00"/>
    <w:rsid w:val="00D1603A"/>
    <w:rsid w:val="00D21B4C"/>
    <w:rsid w:val="00D238AF"/>
    <w:rsid w:val="00D3080E"/>
    <w:rsid w:val="00D3373A"/>
    <w:rsid w:val="00D34F3A"/>
    <w:rsid w:val="00D36775"/>
    <w:rsid w:val="00D37A5A"/>
    <w:rsid w:val="00D40B36"/>
    <w:rsid w:val="00D411B0"/>
    <w:rsid w:val="00D412AB"/>
    <w:rsid w:val="00D457CA"/>
    <w:rsid w:val="00D46AB9"/>
    <w:rsid w:val="00D510FC"/>
    <w:rsid w:val="00D516E7"/>
    <w:rsid w:val="00D5407F"/>
    <w:rsid w:val="00D55839"/>
    <w:rsid w:val="00D61DA5"/>
    <w:rsid w:val="00D71396"/>
    <w:rsid w:val="00D73883"/>
    <w:rsid w:val="00D822E8"/>
    <w:rsid w:val="00D8521D"/>
    <w:rsid w:val="00D85409"/>
    <w:rsid w:val="00D87EB2"/>
    <w:rsid w:val="00DA117B"/>
    <w:rsid w:val="00DA70A2"/>
    <w:rsid w:val="00DB0F63"/>
    <w:rsid w:val="00DB4A50"/>
    <w:rsid w:val="00DB6769"/>
    <w:rsid w:val="00DC68FA"/>
    <w:rsid w:val="00DD024E"/>
    <w:rsid w:val="00DE0F89"/>
    <w:rsid w:val="00DF7F67"/>
    <w:rsid w:val="00E00ACC"/>
    <w:rsid w:val="00E0278B"/>
    <w:rsid w:val="00E23CFB"/>
    <w:rsid w:val="00E24111"/>
    <w:rsid w:val="00E268C5"/>
    <w:rsid w:val="00E37577"/>
    <w:rsid w:val="00E44760"/>
    <w:rsid w:val="00E473EE"/>
    <w:rsid w:val="00E47822"/>
    <w:rsid w:val="00E50EEB"/>
    <w:rsid w:val="00E67AEE"/>
    <w:rsid w:val="00E70B98"/>
    <w:rsid w:val="00E71570"/>
    <w:rsid w:val="00E732A6"/>
    <w:rsid w:val="00E74F0E"/>
    <w:rsid w:val="00E801C8"/>
    <w:rsid w:val="00E819AE"/>
    <w:rsid w:val="00E836DB"/>
    <w:rsid w:val="00E90C5F"/>
    <w:rsid w:val="00E92F52"/>
    <w:rsid w:val="00E93E9F"/>
    <w:rsid w:val="00E93FE5"/>
    <w:rsid w:val="00E948AF"/>
    <w:rsid w:val="00E9529C"/>
    <w:rsid w:val="00E96D70"/>
    <w:rsid w:val="00EA45DD"/>
    <w:rsid w:val="00EA48AD"/>
    <w:rsid w:val="00EB2E24"/>
    <w:rsid w:val="00EB32DE"/>
    <w:rsid w:val="00EB7462"/>
    <w:rsid w:val="00EC120B"/>
    <w:rsid w:val="00ED0A51"/>
    <w:rsid w:val="00ED0CEF"/>
    <w:rsid w:val="00ED7706"/>
    <w:rsid w:val="00F01014"/>
    <w:rsid w:val="00F029DC"/>
    <w:rsid w:val="00F03AFF"/>
    <w:rsid w:val="00F06FD6"/>
    <w:rsid w:val="00F13E17"/>
    <w:rsid w:val="00F142EB"/>
    <w:rsid w:val="00F14BF9"/>
    <w:rsid w:val="00F1780F"/>
    <w:rsid w:val="00F228EB"/>
    <w:rsid w:val="00F22C43"/>
    <w:rsid w:val="00F23DA3"/>
    <w:rsid w:val="00F35C0E"/>
    <w:rsid w:val="00F360C1"/>
    <w:rsid w:val="00F41F41"/>
    <w:rsid w:val="00F43EFD"/>
    <w:rsid w:val="00F4773D"/>
    <w:rsid w:val="00F53609"/>
    <w:rsid w:val="00F55B41"/>
    <w:rsid w:val="00F62DEC"/>
    <w:rsid w:val="00F65C41"/>
    <w:rsid w:val="00F72B19"/>
    <w:rsid w:val="00F75492"/>
    <w:rsid w:val="00F931F4"/>
    <w:rsid w:val="00F94074"/>
    <w:rsid w:val="00FA36B6"/>
    <w:rsid w:val="00FA4E91"/>
    <w:rsid w:val="00FA5966"/>
    <w:rsid w:val="00FC0375"/>
    <w:rsid w:val="00FC7943"/>
    <w:rsid w:val="00FD19A1"/>
    <w:rsid w:val="00FD4713"/>
    <w:rsid w:val="00FD625C"/>
    <w:rsid w:val="00FD66F3"/>
    <w:rsid w:val="00FE0644"/>
    <w:rsid w:val="00FE1CB2"/>
    <w:rsid w:val="00FE2921"/>
    <w:rsid w:val="00FF07E8"/>
    <w:rsid w:val="00FF0EC6"/>
    <w:rsid w:val="00FF412A"/>
    <w:rsid w:val="0121E4FD"/>
    <w:rsid w:val="01DD4452"/>
    <w:rsid w:val="01FBDE45"/>
    <w:rsid w:val="0245A055"/>
    <w:rsid w:val="027ECAFA"/>
    <w:rsid w:val="03ECAC69"/>
    <w:rsid w:val="0409837F"/>
    <w:rsid w:val="040CF8A3"/>
    <w:rsid w:val="053223CA"/>
    <w:rsid w:val="05D4403B"/>
    <w:rsid w:val="064611DD"/>
    <w:rsid w:val="0662C637"/>
    <w:rsid w:val="06A016F2"/>
    <w:rsid w:val="07D926BE"/>
    <w:rsid w:val="082DC876"/>
    <w:rsid w:val="09216C16"/>
    <w:rsid w:val="093546D0"/>
    <w:rsid w:val="096B1E6B"/>
    <w:rsid w:val="09E1D22C"/>
    <w:rsid w:val="09E30FB3"/>
    <w:rsid w:val="0A6EECA5"/>
    <w:rsid w:val="0A9F64D7"/>
    <w:rsid w:val="0AE043D1"/>
    <w:rsid w:val="0AFB229E"/>
    <w:rsid w:val="0B574040"/>
    <w:rsid w:val="0C2FAA98"/>
    <w:rsid w:val="0D583474"/>
    <w:rsid w:val="0DE23B7D"/>
    <w:rsid w:val="0E18B627"/>
    <w:rsid w:val="0FFA9AA4"/>
    <w:rsid w:val="111CC777"/>
    <w:rsid w:val="1121A66B"/>
    <w:rsid w:val="129F2EEF"/>
    <w:rsid w:val="12EB0C80"/>
    <w:rsid w:val="1446DF5D"/>
    <w:rsid w:val="168697A5"/>
    <w:rsid w:val="1732600C"/>
    <w:rsid w:val="177222D6"/>
    <w:rsid w:val="17CB8E14"/>
    <w:rsid w:val="18DA86C1"/>
    <w:rsid w:val="190696E9"/>
    <w:rsid w:val="19327E2D"/>
    <w:rsid w:val="19F2C386"/>
    <w:rsid w:val="1A0D05B6"/>
    <w:rsid w:val="1B51596D"/>
    <w:rsid w:val="1BCF7840"/>
    <w:rsid w:val="1C211C83"/>
    <w:rsid w:val="1CF6E069"/>
    <w:rsid w:val="1E4D3540"/>
    <w:rsid w:val="1EF94813"/>
    <w:rsid w:val="1F16A821"/>
    <w:rsid w:val="2036ACB5"/>
    <w:rsid w:val="21C0AE05"/>
    <w:rsid w:val="22839EB3"/>
    <w:rsid w:val="2445EED1"/>
    <w:rsid w:val="24DBC9BC"/>
    <w:rsid w:val="252F6123"/>
    <w:rsid w:val="25AA9C19"/>
    <w:rsid w:val="279F0357"/>
    <w:rsid w:val="27C3CD66"/>
    <w:rsid w:val="2828FA56"/>
    <w:rsid w:val="285E774F"/>
    <w:rsid w:val="29D3EBB3"/>
    <w:rsid w:val="2AE3ECAD"/>
    <w:rsid w:val="2AFEC592"/>
    <w:rsid w:val="2C80475C"/>
    <w:rsid w:val="2C85FEDB"/>
    <w:rsid w:val="2D2E5524"/>
    <w:rsid w:val="2D3ABA87"/>
    <w:rsid w:val="2D5B6B0A"/>
    <w:rsid w:val="2E38C334"/>
    <w:rsid w:val="305AF323"/>
    <w:rsid w:val="3142E872"/>
    <w:rsid w:val="3189413D"/>
    <w:rsid w:val="31BD4346"/>
    <w:rsid w:val="31F51BB2"/>
    <w:rsid w:val="32DEC1B2"/>
    <w:rsid w:val="33D379C6"/>
    <w:rsid w:val="33FD4AC7"/>
    <w:rsid w:val="34254A7A"/>
    <w:rsid w:val="3495B277"/>
    <w:rsid w:val="355F1A66"/>
    <w:rsid w:val="3793A9B4"/>
    <w:rsid w:val="37B6CF05"/>
    <w:rsid w:val="37EF0B39"/>
    <w:rsid w:val="3801D5B3"/>
    <w:rsid w:val="388DD610"/>
    <w:rsid w:val="395CC187"/>
    <w:rsid w:val="3AAA7E3D"/>
    <w:rsid w:val="3B0C2860"/>
    <w:rsid w:val="3B9AECC8"/>
    <w:rsid w:val="3C17C1FE"/>
    <w:rsid w:val="3C283F02"/>
    <w:rsid w:val="3DE4DE11"/>
    <w:rsid w:val="3EEE4884"/>
    <w:rsid w:val="3FA6766E"/>
    <w:rsid w:val="3FB545D8"/>
    <w:rsid w:val="4097818A"/>
    <w:rsid w:val="40FABFA6"/>
    <w:rsid w:val="41008DD3"/>
    <w:rsid w:val="412AD122"/>
    <w:rsid w:val="417DD2DB"/>
    <w:rsid w:val="41B49BEA"/>
    <w:rsid w:val="4201C939"/>
    <w:rsid w:val="4290181E"/>
    <w:rsid w:val="43301647"/>
    <w:rsid w:val="4335D4C1"/>
    <w:rsid w:val="459C82E5"/>
    <w:rsid w:val="46AA92A6"/>
    <w:rsid w:val="46F0B257"/>
    <w:rsid w:val="483A8BED"/>
    <w:rsid w:val="48D261F7"/>
    <w:rsid w:val="497F4BF8"/>
    <w:rsid w:val="4A04507E"/>
    <w:rsid w:val="4AB1C922"/>
    <w:rsid w:val="4B9B1A04"/>
    <w:rsid w:val="4C7081BD"/>
    <w:rsid w:val="4C94AF11"/>
    <w:rsid w:val="4E1459F2"/>
    <w:rsid w:val="4EA9F89D"/>
    <w:rsid w:val="4FE77EEA"/>
    <w:rsid w:val="51BEEE0F"/>
    <w:rsid w:val="52442AFA"/>
    <w:rsid w:val="524DD58B"/>
    <w:rsid w:val="52841B2D"/>
    <w:rsid w:val="5416C557"/>
    <w:rsid w:val="54253474"/>
    <w:rsid w:val="54FD09E9"/>
    <w:rsid w:val="5641965E"/>
    <w:rsid w:val="566040B1"/>
    <w:rsid w:val="56790786"/>
    <w:rsid w:val="568CF9BC"/>
    <w:rsid w:val="56D703CB"/>
    <w:rsid w:val="579013CB"/>
    <w:rsid w:val="5880FC45"/>
    <w:rsid w:val="5894B26C"/>
    <w:rsid w:val="5A9275E5"/>
    <w:rsid w:val="5B7B4B2E"/>
    <w:rsid w:val="5C8C5E2B"/>
    <w:rsid w:val="5CA23AC4"/>
    <w:rsid w:val="5CB67DA6"/>
    <w:rsid w:val="5D28D0F3"/>
    <w:rsid w:val="5D48BAB3"/>
    <w:rsid w:val="5DFB73C0"/>
    <w:rsid w:val="5EEA8A89"/>
    <w:rsid w:val="5F04A771"/>
    <w:rsid w:val="601CB01B"/>
    <w:rsid w:val="6085ADF1"/>
    <w:rsid w:val="6373FD60"/>
    <w:rsid w:val="63B0E49C"/>
    <w:rsid w:val="663CF5F4"/>
    <w:rsid w:val="66FF7672"/>
    <w:rsid w:val="67DE2F17"/>
    <w:rsid w:val="69854621"/>
    <w:rsid w:val="6BA4A1E8"/>
    <w:rsid w:val="6C069C4D"/>
    <w:rsid w:val="6C0CDFEA"/>
    <w:rsid w:val="6C2D7679"/>
    <w:rsid w:val="6C314398"/>
    <w:rsid w:val="6C5661C9"/>
    <w:rsid w:val="6C5B1495"/>
    <w:rsid w:val="6CD2A7BE"/>
    <w:rsid w:val="6D7F64F7"/>
    <w:rsid w:val="6DD21ED8"/>
    <w:rsid w:val="6F0015A5"/>
    <w:rsid w:val="6F2573B2"/>
    <w:rsid w:val="6FEB50E4"/>
    <w:rsid w:val="701F3BDC"/>
    <w:rsid w:val="7066CCAA"/>
    <w:rsid w:val="70965AFA"/>
    <w:rsid w:val="70B700A2"/>
    <w:rsid w:val="71CA3D03"/>
    <w:rsid w:val="72B64539"/>
    <w:rsid w:val="740FF0FC"/>
    <w:rsid w:val="74583DBC"/>
    <w:rsid w:val="74F1AA31"/>
    <w:rsid w:val="74F34964"/>
    <w:rsid w:val="7622DD8C"/>
    <w:rsid w:val="764D7383"/>
    <w:rsid w:val="76800B6F"/>
    <w:rsid w:val="7793B974"/>
    <w:rsid w:val="78607310"/>
    <w:rsid w:val="787B4A42"/>
    <w:rsid w:val="789ADFC9"/>
    <w:rsid w:val="78D3E4D3"/>
    <w:rsid w:val="790F9CA6"/>
    <w:rsid w:val="7AE3B8D0"/>
    <w:rsid w:val="7B12C001"/>
    <w:rsid w:val="7BA2B13E"/>
    <w:rsid w:val="7C284F04"/>
    <w:rsid w:val="7D51006C"/>
    <w:rsid w:val="7D770590"/>
    <w:rsid w:val="7E054AB9"/>
    <w:rsid w:val="7E420186"/>
    <w:rsid w:val="7E91F3C1"/>
    <w:rsid w:val="7FA7FD1D"/>
    <w:rsid w:val="7FC51A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77EEA"/>
  <w15:chartTrackingRefBased/>
  <w15:docId w15:val="{B0411834-C19D-4B43-9F0D-17A49A5B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BC5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EE"/>
  </w:style>
  <w:style w:type="paragraph" w:styleId="Header">
    <w:name w:val="header"/>
    <w:basedOn w:val="Normal"/>
    <w:uiPriority w:val="99"/>
    <w:unhideWhenUsed/>
    <w:rsid w:val="7D77059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 w:type="character" w:styleId="Hyperlink">
    <w:name w:val="Hyperlink"/>
    <w:basedOn w:val="DefaultParagraphFont"/>
    <w:uiPriority w:val="99"/>
    <w:unhideWhenUsed/>
    <w:rsid w:val="6F0015A5"/>
    <w:rPr>
      <w:color w:val="467886"/>
      <w:u w:val="single"/>
    </w:rPr>
  </w:style>
  <w:style w:type="paragraph" w:styleId="ListParagraph">
    <w:name w:val="List Paragraph"/>
    <w:basedOn w:val="Normal"/>
    <w:uiPriority w:val="34"/>
    <w:qFormat/>
    <w:rsid w:val="6F0015A5"/>
    <w:pPr>
      <w:ind w:left="720"/>
      <w:contextualSpacing/>
    </w:pPr>
  </w:style>
  <w:style w:type="paragraph" w:styleId="NoSpacing">
    <w:name w:val="No Spacing"/>
    <w:uiPriority w:val="1"/>
    <w:qFormat/>
    <w:rsid w:val="00F4773D"/>
    <w:pPr>
      <w:spacing w:after="0" w:line="240" w:lineRule="auto"/>
    </w:pPr>
  </w:style>
  <w:style w:type="character" w:styleId="UnresolvedMention">
    <w:name w:val="Unresolved Mention"/>
    <w:basedOn w:val="DefaultParagraphFont"/>
    <w:uiPriority w:val="99"/>
    <w:semiHidden/>
    <w:unhideWhenUsed/>
    <w:rsid w:val="005A036D"/>
    <w:rPr>
      <w:color w:val="605E5C"/>
      <w:shd w:val="clear" w:color="auto" w:fill="E1DFDD"/>
    </w:rPr>
  </w:style>
  <w:style w:type="paragraph" w:customStyle="1" w:styleId="my-2">
    <w:name w:val="my-2"/>
    <w:basedOn w:val="Normal"/>
    <w:rsid w:val="00387FE5"/>
    <w:pPr>
      <w:spacing w:before="100" w:beforeAutospacing="1" w:after="100" w:afterAutospacing="1" w:line="240" w:lineRule="auto"/>
    </w:pPr>
    <w:rPr>
      <w:rFonts w:ascii="Times New Roman" w:eastAsia="Times New Roman" w:hAnsi="Times New Roman" w:cs="Times New Roman"/>
      <w:lang w:val="es-ES" w:eastAsia="es-ES_tradnl"/>
    </w:rPr>
  </w:style>
  <w:style w:type="character" w:styleId="Strong">
    <w:name w:val="Strong"/>
    <w:basedOn w:val="DefaultParagraphFont"/>
    <w:uiPriority w:val="22"/>
    <w:qFormat/>
    <w:rsid w:val="00387FE5"/>
    <w:rPr>
      <w:b/>
      <w:bCs/>
    </w:rPr>
  </w:style>
  <w:style w:type="character" w:customStyle="1" w:styleId="text-box-trim-both">
    <w:name w:val="text-box-trim-both"/>
    <w:basedOn w:val="DefaultParagraphFont"/>
    <w:rsid w:val="00387FE5"/>
  </w:style>
  <w:style w:type="character" w:styleId="FollowedHyperlink">
    <w:name w:val="FollowedHyperlink"/>
    <w:basedOn w:val="DefaultParagraphFont"/>
    <w:uiPriority w:val="99"/>
    <w:semiHidden/>
    <w:unhideWhenUsed/>
    <w:rsid w:val="002B3955"/>
    <w:rPr>
      <w:color w:val="96607D" w:themeColor="followedHyperlink"/>
      <w:u w:val="single"/>
    </w:rPr>
  </w:style>
  <w:style w:type="paragraph" w:customStyle="1" w:styleId="NoSpacing1">
    <w:name w:val="No Spacing1"/>
    <w:qFormat/>
    <w:rsid w:val="0016340D"/>
    <w:pPr>
      <w:suppressAutoHyphens/>
      <w:autoSpaceDN w:val="0"/>
      <w:spacing w:after="0" w:line="240" w:lineRule="auto"/>
      <w:textAlignment w:val="baseline"/>
    </w:pPr>
    <w:rPr>
      <w:rFonts w:ascii="Calibri" w:eastAsia="Calibri" w:hAnsi="Calibri" w:cs="Times New Roman"/>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ceros.com/td-synnex/dot-2025-1-1/p/1" TargetMode="External"/><Relationship Id="rId18" Type="http://schemas.openxmlformats.org/officeDocument/2006/relationships/hyperlink" Target="https://cts.businesswire.com/ct/CT?id=smartlink&amp;url=https%3A%2F%2Fwww.linkedin.com%2Fcompany%2Ftdsynnex%2F&amp;esheet=52941201&amp;newsitemid=20221011005305&amp;lan=en-US&amp;anchor=LinkedIn&amp;index=3&amp;md5=a749c0234ab61bfd1f13a4587cb5a1e2" TargetMode="External"/><Relationship Id="rId3" Type="http://schemas.openxmlformats.org/officeDocument/2006/relationships/customXml" Target="../customXml/item3.xml"/><Relationship Id="rId21" Type="http://schemas.openxmlformats.org/officeDocument/2006/relationships/hyperlink" Target="https://u7367035.ct.sendgrid.net/ls/click?upn=u001.Poj1F9nGI3M2MniuU7PQfHkhhPWBGNMvJNbO4EAPce7FZsG5EkSnvtC4C-2Bbopr5xEBh2_SiyBeK-2BfnHBbngR9woVGj7kRQLNS3P4mppV2ugZVmGzp6eimV3JlPAchLJPgLumUNF6q-2Fb5U-2B2myvsSO5npwhKNQNdKATaLBpSdmcbNwEzc5DxJTrlAilyfOjvkz-2FfEE2AkrUsZlxHwlSo-2FxffBn985WVd9G1c1IFL8r6Di-2FiDML4sHJb1T1Nb23K-2Bt4147T9JXTs1n7n-2BlmwN-2BTcznReQ-3D-3D" TargetMode="External"/><Relationship Id="rId7" Type="http://schemas.openxmlformats.org/officeDocument/2006/relationships/webSettings" Target="webSettings.xml"/><Relationship Id="rId12" Type="http://schemas.openxmlformats.org/officeDocument/2006/relationships/hyperlink" Target="https://news.tdsynnex.com/tag/ai-game-plan/" TargetMode="External"/><Relationship Id="rId17" Type="http://schemas.openxmlformats.org/officeDocument/2006/relationships/hyperlink" Target="http://www.tdsynnex.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olatdsynnex.com/eventinscription-dch_dch.html" TargetMode="External"/><Relationship Id="rId20" Type="http://schemas.openxmlformats.org/officeDocument/2006/relationships/hyperlink" Target="https://cts.businesswire.com/ct/CT?id=smartlink&amp;url=https%3A%2F%2Fwww.instagram.com%2Ftdsynnex%2F&amp;esheet=52941201&amp;newsitemid=20221011005305&amp;lan=en-US&amp;anchor=Instagram&amp;index=5&amp;md5=e98553628f38deea06756a8f24624f9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latdsynnex.com/agenda-roadshow_destination_ai___2026.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https://es.tdsynnex.com/" TargetMode="External"/><Relationship Id="rId19" Type="http://schemas.openxmlformats.org/officeDocument/2006/relationships/hyperlink" Target="https://cts.businesswire.com/ct/CT?id=smartlink&amp;url=https%3A%2F%2Fwww.facebook.com%2FTDSYNNEX&amp;esheet=52941201&amp;newsitemid=20221011005305&amp;lan=en-US&amp;anchor=Facebook&amp;index=4&amp;md5=38e2f4a535ef44f4689702d3381960b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Users/raul.puerta/Desktop/Cuentas%20LEWIS%202020/TD%20Synnex%20(octubre%202025)/Primeros%20contenidos/NdP%20tour%20Destination%20AI%20(enero%202026)/unificado%20PartnerFirst,%20esta&#769;n%20acelerando" TargetMode="External"/><Relationship Id="rId22" Type="http://schemas.openxmlformats.org/officeDocument/2006/relationships/hyperlink" Target="mailto:juan.ortiz@teamlew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8F53BAD843349B5A28B4109C9591F" ma:contentTypeVersion="8" ma:contentTypeDescription="Create a new document." ma:contentTypeScope="" ma:versionID="7a8d25a329752e8e0a64acc3c7b3035c">
  <xsd:schema xmlns:xsd="http://www.w3.org/2001/XMLSchema" xmlns:xs="http://www.w3.org/2001/XMLSchema" xmlns:p="http://schemas.microsoft.com/office/2006/metadata/properties" xmlns:ns2="12e5f8c0-cee7-4117-a260-6fb1ed4d85b9" xmlns:ns3="FDD12670-8EDE-4A0A-ABB5-1554156C2BB4" xmlns:ns4="fdd12670-8ede-4a0a-abb5-1554156c2bb4" targetNamespace="http://schemas.microsoft.com/office/2006/metadata/properties" ma:root="true" ma:fieldsID="86a70be4c45abcccd8efed02c63f188d" ns2:_="" ns3:_="" ns4:_="">
    <xsd:import namespace="12e5f8c0-cee7-4117-a260-6fb1ed4d85b9"/>
    <xsd:import namespace="FDD12670-8EDE-4A0A-ABB5-1554156C2BB4"/>
    <xsd:import namespace="fdd12670-8ede-4a0a-abb5-1554156c2b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MediaServiceDateTaken" minOccurs="0"/>
                <xsd:element ref="ns4:lcf76f155ced4ddcb4097134ff3c332f" minOccurs="0"/>
                <xsd:element ref="ns2:TaxCatchAll"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A257A0A3-4CB7-43E7-AE55-6CFF988191B5}" ma:internalName="TaxCatchAll" ma:showField="CatchAllData" ma:web="{03954518-058d-4439-941c-3714f2fdb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D12670-8EDE-4A0A-ABB5-1554156C2B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12670-8ede-4a0a-abb5-1554156c2bb4"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e5f8c0-cee7-4117-a260-6fb1ed4d85b9" xsi:nil="true"/>
    <lcf76f155ced4ddcb4097134ff3c332f xmlns="fdd12670-8ede-4a0a-abb5-1554156c2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159265-64D3-4E86-94CA-79FFB68E5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f8c0-cee7-4117-a260-6fb1ed4d85b9"/>
    <ds:schemaRef ds:uri="FDD12670-8EDE-4A0A-ABB5-1554156C2BB4"/>
    <ds:schemaRef ds:uri="fdd12670-8ede-4a0a-abb5-1554156c2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1BD5B-AD25-4A1A-972E-688603540CDB}">
  <ds:schemaRefs>
    <ds:schemaRef ds:uri="http://schemas.microsoft.com/sharepoint/v3/contenttype/forms"/>
  </ds:schemaRefs>
</ds:datastoreItem>
</file>

<file path=customXml/itemProps3.xml><?xml version="1.0" encoding="utf-8"?>
<ds:datastoreItem xmlns:ds="http://schemas.openxmlformats.org/officeDocument/2006/customXml" ds:itemID="{3D08579F-D49E-4446-B748-4A226D51882F}">
  <ds:schemaRefs>
    <ds:schemaRef ds:uri="http://schemas.microsoft.com/office/2006/metadata/properties"/>
    <ds:schemaRef ds:uri="http://schemas.microsoft.com/office/infopath/2007/PartnerControls"/>
    <ds:schemaRef ds:uri="12e5f8c0-cee7-4117-a260-6fb1ed4d85b9"/>
    <ds:schemaRef ds:uri="fdd12670-8ede-4a0a-abb5-1554156c2bb4"/>
  </ds:schemaRefs>
</ds:datastoreItem>
</file>

<file path=docMetadata/LabelInfo.xml><?xml version="1.0" encoding="utf-8"?>
<clbl:labelList xmlns:clbl="http://schemas.microsoft.com/office/2020/mipLabelMetadata">
  <clbl:label id="{3a23c400-78e7-4d42-982d-273adef68ef9}" enabled="1" method="Privileged" siteId="{7fe14ab6-8f5d-4139-84bf-cd8aed0ee6b9}" removed="0"/>
  <clbl:label id="{40bbf2ee-4281-4141-b54d-3de5dd07adf1}" enabled="1" method="Standard" siteId="{633cbf82-b979-478d-8f42-ffc892e59dc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5813</Characters>
  <Application>Microsoft Office Word</Application>
  <DocSecurity>0</DocSecurity>
  <Lines>102</Lines>
  <Paragraphs>28</Paragraphs>
  <ScaleCrop>false</ScaleCrop>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Wolff, Rebecca</dc:creator>
  <cp:keywords/>
  <dc:description/>
  <cp:lastModifiedBy>Paula Hernandez</cp:lastModifiedBy>
  <cp:revision>24</cp:revision>
  <dcterms:created xsi:type="dcterms:W3CDTF">2026-01-15T14:44:00Z</dcterms:created>
  <dcterms:modified xsi:type="dcterms:W3CDTF">2026-01-19T09:22:00Z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0x0101008C68F53BAD843349B5A28B4109C9591F</vt:lpwstr>
  </property>
  <property fmtid="{D5CDD505-2E9C-101B-9397-08002B2CF9AE}" pid="3" name="MediaServiceImageTags">
    <vt:lpwstr/>
  </property>
  <property fmtid="{D5CDD505-2E9C-101B-9397-08002B2CF9AE}" pid="4" name="docLang">
    <vt:lpwstr>es</vt:lpwstr>
  </property>
</Properties>
</file>