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208" w:rsidRDefault="000F764F">
      <w:pPr>
        <w:tabs>
          <w:tab w:val="left" w:pos="6663"/>
        </w:tabs>
        <w:jc w:val="right"/>
        <w:rPr>
          <w:sz w:val="20"/>
          <w:szCs w:val="20"/>
        </w:rPr>
      </w:pPr>
      <w:r>
        <w:rPr>
          <w:sz w:val="20"/>
          <w:szCs w:val="20"/>
        </w:rPr>
        <w:t>Informacja prasowa, 19.</w:t>
      </w:r>
      <w:r w:rsidR="00617774">
        <w:rPr>
          <w:sz w:val="20"/>
          <w:szCs w:val="20"/>
        </w:rPr>
        <w:t>01.2026</w:t>
      </w:r>
    </w:p>
    <w:p w:rsidR="00E00208" w:rsidRDefault="00E00208">
      <w:pPr>
        <w:jc w:val="both"/>
        <w:rPr>
          <w:b/>
          <w:bCs/>
          <w:sz w:val="28"/>
          <w:szCs w:val="28"/>
        </w:rPr>
      </w:pPr>
    </w:p>
    <w:p w:rsidR="00E00208" w:rsidRDefault="00617774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Niewidzialna linia życia między producentem a pacjentem – raport o stanie łańcucha dostaw farmaceutycznych</w:t>
      </w:r>
    </w:p>
    <w:p w:rsidR="00E00208" w:rsidRDefault="00617774">
      <w:pPr>
        <w:jc w:val="both"/>
        <w:rPr>
          <w:b/>
          <w:bCs/>
        </w:rPr>
      </w:pPr>
      <w:r>
        <w:rPr>
          <w:b/>
          <w:bCs/>
        </w:rPr>
        <w:t xml:space="preserve">Łańcuch dostaw w przemyśle farmaceutycznym stanowi niewidzialną „linię życia”, łączącą pacjentów z produktami niezbędnymi dla ich zdrowia i bezpieczeństwa. Specyfika tych produktów sprawia, że każde zakłócenie - od błędu w składowaniu, po opóźnienie lub niewłaściwe warunki w transporcie - generuje ryzyko dla pacjenta. W najnowszym raporcie FM </w:t>
      </w:r>
      <w:proofErr w:type="spellStart"/>
      <w:r>
        <w:rPr>
          <w:b/>
          <w:bCs/>
        </w:rPr>
        <w:t>Logistic</w:t>
      </w:r>
      <w:proofErr w:type="spellEnd"/>
      <w:r>
        <w:rPr>
          <w:b/>
          <w:bCs/>
        </w:rPr>
        <w:t xml:space="preserve"> „Życie na krawędzi: Łańcuchy dostaw farmaceutycznych pod presją – nowe ścieżki rozwoju” eksperci analizują kondycję sektora, który w ostatnich latach musiał przejść przyspieszony test odporności operacyjnej.</w:t>
      </w:r>
    </w:p>
    <w:p w:rsidR="00E00208" w:rsidRDefault="00617774">
      <w:pPr>
        <w:jc w:val="both"/>
      </w:pPr>
      <w:r>
        <w:t>Odpowiedzialność, jaka spoczywa na uczestnikach farmaceutycznego łańcucha dostaw, sprawia, że działa on w warunkach stałej presji. Liczy się już nie tylko terminowość, lecz przede wszystkim odporność systemu, czyli jego zdolność do szybkiej adaptacji. Przewagę budują dziś modele elastyczne, wspierane cyfrowo  i zrównoważone, które pozwalają zachować ciągłość dostaw nawet w nieprzewidywalnym otoczeniu.</w:t>
      </w:r>
    </w:p>
    <w:p w:rsidR="00E00208" w:rsidRDefault="00617774">
      <w:pPr>
        <w:jc w:val="both"/>
        <w:rPr>
          <w:b/>
          <w:bCs/>
        </w:rPr>
      </w:pPr>
      <w:r>
        <w:rPr>
          <w:b/>
          <w:bCs/>
        </w:rPr>
        <w:t>Weryfikacja modeli operacyjnych w dobie kryzysu</w:t>
      </w:r>
    </w:p>
    <w:p w:rsidR="00E00208" w:rsidRDefault="00617774">
      <w:pPr>
        <w:jc w:val="both"/>
      </w:pPr>
      <w:r>
        <w:t xml:space="preserve">Jak wynika z raportu FM </w:t>
      </w:r>
      <w:proofErr w:type="spellStart"/>
      <w:r>
        <w:t>Logistic</w:t>
      </w:r>
      <w:proofErr w:type="spellEnd"/>
      <w:r>
        <w:t>, ostatnie lata obnażyły słabości tradycyjnych modeli operacyjnych. Najpoważniejszym testem była pandemia COVID-19, podczas której 70 proc. firm z sektora wskazało na istotne luki w swoich łańcuchach dostaw. Braki leków, opóźnienia i problemy z kompletnością zamówień stały się impulsem do głębokich zmian w skutek, których firmy zaczęły inwestować w odporność systemów, stawiając na technologię. Automatyzacja procesów, rozwój specjalistycznych opakowań z kontrolą temperatury oraz budowa wielokanałowych sieci dystrybucji stały się standardem. Pandemia przyspieszyła również decyzje o zwiększaniu zapasów i dywersyfikacji źródeł dostaw.</w:t>
      </w:r>
    </w:p>
    <w:p w:rsidR="00E00208" w:rsidRDefault="00617774">
      <w:pPr>
        <w:jc w:val="both"/>
      </w:pPr>
      <w:r>
        <w:t>Na stabilność globalnych łańcuchów dostaw coraz silniej wpływa także napięcie handlowe między USA a Chinami. Konflikt ten nie tylko zakłóca przepływy towarów, ale uderza w systemy ochrony zdrowia. Wzrost cen leków, utrudniona współpraca naukowa i opóźnienia we wdrażaniu innowacji to tylko część konsekwencji. Dodatkowym wyzwaniem są wysokie taryfy na import produktów farmaceutycznych do Stanów Zjednoczonych, w tym chińskich substancji czynnych (API), wykorzystywanych w około 40 proc. leków generycznych na rynku amerykańskim. W efekcie rosną koszty produkcji, a firmy są zmuszone do rewizji strategii – od gromadzenia zapasów, po przenoszenie części testów i produkcji bliżej rynków docelowych.</w:t>
      </w:r>
    </w:p>
    <w:p w:rsidR="00E00208" w:rsidRDefault="00617774">
      <w:pPr>
        <w:jc w:val="both"/>
        <w:rPr>
          <w:b/>
          <w:bCs/>
        </w:rPr>
      </w:pPr>
      <w:r>
        <w:rPr>
          <w:b/>
          <w:bCs/>
        </w:rPr>
        <w:t>Ekologiczne wyzwania</w:t>
      </w:r>
    </w:p>
    <w:p w:rsidR="00E00208" w:rsidRDefault="00617774">
      <w:pPr>
        <w:jc w:val="both"/>
        <w:rPr>
          <w:color w:val="000000"/>
        </w:rPr>
      </w:pPr>
      <w:r>
        <w:t>Równolegle branża farmaceutyczna mierzy się z rosnącą presją regulacyjną w zakresie zrównoważonego rozwoju</w:t>
      </w:r>
      <w:r>
        <w:rPr>
          <w:color w:val="000000"/>
        </w:rPr>
        <w:t>, szczególnie na terenie Unii Europejskiej. Od firm farmaceutycznych oczekuje się dziś nie tylko wysokiej jakości produktów, ale także transparentnych i odpowiedzialnych łańcuchów dostaw.</w:t>
      </w:r>
    </w:p>
    <w:p w:rsidR="00E00208" w:rsidRDefault="00617774">
      <w:pPr>
        <w:jc w:val="both"/>
        <w:rPr>
          <w:color w:val="000000"/>
        </w:rPr>
      </w:pPr>
      <w:r>
        <w:rPr>
          <w:color w:val="000000"/>
        </w:rPr>
        <w:t xml:space="preserve">- </w:t>
      </w:r>
      <w:r>
        <w:rPr>
          <w:i/>
          <w:iCs/>
          <w:color w:val="000000"/>
        </w:rPr>
        <w:t xml:space="preserve">Regulacje w branży farmaceutycznej obejmują cały łańcuch dostaw, od produkcji po transport substancji czynnych, a ich kluczowe normy często różnią się w zależności od regionu. W Europie nadzór sprawuje Europejska Agencja Leków (EMA), podczas gdy licencjonowanie i inspekcje należą do władz krajowych. Regulacje w Azji są bardziej zróżnicowane, lecz łączy je ścisła kontrola przez większość </w:t>
      </w:r>
      <w:r>
        <w:rPr>
          <w:i/>
          <w:iCs/>
          <w:color w:val="000000"/>
        </w:rPr>
        <w:lastRenderedPageBreak/>
        <w:t xml:space="preserve">rządów nad sektorem farmaceutycznym i dostawcami usług logistycznych – </w:t>
      </w:r>
      <w:r>
        <w:t xml:space="preserve">wyjaśnia Paweł Janicki, Senior Business Development </w:t>
      </w:r>
      <w:proofErr w:type="spellStart"/>
      <w:r>
        <w:t>Director</w:t>
      </w:r>
      <w:proofErr w:type="spellEnd"/>
      <w:r>
        <w:t xml:space="preserve"> w FM </w:t>
      </w:r>
      <w:proofErr w:type="spellStart"/>
      <w:r>
        <w:t>Logistic</w:t>
      </w:r>
      <w:proofErr w:type="spellEnd"/>
      <w:r>
        <w:t>.</w:t>
      </w:r>
    </w:p>
    <w:p w:rsidR="00E00208" w:rsidRDefault="00617774">
      <w:pPr>
        <w:jc w:val="both"/>
        <w:rPr>
          <w:b/>
          <w:bCs/>
        </w:rPr>
      </w:pPr>
      <w:r>
        <w:rPr>
          <w:b/>
          <w:bCs/>
        </w:rPr>
        <w:t>Cyfryzacja i rola partnerów logistycznych</w:t>
      </w:r>
    </w:p>
    <w:p w:rsidR="00E00208" w:rsidRDefault="00617774">
      <w:pPr>
        <w:jc w:val="both"/>
      </w:pPr>
      <w:r>
        <w:t xml:space="preserve">Jak zauważają eksperci FM </w:t>
      </w:r>
      <w:proofErr w:type="spellStart"/>
      <w:r>
        <w:t>Logistic</w:t>
      </w:r>
      <w:proofErr w:type="spellEnd"/>
      <w:r>
        <w:t xml:space="preserve">, łańcuch dostaw w sektorze farmaceutycznym musi nieustannie ewoluować, stając się bardziej elastyczny, zrównoważony i zgodny z regulacjami. Firmy poszukują partnerów, którzy realnie wzmocnią ich operacje. Kluczową rolę odgrywają tu dostawcy usług logistycznych 3PL, odpowiedzialni za utrzymanie integralności przesyłek z lekami podczas transportu na duże odległości. </w:t>
      </w:r>
    </w:p>
    <w:p w:rsidR="00E00208" w:rsidRDefault="00617774">
      <w:pPr>
        <w:jc w:val="both"/>
      </w:pPr>
      <w:r>
        <w:t xml:space="preserve">- </w:t>
      </w:r>
      <w:r>
        <w:rPr>
          <w:i/>
          <w:iCs/>
        </w:rPr>
        <w:t>Branża farmaceutyczna docenia wiedzę operatorów, którzy potrafią przenieść i zaimplementować najlepsze praktyki z innych sektorów logistycznych, takich jak dobra konsumpcyjne czy e-commerce m.in. rozwijając usługi planowania zapasów szpitalnych czy obsługując dystrybucję leków o wysokiej wartości. Adaptacja sprawdzonych rozwiązań oraz zdolność do szybkiego reagowania na zmiany otoczenia operacyjnego stanowią rosnącą przewagę konkurencyjną, która w przyszłości zyska jeszcze większe znaczenie</w:t>
      </w:r>
      <w:r>
        <w:t xml:space="preserve"> – mówi Paweł Janicki z FM </w:t>
      </w:r>
      <w:proofErr w:type="spellStart"/>
      <w:r>
        <w:t>Logistic</w:t>
      </w:r>
      <w:proofErr w:type="spellEnd"/>
      <w:r>
        <w:t>.</w:t>
      </w:r>
    </w:p>
    <w:p w:rsidR="00E00208" w:rsidRDefault="00617774">
      <w:pPr>
        <w:jc w:val="both"/>
      </w:pPr>
      <w:r>
        <w:t xml:space="preserve">Eksperci zwracają również uwagę na postęp cyfryzacji i automatyzacji. Łańcuchy dostaw nowej generacji w coraz większym stopniu opierają się na technologii RFID i NFC, które usprawniają operacje magazynowe i dystrybucyjne, umożliwiając szybkie skanowanie i pełną identyfikowalność produktów. Z kolei rozwiązania </w:t>
      </w:r>
      <w:proofErr w:type="spellStart"/>
      <w:r>
        <w:t>IoT</w:t>
      </w:r>
      <w:proofErr w:type="spellEnd"/>
      <w:r>
        <w:t xml:space="preserve"> monitorują w czasie rzeczywistym lokalizację, temperaturę, wilgotność czy wstrząsy, minimalizując ryzyko utraty jakości leków. W kolejnych latach kluczowe będzie integrowanie danych z czujników z analityką AI i robotyką, aby automatyzować procesy, wspierać zarządzanie zapasami i umożliwiać natychmiastową reakcję na wszelkie odchylenia mogące wpłynąć na jakość produktów.</w:t>
      </w:r>
    </w:p>
    <w:p w:rsidR="00E00208" w:rsidRDefault="00617774">
      <w:pPr>
        <w:jc w:val="both"/>
        <w:rPr>
          <w:b/>
          <w:bCs/>
        </w:rPr>
      </w:pPr>
      <w:r>
        <w:rPr>
          <w:b/>
          <w:bCs/>
        </w:rPr>
        <w:t xml:space="preserve">Strategie przyszłości </w:t>
      </w:r>
    </w:p>
    <w:p w:rsidR="004D39DC" w:rsidRDefault="00617774">
      <w:pPr>
        <w:jc w:val="both"/>
      </w:pPr>
      <w:r>
        <w:t xml:space="preserve">Raport FM </w:t>
      </w:r>
      <w:proofErr w:type="spellStart"/>
      <w:r>
        <w:t>Logistic</w:t>
      </w:r>
      <w:proofErr w:type="spellEnd"/>
      <w:r>
        <w:t xml:space="preserve"> jasno pokazuje, że kluczowe dla przyszłości farmaceutycznych łańcuchów dostaw będą strategie oparte na innowacyjności, współpracy i zrównoważonym rozwoju. Inwestycje w technologie, wzmacnianie relacji między uczestnikami rynku oraz proaktywne podejście do regulacji stają się nie opcją, lecz koniecznością. Firmy, które już dziś traktują cyfryzację, odpowiedzialność środowiskową i elastyczność operacyjną jako fundament swoich działań, nie tylko lepiej przygotują się na przyszłe kryzysy, ale także zbudują trwałą przewagę konkurencyjną – w sektorze, w którym stawką jest zdrowie i życie pacjentów.</w:t>
      </w:r>
      <w:bookmarkStart w:id="0" w:name="_GoBack"/>
      <w:bookmarkEnd w:id="0"/>
    </w:p>
    <w:p w:rsidR="004D39DC" w:rsidRDefault="004D39DC">
      <w:pPr>
        <w:jc w:val="both"/>
      </w:pPr>
      <w:r>
        <w:t xml:space="preserve">Pełny raport dostępny jest pod adresem </w:t>
      </w:r>
      <w:hyperlink r:id="rId7" w:history="1">
        <w:r w:rsidRPr="004D39DC">
          <w:rPr>
            <w:rStyle w:val="Hipercze"/>
          </w:rPr>
          <w:t>https://www.fmlogistic.pl/publikowac/lancuchy-dostaw-farmaceutycznych-raport/</w:t>
        </w:r>
      </w:hyperlink>
    </w:p>
    <w:p w:rsidR="00E00208" w:rsidRDefault="00617774">
      <w:pPr>
        <w:jc w:val="both"/>
      </w:pPr>
      <w:bookmarkStart w:id="1" w:name="_heading=h.gtu9jhdt036o" w:colFirst="0" w:colLast="0"/>
      <w:bookmarkEnd w:id="1"/>
      <w:r>
        <w:rPr>
          <w:sz w:val="20"/>
          <w:szCs w:val="20"/>
        </w:rPr>
        <w:t>**</w:t>
      </w:r>
    </w:p>
    <w:p w:rsidR="00E00208" w:rsidRDefault="00617774">
      <w:pPr>
        <w:spacing w:line="240" w:lineRule="auto"/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FM </w:t>
      </w:r>
      <w:proofErr w:type="spellStart"/>
      <w:r>
        <w:rPr>
          <w:b/>
          <w:bCs/>
          <w:sz w:val="18"/>
          <w:szCs w:val="18"/>
        </w:rPr>
        <w:t>Logistic</w:t>
      </w:r>
      <w:proofErr w:type="spellEnd"/>
      <w:r>
        <w:rPr>
          <w:b/>
          <w:bCs/>
          <w:sz w:val="18"/>
          <w:szCs w:val="18"/>
        </w:rPr>
        <w:t xml:space="preserve"> Central Europe</w:t>
      </w:r>
      <w:r>
        <w:rPr>
          <w:sz w:val="18"/>
          <w:szCs w:val="18"/>
        </w:rPr>
        <w:t xml:space="preserve"> jest częścią międzynarodowej firmy logistycznej FM </w:t>
      </w:r>
      <w:proofErr w:type="spellStart"/>
      <w:r>
        <w:rPr>
          <w:sz w:val="18"/>
          <w:szCs w:val="18"/>
        </w:rPr>
        <w:t>Logistic</w:t>
      </w:r>
      <w:proofErr w:type="spellEnd"/>
      <w:r>
        <w:rPr>
          <w:sz w:val="18"/>
          <w:szCs w:val="18"/>
        </w:rPr>
        <w:t xml:space="preserve"> i zajmuje się obsługą rynków w Europie Środkowej. Oddziały w Polsce, Czechach, Słowacji i na Węgrzech umożliwiają skuteczną obsługę klientów w regionie.FM </w:t>
      </w:r>
      <w:proofErr w:type="spellStart"/>
      <w:r>
        <w:rPr>
          <w:sz w:val="18"/>
          <w:szCs w:val="18"/>
        </w:rPr>
        <w:t>Logistic</w:t>
      </w:r>
      <w:proofErr w:type="spellEnd"/>
      <w:r>
        <w:rPr>
          <w:sz w:val="18"/>
          <w:szCs w:val="18"/>
        </w:rPr>
        <w:t xml:space="preserve"> Central Europe oferuje kompleksowe usługi logistyczne, takie jak magazynowanie, dystrybucja, transport oraz zarządzanie łańcuchem dostaw. Firma dysponuje łącznie ponad 1 000 000 mkw. powierzchni magazynowej, a także flotą ok. 2 500 pojazdów. Posiada 16 platform logistycznych, 29 magazynów przeładunkowych i zatrudnia ponad 5 000 pracowników. Posiada nowoczesne centra logistyczne, wyposażone w zaawansowane technologie i systemy informatyczne. Dzięki bogatemu doświadczeniu, szerokiemu zakresowi usług i elastycznemu podejściu, FM </w:t>
      </w:r>
      <w:proofErr w:type="spellStart"/>
      <w:r>
        <w:rPr>
          <w:sz w:val="18"/>
          <w:szCs w:val="18"/>
        </w:rPr>
        <w:t>Logistic</w:t>
      </w:r>
      <w:proofErr w:type="spellEnd"/>
      <w:r>
        <w:rPr>
          <w:sz w:val="18"/>
          <w:szCs w:val="18"/>
        </w:rPr>
        <w:t xml:space="preserve"> Central Europe jest w stanie dostosować się do indywidualnych potrzeb każdego klienta. FM </w:t>
      </w:r>
      <w:proofErr w:type="spellStart"/>
      <w:r>
        <w:rPr>
          <w:sz w:val="18"/>
          <w:szCs w:val="18"/>
        </w:rPr>
        <w:t>Logistic</w:t>
      </w:r>
      <w:proofErr w:type="spellEnd"/>
      <w:r>
        <w:rPr>
          <w:sz w:val="18"/>
          <w:szCs w:val="18"/>
        </w:rPr>
        <w:t xml:space="preserve"> Central Europe prowadzi działania mające na celu redukcję emisji CO2 oraz minimalizację negatywnego wpływu na środowisko naturalne. Firma stosuje strategie ekologiczne, takie jak optymalizacja tras transportowych i wykorzystanie energii odnawialnej.</w:t>
      </w:r>
    </w:p>
    <w:p w:rsidR="00E00208" w:rsidRDefault="00E00208">
      <w:pPr>
        <w:jc w:val="both"/>
        <w:rPr>
          <w:rFonts w:ascii="Raleway" w:eastAsia="Raleway" w:hAnsi="Raleway" w:cs="Raleway"/>
          <w:b/>
          <w:bCs/>
          <w:i/>
          <w:iCs/>
        </w:rPr>
      </w:pPr>
    </w:p>
    <w:p w:rsidR="00E00208" w:rsidRDefault="00617774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Kontakt dla mediów</w:t>
      </w:r>
    </w:p>
    <w:p w:rsidR="00E00208" w:rsidRDefault="00E00208">
      <w:pPr>
        <w:spacing w:after="0" w:line="240" w:lineRule="auto"/>
        <w:rPr>
          <w:sz w:val="20"/>
          <w:szCs w:val="20"/>
        </w:rPr>
      </w:pPr>
    </w:p>
    <w:p w:rsidR="00E00208" w:rsidRDefault="00617774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Paweł Skowron </w:t>
      </w:r>
    </w:p>
    <w:p w:rsidR="00E00208" w:rsidRDefault="00617774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Jr </w:t>
      </w:r>
      <w:proofErr w:type="spellStart"/>
      <w:r>
        <w:rPr>
          <w:sz w:val="20"/>
          <w:szCs w:val="20"/>
        </w:rPr>
        <w:t>Account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Executive</w:t>
      </w:r>
      <w:proofErr w:type="spellEnd"/>
    </w:p>
    <w:p w:rsidR="00E00208" w:rsidRDefault="00617774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Tel. + 48 796 699 177</w:t>
      </w:r>
    </w:p>
    <w:p w:rsidR="00E00208" w:rsidRDefault="00617774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E-mail: pawel.skowron@goodonepr.pl</w:t>
      </w:r>
    </w:p>
    <w:sectPr w:rsidR="00E00208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0FA0" w:rsidRDefault="00FC0FA0">
      <w:pPr>
        <w:spacing w:after="0" w:line="240" w:lineRule="auto"/>
      </w:pPr>
      <w:r>
        <w:separator/>
      </w:r>
    </w:p>
  </w:endnote>
  <w:endnote w:type="continuationSeparator" w:id="0">
    <w:p w:rsidR="00FC0FA0" w:rsidRDefault="00FC0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5A671C5-6627-4718-BB7A-0CA047646FAA}"/>
    <w:embedBold r:id="rId2" w:fontKey="{C35CE679-C02B-49AC-AFA0-D43DB06951B4}"/>
    <w:embedItalic r:id="rId3" w:fontKey="{9C2103D6-50FB-4067-A424-71DD7C0887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42DE1BAF-9AEA-4FA1-AAEC-64712BFF045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2D40AD20-6F6E-4FB2-AEA9-2E31265F4CE7}"/>
  </w:font>
  <w:font w:name="Raleway">
    <w:charset w:val="00"/>
    <w:family w:val="auto"/>
    <w:pitch w:val="default"/>
    <w:embedBoldItalic r:id="rId6" w:fontKey="{8127115C-D30C-4D4A-A4EE-A61FAB5BCB7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DB488692-3565-44A0-94E9-31A3705DD9D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0208" w:rsidRDefault="0061777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B43F3">
      <w:rPr>
        <w:noProof/>
        <w:color w:val="000000"/>
      </w:rPr>
      <w:t>3</w:t>
    </w:r>
    <w:r>
      <w:rPr>
        <w:color w:val="000000"/>
      </w:rPr>
      <w:fldChar w:fldCharType="end"/>
    </w:r>
  </w:p>
  <w:p w:rsidR="00E00208" w:rsidRDefault="00E0020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0FA0" w:rsidRDefault="00FC0FA0">
      <w:pPr>
        <w:spacing w:after="0" w:line="240" w:lineRule="auto"/>
      </w:pPr>
      <w:r>
        <w:separator/>
      </w:r>
    </w:p>
  </w:footnote>
  <w:footnote w:type="continuationSeparator" w:id="0">
    <w:p w:rsidR="00FC0FA0" w:rsidRDefault="00FC0F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0208" w:rsidRDefault="0061777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  <w:lang w:val="pl-PL"/>
      </w:rPr>
      <w:drawing>
        <wp:inline distT="0" distB="0" distL="0" distR="0">
          <wp:extent cx="1515110" cy="641350"/>
          <wp:effectExtent l="0" t="0" r="0" b="0"/>
          <wp:docPr id="81010644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5110" cy="641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208"/>
    <w:rsid w:val="000F764F"/>
    <w:rsid w:val="004D39DC"/>
    <w:rsid w:val="00617774"/>
    <w:rsid w:val="007B43F3"/>
    <w:rsid w:val="00AB1A1D"/>
    <w:rsid w:val="00E00208"/>
    <w:rsid w:val="00FC0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589948"/>
  <w15:docId w15:val="{AAC038F6-338C-4E86-AE57-F0F20D2A6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0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0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link w:val="NagwekZnak"/>
    <w:uiPriority w:val="99"/>
    <w:unhideWhenUsed/>
    <w:rsid w:val="00AB5D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5DEE"/>
  </w:style>
  <w:style w:type="paragraph" w:styleId="Stopka">
    <w:name w:val="footer"/>
    <w:link w:val="StopkaZnak"/>
    <w:uiPriority w:val="99"/>
    <w:unhideWhenUsed/>
    <w:rsid w:val="00AB5D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5DEE"/>
  </w:style>
  <w:style w:type="character" w:styleId="Hipercze">
    <w:name w:val="Hyperlink"/>
    <w:basedOn w:val="Domylnaczcionkaakapitu"/>
    <w:uiPriority w:val="99"/>
    <w:unhideWhenUsed/>
    <w:rsid w:val="00AB5DEE"/>
    <w:rPr>
      <w:color w:val="0000FF"/>
      <w:u w:val="single"/>
    </w:rPr>
  </w:style>
  <w:style w:type="paragraph" w:styleId="Tekstprzypisudolnego">
    <w:name w:val="footnote text"/>
    <w:link w:val="TekstprzypisudolnegoZnak"/>
    <w:uiPriority w:val="99"/>
    <w:semiHidden/>
    <w:unhideWhenUsed/>
    <w:rsid w:val="00E35995"/>
    <w:pPr>
      <w:spacing w:after="0" w:line="240" w:lineRule="auto"/>
    </w:pPr>
    <w:rPr>
      <w:rFonts w:asciiTheme="minorHAnsi" w:eastAsiaTheme="minorHAnsi" w:hAnsiTheme="minorHAnsi" w:cstheme="minorBidi"/>
      <w:kern w:val="2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5995"/>
    <w:rPr>
      <w:rFonts w:asciiTheme="minorHAnsi" w:eastAsiaTheme="minorHAnsi" w:hAnsiTheme="minorHAnsi" w:cstheme="minorBidi"/>
      <w:kern w:val="2"/>
      <w:sz w:val="20"/>
      <w:szCs w:val="20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5995"/>
    <w:rPr>
      <w:vertAlign w:val="superscript"/>
    </w:rPr>
  </w:style>
  <w:style w:type="paragraph" w:styleId="Tekstdymka">
    <w:name w:val="Balloon Text"/>
    <w:link w:val="TekstdymkaZnak"/>
    <w:uiPriority w:val="99"/>
    <w:semiHidden/>
    <w:unhideWhenUsed/>
    <w:rsid w:val="00AC55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556E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8526B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8526B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8526B"/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8526B"/>
    <w:rPr>
      <w:rFonts w:ascii="Calibri" w:eastAsia="Calibri" w:hAnsi="Calibri" w:cs="Calibri"/>
      <w:b/>
      <w:bCs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8526B"/>
    <w:rPr>
      <w:rFonts w:asciiTheme="minorHAnsi" w:eastAsiaTheme="minorHAnsi" w:hAnsiTheme="minorHAnsi" w:cstheme="minorBidi"/>
      <w:b/>
      <w:bCs/>
      <w:sz w:val="20"/>
      <w:szCs w:val="20"/>
      <w:lang w:eastAsia="en-US"/>
    </w:rPr>
  </w:style>
  <w:style w:type="paragraph" w:styleId="Tekstprzypisukocowego">
    <w:name w:val="endnote text"/>
    <w:link w:val="TekstprzypisukocowegoZnak"/>
    <w:uiPriority w:val="99"/>
    <w:semiHidden/>
    <w:unhideWhenUsed/>
    <w:rsid w:val="0028526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526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8526B"/>
    <w:rPr>
      <w:vertAlign w:val="superscript"/>
    </w:rPr>
  </w:style>
  <w:style w:type="paragraph" w:styleId="Poprawka">
    <w:name w:val="Revision"/>
    <w:hidden/>
    <w:uiPriority w:val="99"/>
    <w:semiHidden/>
    <w:rsid w:val="000D648C"/>
    <w:pPr>
      <w:spacing w:after="0" w:line="240" w:lineRule="auto"/>
    </w:pPr>
  </w:style>
  <w:style w:type="paragraph" w:styleId="Akapitzlist">
    <w:name w:val="List Paragraph"/>
    <w:uiPriority w:val="34"/>
    <w:qFormat/>
    <w:rsid w:val="004F406E"/>
    <w:pPr>
      <w:ind w:left="720"/>
      <w:contextualSpacing/>
    </w:pPr>
  </w:style>
  <w:style w:type="table" w:styleId="Tabela-Siatka">
    <w:name w:val="Table Grid"/>
    <w:basedOn w:val="Standardowy"/>
    <w:uiPriority w:val="39"/>
    <w:rsid w:val="00B72FC2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uiPriority w:val="99"/>
    <w:semiHidden/>
    <w:unhideWhenUsed/>
    <w:rsid w:val="00125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paragraph" w:styleId="Podtytu">
    <w:name w:val="Subtitle"/>
    <w:basedOn w:val="Normalny"/>
    <w:next w:val="Normalny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fmlogistic.pl/publikowac/lancuchy-dostaw-farmaceutycznych-raport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sxX2HZn9ow14lS3kc4+Y1HxZmw==">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1022</Words>
  <Characters>6134</Characters>
  <Application>Microsoft Office Word</Application>
  <DocSecurity>0</DocSecurity>
  <Lines>51</Lines>
  <Paragraphs>14</Paragraphs>
  <ScaleCrop>false</ScaleCrop>
  <Company/>
  <LinksUpToDate>false</LinksUpToDate>
  <CharactersWithSpaces>7142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Perdjon</dc:creator>
  <cp:lastModifiedBy>PR2024</cp:lastModifiedBy>
  <cp:revision>4</cp:revision>
  <dcterms:created xsi:type="dcterms:W3CDTF">2024-02-06T11:43:00Z</dcterms:created>
  <dcterms:modified xsi:type="dcterms:W3CDTF">2026-01-18T21:44:00Z</dcterms:modified>
</cp:coreProperties>
</file>