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5533" w14:textId="14CD5AE0" w:rsidR="00D32657" w:rsidRPr="003A76EE" w:rsidRDefault="00A8490A" w:rsidP="00D32657">
      <w:pPr>
        <w:jc w:val="center"/>
        <w:rPr>
          <w:rFonts w:cs="Arial (Headings)"/>
          <w:caps/>
          <w:sz w:val="14"/>
          <w:szCs w:val="14"/>
          <w:lang w:val="pl-PL"/>
        </w:rPr>
      </w:pPr>
      <w:r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SAINT-GOBAIN </w:t>
      </w:r>
      <w:r w:rsidR="00240207"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z </w:t>
      </w:r>
      <w:r w:rsidR="007A1A35"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cert</w:t>
      </w:r>
      <w:r w:rsidR="00240207"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yfikatem</w:t>
      </w:r>
      <w:r w:rsidR="0034718D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</w:t>
      </w:r>
      <w:r w:rsidR="00240207"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„</w:t>
      </w:r>
      <w:r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TOP EMPLOYER GLOBAL</w:t>
      </w:r>
      <w:r w:rsidR="00EE7273" w:rsidRPr="00EE7273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”</w:t>
      </w:r>
      <w:r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1</w:t>
      </w:r>
      <w:r w:rsidR="007A1A35"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1</w:t>
      </w:r>
      <w:r w:rsidR="00240207" w:rsidRPr="005E13DA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. </w:t>
      </w:r>
      <w:r w:rsidR="00240207" w:rsidRPr="003A76EE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rok z</w:t>
      </w:r>
      <w:r w:rsidRPr="003A76EE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</w:t>
      </w:r>
      <w:r w:rsidR="00240207" w:rsidRPr="003A76EE">
        <w:rPr>
          <w:rFonts w:asciiTheme="majorHAnsi" w:eastAsiaTheme="majorEastAsia" w:hAnsiTheme="majorHAnsi" w:cs="Arial (Headings)"/>
          <w:b/>
          <w:caps/>
          <w:color w:val="219CDC" w:themeColor="accent5"/>
          <w:sz w:val="36"/>
          <w:szCs w:val="38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rzędu</w:t>
      </w:r>
    </w:p>
    <w:p w14:paraId="2CD6503B" w14:textId="77777777" w:rsidR="00D32657" w:rsidRPr="003A76EE" w:rsidRDefault="00D32657" w:rsidP="00D32657">
      <w:pPr>
        <w:spacing w:after="0" w:line="240" w:lineRule="auto"/>
        <w:rPr>
          <w:rFonts w:asciiTheme="majorHAnsi" w:eastAsiaTheme="majorEastAsia" w:hAnsiTheme="majorHAnsi" w:cstheme="majorBidi"/>
          <w:b/>
          <w:color w:val="17428C" w:themeColor="accent1"/>
          <w:sz w:val="10"/>
          <w:szCs w:val="10"/>
          <w:lang w:val="pl-PL"/>
          <w14:textFill>
            <w14:gradFill>
              <w14:gsLst>
                <w14:gs w14:pos="0">
                  <w14:schemeClr w14:val="accent5"/>
                </w14:gs>
                <w14:gs w14:pos="100000">
                  <w14:schemeClr w14:val="accent1"/>
                </w14:gs>
              </w14:gsLst>
              <w14:lin w14:ang="0" w14:scaled="0"/>
            </w14:gradFill>
          </w14:textFill>
        </w:rPr>
      </w:pPr>
    </w:p>
    <w:p w14:paraId="34D0C4F2" w14:textId="5999C485" w:rsidR="00D32657" w:rsidRPr="003A76EE" w:rsidRDefault="00713812" w:rsidP="00D32657">
      <w:pPr>
        <w:spacing w:after="0" w:line="240" w:lineRule="auto"/>
        <w:ind w:left="4253"/>
        <w:rPr>
          <w:b/>
          <w:bCs/>
          <w:color w:val="219CDC" w:themeColor="accent5"/>
          <w:spacing w:val="10"/>
          <w:sz w:val="32"/>
          <w:szCs w:val="32"/>
          <w:lang w:val="pl-PL"/>
          <w14:textFill>
            <w14:gradFill>
              <w14:gsLst>
                <w14:gs w14:pos="54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 w:rsidRPr="003A76EE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20FF6504" wp14:editId="345D027B">
            <wp:simplePos x="0" y="0"/>
            <wp:positionH relativeFrom="column">
              <wp:posOffset>22860</wp:posOffset>
            </wp:positionH>
            <wp:positionV relativeFrom="paragraph">
              <wp:posOffset>240030</wp:posOffset>
            </wp:positionV>
            <wp:extent cx="1822450" cy="842645"/>
            <wp:effectExtent l="0" t="0" r="635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65325" w14:textId="17E86343" w:rsidR="000B2CE4" w:rsidRPr="003A76EE" w:rsidRDefault="000B2CE4" w:rsidP="000B2CE4">
      <w:pPr>
        <w:jc w:val="both"/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</w:pPr>
      <w:r w:rsidRPr="003A76EE"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  <w:t xml:space="preserve">Po raz jedenasty z rzędu </w:t>
      </w:r>
      <w:r w:rsidR="005E13DA"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  <w:t>Grupa</w:t>
      </w:r>
      <w:r w:rsidR="005E13DA" w:rsidRPr="003A76EE"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  <w:t xml:space="preserve"> </w:t>
      </w:r>
      <w:r w:rsidRPr="003A76EE"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  <w:t>Saint-Gobain otrzymała certyfikat „Top Employer Global”, potwierdzający doskonałość jej polityk oraz praktyk w obszarze zarządzania zasobami ludzkimi w 40 krajach*.</w:t>
      </w:r>
    </w:p>
    <w:p w14:paraId="40BCDDE4" w14:textId="2E45AE02" w:rsidR="007A1A35" w:rsidRPr="003A76EE" w:rsidRDefault="000B2CE4" w:rsidP="00D32657">
      <w:pPr>
        <w:jc w:val="both"/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</w:pPr>
      <w:r w:rsidRPr="003A76EE"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  <w:t>Tym samym Saint-Gobain znalazła się w niezwykle elitarnej grupie zaledwie 1</w:t>
      </w:r>
      <w:r w:rsidR="00EC5D94"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  <w:t>7</w:t>
      </w:r>
      <w:r w:rsidRPr="003A76EE"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  <w:t xml:space="preserve"> firm na świecie, które zostały uhonorowane tym prestiżowym wyróżnieniem</w:t>
      </w:r>
      <w:r w:rsidR="00240207" w:rsidRPr="003A76EE">
        <w:rPr>
          <w:rFonts w:asciiTheme="majorHAnsi" w:eastAsiaTheme="majorEastAsia" w:hAnsiTheme="majorHAnsi" w:cstheme="majorBidi"/>
          <w:b/>
          <w:bCs/>
          <w:color w:val="17428C" w:themeColor="accent1"/>
          <w:szCs w:val="26"/>
          <w:lang w:val="pl-PL"/>
        </w:rPr>
        <w:t>.</w:t>
      </w:r>
    </w:p>
    <w:p w14:paraId="37838F5F" w14:textId="0FB04F99" w:rsidR="00FD004F" w:rsidRPr="003A76EE" w:rsidRDefault="00FD004F" w:rsidP="00D32657">
      <w:pPr>
        <w:jc w:val="both"/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</w:pP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>– T</w:t>
      </w:r>
      <w:r w:rsidR="00EC5D94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 xml:space="preserve">en tytuł 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>potwierdza spójność oraz globalny charakter naszych zobowiązań społecznych – podkreśla</w:t>
      </w:r>
      <w:r w:rsidR="0055568D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 xml:space="preserve"> z zadowoleni</w:t>
      </w:r>
      <w:r w:rsidR="005E13DA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>e</w:t>
      </w:r>
      <w:r w:rsidR="0055568D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>m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 xml:space="preserve"> </w:t>
      </w:r>
      <w:r w:rsidRPr="003A76EE">
        <w:rPr>
          <w:rFonts w:asciiTheme="majorHAnsi" w:eastAsiaTheme="majorEastAsia" w:hAnsiTheme="majorHAnsi" w:cstheme="majorBidi"/>
          <w:b/>
          <w:bCs/>
          <w:i/>
          <w:iCs/>
          <w:color w:val="17428C" w:themeColor="accent1"/>
          <w:lang w:val="pl-PL"/>
        </w:rPr>
        <w:t>Claire Pedini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>, Senior Vice-President ds. Zasobów Ludzkich</w:t>
      </w:r>
      <w:r w:rsidR="00833A55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 xml:space="preserve"> i 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 xml:space="preserve">Społecznej Odpowiedzialności Biznesu w Saint-Gobain. – Jest on wyrazem naszej ambicji, aby być pracodawcą pierwszego wyboru, tworzącym środowisko pracy oparte na </w:t>
      </w:r>
      <w:r w:rsidRPr="003A76EE">
        <w:rPr>
          <w:rFonts w:asciiTheme="majorHAnsi" w:eastAsiaTheme="majorEastAsia" w:hAnsiTheme="majorHAnsi" w:cstheme="majorBidi"/>
          <w:b/>
          <w:bCs/>
          <w:i/>
          <w:iCs/>
          <w:color w:val="17428C" w:themeColor="accent1"/>
          <w:lang w:val="pl-PL"/>
        </w:rPr>
        <w:t>etyce, zaufaniu, rozwoju kompetencji oraz równych szansach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 xml:space="preserve">. Konsekwentnie inwestujemy w rozwój zawodowy naszych zespołów, wzmacniamy kulturę ciągłego uczenia się i potwierdzamy nasz nadrzędny cel: </w:t>
      </w:r>
      <w:r w:rsidRPr="003A76EE">
        <w:rPr>
          <w:rFonts w:asciiTheme="majorHAnsi" w:eastAsiaTheme="majorEastAsia" w:hAnsiTheme="majorHAnsi" w:cstheme="majorBidi"/>
          <w:b/>
          <w:bCs/>
          <w:i/>
          <w:iCs/>
          <w:color w:val="17428C" w:themeColor="accent1"/>
          <w:lang w:val="pl-PL"/>
        </w:rPr>
        <w:t>MAKING THE WORLD A BETTER HOME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lang w:val="pl-PL"/>
        </w:rPr>
        <w:t>. To właśnie te fundamenty umożliwiają nam skuteczne przyciąganie, rozwój i utrzymanie talentów, przy jednoczesnym realnym wkładzie w rozwój społeczeństwa oraz zrównoważoną transformację.</w:t>
      </w:r>
    </w:p>
    <w:p w14:paraId="10AF53F6" w14:textId="77777777" w:rsidR="00E82C9D" w:rsidRPr="003A76EE" w:rsidRDefault="00E82C9D" w:rsidP="00E82C9D">
      <w:pPr>
        <w:pStyle w:val="Nagwek2"/>
        <w:spacing w:after="120"/>
        <w:rPr>
          <w:b/>
          <w:bCs/>
          <w:color w:val="67B9B0" w:themeColor="accent4"/>
          <w:lang w:val="pl-PL"/>
        </w:rPr>
      </w:pPr>
      <w:r w:rsidRPr="003A76EE">
        <w:rPr>
          <w:b/>
          <w:bCs/>
          <w:color w:val="67B9B0" w:themeColor="accent4"/>
          <w:lang w:val="pl-PL"/>
        </w:rPr>
        <w:t>Jakie kryteria zostały wyróżnione?</w:t>
      </w:r>
    </w:p>
    <w:p w14:paraId="4B190E1C" w14:textId="3CB23F44" w:rsidR="003A76EE" w:rsidRPr="003A76EE" w:rsidRDefault="003A76EE" w:rsidP="00E82C9D">
      <w:pPr>
        <w:jc w:val="both"/>
        <w:rPr>
          <w:rFonts w:asciiTheme="majorHAnsi" w:eastAsiaTheme="majorEastAsia" w:hAnsiTheme="majorHAnsi" w:cstheme="majorBidi"/>
          <w:color w:val="17428C" w:themeColor="accent1"/>
          <w:lang w:val="pl-PL"/>
        </w:rPr>
      </w:pPr>
      <w:r w:rsidRPr="003A76EE">
        <w:rPr>
          <w:rFonts w:asciiTheme="majorHAnsi" w:eastAsiaTheme="majorEastAsia" w:hAnsiTheme="majorHAnsi" w:cstheme="majorBidi"/>
          <w:color w:val="17428C" w:themeColor="accent1"/>
          <w:lang w:val="pl-PL"/>
        </w:rPr>
        <w:t xml:space="preserve">Ocena przeprowadzona przez </w:t>
      </w:r>
      <w:r w:rsidRPr="003A76EE">
        <w:rPr>
          <w:rFonts w:asciiTheme="majorHAnsi" w:eastAsiaTheme="majorEastAsia" w:hAnsiTheme="majorHAnsi" w:cstheme="majorBidi"/>
          <w:b/>
          <w:bCs/>
          <w:color w:val="17428C" w:themeColor="accent1"/>
          <w:lang w:val="pl-PL"/>
        </w:rPr>
        <w:t>Top Employers Institute</w:t>
      </w:r>
      <w:r w:rsidRPr="003A76EE">
        <w:rPr>
          <w:rFonts w:asciiTheme="majorHAnsi" w:eastAsiaTheme="majorEastAsia" w:hAnsiTheme="majorHAnsi" w:cstheme="majorBidi"/>
          <w:color w:val="17428C" w:themeColor="accent1"/>
          <w:lang w:val="pl-PL"/>
        </w:rPr>
        <w:t xml:space="preserve"> wskazuje na szereg obszarów doskonałości, które stanowią fundament strategii zarządzania zasobami ludzkimi Grupy. </w:t>
      </w:r>
    </w:p>
    <w:p w14:paraId="0FB5193A" w14:textId="18C927A0" w:rsidR="00D32657" w:rsidRPr="003A76EE" w:rsidRDefault="005E13DA" w:rsidP="00BD3FFB">
      <w:pPr>
        <w:jc w:val="both"/>
        <w:rPr>
          <w:rFonts w:asciiTheme="majorHAnsi" w:eastAsiaTheme="majorEastAsia" w:hAnsiTheme="majorHAnsi" w:cstheme="majorBidi"/>
          <w:color w:val="17428C" w:themeColor="accent1"/>
          <w:lang w:val="pl-PL"/>
        </w:rPr>
      </w:pPr>
      <w:r w:rsidRPr="003A76EE">
        <w:rPr>
          <w:rFonts w:asciiTheme="majorHAnsi" w:eastAsiaTheme="majorEastAsia" w:hAnsiTheme="majorHAnsi" w:cstheme="majorBidi"/>
          <w:color w:val="17428C" w:themeColor="accent1"/>
          <w:lang w:val="pl-PL"/>
        </w:rPr>
        <w:t xml:space="preserve">Saint-Gobain </w:t>
      </w:r>
      <w:r w:rsidR="003A76EE" w:rsidRPr="003A76EE">
        <w:rPr>
          <w:rFonts w:asciiTheme="majorHAnsi" w:eastAsiaTheme="majorEastAsia" w:hAnsiTheme="majorHAnsi" w:cstheme="majorBidi"/>
          <w:color w:val="17428C" w:themeColor="accent1"/>
          <w:lang w:val="pl-PL"/>
        </w:rPr>
        <w:t>uzyskała również ponadprzeciętne wyniki w kluczowych obszarach wspierających jej długoterminową strategię rozwoju</w:t>
      </w:r>
      <w:r w:rsidR="00BD3FFB" w:rsidRPr="003A76EE">
        <w:rPr>
          <w:rFonts w:asciiTheme="majorHAnsi" w:eastAsiaTheme="majorEastAsia" w:hAnsiTheme="majorHAnsi" w:cstheme="majorBidi"/>
          <w:color w:val="17428C" w:themeColor="accent1"/>
          <w:lang w:val="pl-PL"/>
        </w:rPr>
        <w:t>:</w:t>
      </w:r>
    </w:p>
    <w:p w14:paraId="0A098967" w14:textId="27CC8752" w:rsidR="00E82C9D" w:rsidRPr="003A76EE" w:rsidRDefault="0034718D" w:rsidP="00E82C9D">
      <w:pPr>
        <w:pStyle w:val="Akapitzlist"/>
        <w:numPr>
          <w:ilvl w:val="0"/>
          <w:numId w:val="3"/>
        </w:numPr>
        <w:jc w:val="both"/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</w:pP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„</w:t>
      </w:r>
      <w:r w:rsidR="00E82C9D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Etyka i uczciwość</w:t>
      </w: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”</w:t>
      </w:r>
      <w:r w:rsidR="0075473A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: </w:t>
      </w:r>
      <w:r w:rsidR="0075473A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100%</w:t>
      </w:r>
      <w:r w:rsidR="0050188C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 xml:space="preserve"> </w:t>
      </w:r>
      <w:r w:rsidR="00E82C9D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spełnionych kryteriów, </w:t>
      </w:r>
      <w:r w:rsidR="003A76EE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potwierdzających pełną zgodność</w:t>
      </w:r>
      <w:r w:rsidR="00833A55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 z </w:t>
      </w:r>
      <w:r w:rsidR="003A76EE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Pryncypiami Zachowania i Postępowania Grupy, sformalizowanymi w</w:t>
      </w:r>
      <w:r w:rsidR="00E82C9D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 </w:t>
      </w:r>
      <w:hyperlink r:id="rId12" w:history="1">
        <w:r w:rsidR="00B01E5F" w:rsidRPr="00833A55">
          <w:rPr>
            <w:rStyle w:val="Hipercze"/>
            <w:rFonts w:asciiTheme="majorHAnsi" w:eastAsiaTheme="majorEastAsia" w:hAnsiTheme="majorHAnsi" w:cstheme="majorBidi"/>
            <w:sz w:val="22"/>
            <w:szCs w:val="22"/>
            <w:lang w:val="pl-PL"/>
          </w:rPr>
          <w:t>do</w:t>
        </w:r>
        <w:r w:rsidR="00E82C9D" w:rsidRPr="00833A55">
          <w:rPr>
            <w:rStyle w:val="Hipercze"/>
            <w:rFonts w:asciiTheme="majorHAnsi" w:eastAsiaTheme="majorEastAsia" w:hAnsiTheme="majorHAnsi" w:cstheme="majorBidi"/>
            <w:sz w:val="22"/>
            <w:szCs w:val="22"/>
            <w:lang w:val="pl-PL"/>
          </w:rPr>
          <w:t>kumencie</w:t>
        </w:r>
      </w:hyperlink>
      <w:r w:rsidR="00B01E5F" w:rsidRPr="003A76EE">
        <w:rPr>
          <w:lang w:val="pl-PL"/>
        </w:rPr>
        <w:t xml:space="preserve"> </w:t>
      </w:r>
      <w:r w:rsidR="003A76EE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referencyjnym i wspólnie realizowanymi przez wszystkich pracowników</w:t>
      </w:r>
      <w:r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;</w:t>
      </w:r>
    </w:p>
    <w:p w14:paraId="51B4BB61" w14:textId="2435C1A7" w:rsidR="00D32657" w:rsidRPr="003A76EE" w:rsidRDefault="00E82C9D" w:rsidP="006146CD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</w:pP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„Cel i wartoś</w:t>
      </w:r>
      <w:r w:rsidR="00671CA3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ci</w:t>
      </w:r>
      <w:r w:rsidR="00BD3FFB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”</w:t>
      </w:r>
      <w:r w:rsidR="0075473A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:</w:t>
      </w:r>
      <w:r w:rsidR="00BD3FFB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 </w:t>
      </w:r>
      <w:r w:rsidR="005A0E7C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 xml:space="preserve">99,85% </w:t>
      </w:r>
      <w:r w:rsidR="005A0E7C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spełnionych kryteriów, inspirowanych nadrzędnym celem </w:t>
      </w:r>
      <w:r w:rsidR="005A0E7C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22"/>
          <w:szCs w:val="22"/>
          <w:lang w:val="pl-PL"/>
        </w:rPr>
        <w:t>MAKING THE WORLD A BETTER HOME</w:t>
      </w:r>
      <w:r w:rsidR="0075473A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;</w:t>
      </w:r>
    </w:p>
    <w:p w14:paraId="21E335AF" w14:textId="281D993F" w:rsidR="005A0E7C" w:rsidRPr="003A76EE" w:rsidRDefault="005A0E7C" w:rsidP="005A0E7C">
      <w:pPr>
        <w:pStyle w:val="Akapitzlist"/>
        <w:numPr>
          <w:ilvl w:val="0"/>
          <w:numId w:val="3"/>
        </w:numPr>
        <w:jc w:val="both"/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</w:pP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„Uczenie się</w:t>
      </w:r>
      <w:r w:rsidR="0075473A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”: </w:t>
      </w:r>
      <w:r w:rsidR="0075473A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97</w:t>
      </w:r>
      <w:r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,</w:t>
      </w:r>
      <w:r w:rsidR="0075473A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32%</w:t>
      </w:r>
      <w:r w:rsidR="0050188C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 </w:t>
      </w: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spełnionych kryteriów</w:t>
      </w:r>
      <w:r w:rsidR="0075473A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, </w:t>
      </w:r>
      <w:r w:rsidR="003A76EE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co potwierdza znaczenie, jakie Saint-Gobain przywiązuje do rozwoju kompetencji oraz dbałości o zdolność do zatrudnienia pracowników na każdym etapie ich kariery zawodowej</w:t>
      </w:r>
      <w:r w:rsidR="003A76EE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22"/>
          <w:szCs w:val="22"/>
          <w:lang w:val="pl-PL"/>
        </w:rPr>
        <w:t xml:space="preserve"> 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22"/>
          <w:szCs w:val="22"/>
          <w:lang w:val="pl-PL"/>
        </w:rPr>
        <w:t>(+4,07%)</w:t>
      </w: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;</w:t>
      </w:r>
    </w:p>
    <w:p w14:paraId="20626727" w14:textId="7F4A8183" w:rsidR="00D32657" w:rsidRPr="003A76EE" w:rsidRDefault="005A0E7C" w:rsidP="005A0E7C">
      <w:pPr>
        <w:pStyle w:val="Akapitzlist"/>
        <w:numPr>
          <w:ilvl w:val="0"/>
          <w:numId w:val="3"/>
        </w:numPr>
        <w:jc w:val="both"/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</w:pP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„Zrównoważony rozwój”</w:t>
      </w:r>
      <w:r w:rsidR="0075473A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: </w:t>
      </w:r>
      <w:r w:rsidR="0075473A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91</w:t>
      </w:r>
      <w:r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,</w:t>
      </w:r>
      <w:r w:rsidR="0075473A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97%</w:t>
      </w:r>
      <w:r w:rsidR="0050188C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 </w:t>
      </w: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spełnionych kryteriów</w:t>
      </w:r>
      <w:r w:rsidR="0075473A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, </w:t>
      </w:r>
      <w:r w:rsidR="003A76EE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odzwierciedlających rosnącą integrację wyzwań środowiskowych i społecznych z praktykami HR oraz zarządzaniem</w:t>
      </w: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 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22"/>
          <w:szCs w:val="22"/>
          <w:lang w:val="pl-PL"/>
        </w:rPr>
        <w:t>(+1,51%)</w:t>
      </w:r>
      <w:r w:rsidR="00687686" w:rsidRPr="003A76EE">
        <w:rPr>
          <w:rFonts w:asciiTheme="majorHAnsi" w:eastAsiaTheme="majorEastAsia" w:hAnsiTheme="majorHAnsi" w:cstheme="majorBidi"/>
          <w:color w:val="17428C" w:themeColor="accent1"/>
          <w:lang w:val="pl-PL"/>
        </w:rPr>
        <w:t>;</w:t>
      </w:r>
    </w:p>
    <w:p w14:paraId="457271FF" w14:textId="299081B3" w:rsidR="005A0E7C" w:rsidRPr="003A76EE" w:rsidRDefault="0034718D" w:rsidP="005A0E7C">
      <w:pPr>
        <w:pStyle w:val="Akapitzlist"/>
        <w:numPr>
          <w:ilvl w:val="0"/>
          <w:numId w:val="3"/>
        </w:numPr>
        <w:jc w:val="both"/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</w:pP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„</w:t>
      </w:r>
      <w:r w:rsidR="005A0E7C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Marka pracodawcy</w:t>
      </w:r>
      <w:r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”</w:t>
      </w:r>
      <w:r w:rsidR="00B01E5F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: </w:t>
      </w:r>
      <w:r w:rsidR="00B01E5F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91</w:t>
      </w:r>
      <w:r w:rsidR="005A0E7C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,</w:t>
      </w:r>
      <w:r w:rsidR="00B01E5F" w:rsidRPr="003A76EE">
        <w:rPr>
          <w:rFonts w:asciiTheme="majorHAnsi" w:eastAsiaTheme="majorEastAsia" w:hAnsiTheme="majorHAnsi" w:cstheme="majorBidi"/>
          <w:b/>
          <w:bCs/>
          <w:color w:val="17428C" w:themeColor="accent1"/>
          <w:sz w:val="22"/>
          <w:szCs w:val="22"/>
          <w:lang w:val="pl-PL"/>
        </w:rPr>
        <w:t>9%</w:t>
      </w:r>
      <w:r w:rsidR="0050188C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 </w:t>
      </w:r>
      <w:r w:rsidR="005A0E7C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spełnionych kryteriów</w:t>
      </w:r>
      <w:r w:rsidR="00B01E5F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, </w:t>
      </w:r>
      <w:r w:rsidR="003A76EE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potwierdzających </w:t>
      </w:r>
      <w:r w:rsidR="005A0E7C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 xml:space="preserve">atrakcyjność Grupy </w:t>
      </w:r>
      <w:r w:rsidR="003A76EE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oraz uznanie jej zaangażowania zarówno przez obecnych, jak i potencjalnych pracowników</w:t>
      </w:r>
      <w:r w:rsidR="003A76EE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22"/>
          <w:szCs w:val="22"/>
          <w:lang w:val="pl-PL"/>
        </w:rPr>
        <w:t xml:space="preserve"> </w:t>
      </w:r>
      <w:r w:rsidR="005A0E7C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22"/>
          <w:szCs w:val="22"/>
          <w:lang w:val="pl-PL"/>
        </w:rPr>
        <w:t>(+1,44%)</w:t>
      </w:r>
      <w:r w:rsidR="005A0E7C" w:rsidRPr="003A76EE">
        <w:rPr>
          <w:rFonts w:asciiTheme="majorHAnsi" w:eastAsiaTheme="majorEastAsia" w:hAnsiTheme="majorHAnsi" w:cstheme="majorBidi"/>
          <w:color w:val="17428C" w:themeColor="accent1"/>
          <w:sz w:val="22"/>
          <w:szCs w:val="22"/>
          <w:lang w:val="pl-PL"/>
        </w:rPr>
        <w:t>.</w:t>
      </w:r>
    </w:p>
    <w:p w14:paraId="3AB0B26F" w14:textId="77777777" w:rsidR="005A0E7C" w:rsidRPr="0055568D" w:rsidRDefault="005A0E7C" w:rsidP="004E07FB">
      <w:pPr>
        <w:jc w:val="both"/>
        <w:rPr>
          <w:rFonts w:asciiTheme="majorHAnsi" w:eastAsiaTheme="majorEastAsia" w:hAnsiTheme="majorHAnsi" w:cstheme="majorBidi"/>
          <w:color w:val="17428C" w:themeColor="accent1"/>
          <w:lang w:val="pl-PL"/>
        </w:rPr>
      </w:pPr>
    </w:p>
    <w:p w14:paraId="12FC925F" w14:textId="145F3BB6" w:rsidR="00B01E5F" w:rsidRPr="0055568D" w:rsidRDefault="0055568D" w:rsidP="004E07FB">
      <w:pPr>
        <w:jc w:val="both"/>
        <w:rPr>
          <w:rFonts w:asciiTheme="majorHAnsi" w:eastAsiaTheme="majorEastAsia" w:hAnsiTheme="majorHAnsi" w:cstheme="majorBidi"/>
          <w:color w:val="17428C" w:themeColor="accent1"/>
          <w:lang w:val="pl-PL"/>
        </w:rPr>
      </w:pPr>
      <w:r w:rsidRPr="0055568D">
        <w:rPr>
          <w:rFonts w:asciiTheme="majorHAnsi" w:eastAsiaTheme="majorEastAsia" w:hAnsiTheme="majorHAnsi" w:cstheme="majorBidi"/>
          <w:color w:val="17428C" w:themeColor="accent1"/>
          <w:lang w:val="pl-PL"/>
        </w:rPr>
        <w:t>Osiągnięte rezultaty potwierdzają, że Saint-Gobain skutecznie łączy wysoką efektywność biznesową z odpowiedzialnością społeczną i trwałą wartością dla otoczenia</w:t>
      </w:r>
      <w:r w:rsidR="00C54E72" w:rsidRPr="0055568D">
        <w:rPr>
          <w:rFonts w:asciiTheme="majorHAnsi" w:eastAsiaTheme="majorEastAsia" w:hAnsiTheme="majorHAnsi" w:cstheme="majorBidi"/>
          <w:color w:val="17428C" w:themeColor="accent1"/>
          <w:lang w:val="pl-PL"/>
        </w:rPr>
        <w:t xml:space="preserve">, </w:t>
      </w:r>
      <w:r w:rsidRPr="0055568D">
        <w:rPr>
          <w:rFonts w:asciiTheme="majorHAnsi" w:eastAsiaTheme="majorEastAsia" w:hAnsiTheme="majorHAnsi" w:cstheme="majorBidi"/>
          <w:color w:val="17428C" w:themeColor="accent1"/>
          <w:lang w:val="pl-PL"/>
        </w:rPr>
        <w:t>tworząc dla pracowników środowisko pracy sprzyjające zaangażowaniu, inkluzywności i poczuciu sensu</w:t>
      </w:r>
      <w:r w:rsidR="00C54E72" w:rsidRPr="0055568D">
        <w:rPr>
          <w:rFonts w:asciiTheme="majorHAnsi" w:eastAsiaTheme="majorEastAsia" w:hAnsiTheme="majorHAnsi" w:cstheme="majorBidi"/>
          <w:color w:val="17428C" w:themeColor="accent1"/>
          <w:lang w:val="pl-PL"/>
        </w:rPr>
        <w:t>.</w:t>
      </w:r>
    </w:p>
    <w:p w14:paraId="7FB73FDB" w14:textId="4D4A6A0E" w:rsidR="00B34C0E" w:rsidRPr="003A76EE" w:rsidRDefault="00B34C0E" w:rsidP="00B34C0E">
      <w:pPr>
        <w:jc w:val="both"/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</w:pP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lastRenderedPageBreak/>
        <w:t>*</w:t>
      </w:r>
      <w:r w:rsidR="006B0569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 xml:space="preserve"> </w:t>
      </w:r>
      <w:r w:rsidR="00FB010C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>Kraje objęte certyfikatem „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>Top Employer</w:t>
      </w:r>
      <w:r w:rsidR="006B0569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>”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 xml:space="preserve"> 202</w:t>
      </w:r>
      <w:r w:rsidR="003A5777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>6</w:t>
      </w:r>
      <w:r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>:</w:t>
      </w:r>
      <w:r w:rsidR="006B0569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 xml:space="preserve"> </w:t>
      </w:r>
      <w:r w:rsidR="00FB010C" w:rsidRPr="003A76EE">
        <w:rPr>
          <w:rFonts w:asciiTheme="majorHAnsi" w:eastAsiaTheme="majorEastAsia" w:hAnsiTheme="majorHAnsi" w:cstheme="majorBidi"/>
          <w:i/>
          <w:iCs/>
          <w:color w:val="17428C" w:themeColor="accent1"/>
          <w:sz w:val="14"/>
          <w:szCs w:val="14"/>
          <w:lang w:val="pl-PL"/>
        </w:rPr>
        <w:t>Argentyna, Australia, Austria, Belgia, Brazylia, Kanada, Chile, Chiny, Kolumbia, Czechy, Dania, Egipt, Estonia, Finlandia, Francja, Niemcy, Holandia, Peru, Polska, Portugalia, Rumunia, Arabia Saudyjska, Singapur, RPA, Indie, Indonezja, Irlandia, Włochy, Japonia, Korea Południowa, Malezja, Meksyk, Hiszpania, Szwecja, Tajlandia, Turcja, Zjednoczone Emiraty Arabskie, Wielka Brytania, Stany Zjednoczone, Wietnam</w:t>
      </w:r>
    </w:p>
    <w:p w14:paraId="0F6CA5AF" w14:textId="77777777" w:rsidR="00C07FC9" w:rsidRPr="003A76EE" w:rsidRDefault="00C07FC9" w:rsidP="005D0E6D">
      <w:pPr>
        <w:tabs>
          <w:tab w:val="left" w:pos="5521"/>
        </w:tabs>
        <w:jc w:val="both"/>
        <w:rPr>
          <w:rFonts w:ascii="Arial" w:eastAsiaTheme="majorEastAsia" w:hAnsi="Arial" w:cs="Arial"/>
          <w:color w:val="17428C" w:themeColor="accent1"/>
          <w:sz w:val="20"/>
          <w:szCs w:val="24"/>
          <w:lang w:val="pl-PL"/>
        </w:rPr>
      </w:pPr>
    </w:p>
    <w:p w14:paraId="2F64A4A2" w14:textId="552191FD" w:rsidR="00687686" w:rsidRPr="003A76EE" w:rsidRDefault="00C54E72" w:rsidP="00687686">
      <w:pPr>
        <w:pStyle w:val="Nagwek2"/>
        <w:spacing w:after="120"/>
        <w:rPr>
          <w:b/>
          <w:bCs/>
          <w:color w:val="67B9B0" w:themeColor="accent4"/>
          <w:lang w:val="pl-PL"/>
        </w:rPr>
      </w:pPr>
      <w:r w:rsidRPr="003A76EE">
        <w:rPr>
          <w:b/>
          <w:bCs/>
          <w:color w:val="67B9B0" w:themeColor="accent4"/>
          <w:lang w:val="pl-PL"/>
        </w:rPr>
        <w:t>O Saint-Gobain</w:t>
      </w:r>
    </w:p>
    <w:p w14:paraId="430C9C1D" w14:textId="17B641E1" w:rsidR="00687686" w:rsidRPr="003A76EE" w:rsidRDefault="00C54E72" w:rsidP="00687686">
      <w:pPr>
        <w:pStyle w:val="Nagwek2"/>
        <w:rPr>
          <w:sz w:val="20"/>
          <w:szCs w:val="20"/>
          <w:lang w:val="pl-PL"/>
        </w:rPr>
      </w:pPr>
      <w:r w:rsidRPr="003A76EE">
        <w:rPr>
          <w:color w:val="16428B"/>
          <w:sz w:val="20"/>
          <w:lang w:val="pl-PL"/>
        </w:rPr>
        <w:t>Saint-Gobain, światowy lider w dziedzinie lekkiego i zrównoważonego budownictwa, tworzy, produkuje</w:t>
      </w:r>
      <w:r w:rsidR="00833A55">
        <w:rPr>
          <w:color w:val="16428B"/>
          <w:sz w:val="20"/>
          <w:lang w:val="pl-PL"/>
        </w:rPr>
        <w:t xml:space="preserve"> i </w:t>
      </w:r>
      <w:r w:rsidRPr="003A76EE">
        <w:rPr>
          <w:color w:val="16428B"/>
          <w:sz w:val="20"/>
          <w:lang w:val="pl-PL"/>
        </w:rPr>
        <w:t>dystrybuuje materiały oraz usługi dla rynku budowlanego i przemysłowego. Zintegrowane rozwiązania</w:t>
      </w:r>
      <w:r w:rsidR="00833A55">
        <w:rPr>
          <w:color w:val="16428B"/>
          <w:sz w:val="20"/>
          <w:lang w:val="pl-PL"/>
        </w:rPr>
        <w:t xml:space="preserve"> w </w:t>
      </w:r>
      <w:r w:rsidRPr="003A76EE">
        <w:rPr>
          <w:color w:val="16428B"/>
          <w:sz w:val="20"/>
          <w:lang w:val="pl-PL"/>
        </w:rPr>
        <w:t>zakresie renowacji budynków publicznych i prywatnych, lekkiego budownictwa oraz dekarbonizacji budownictwa i przemysłu są opracowywane w procesie ciągłej innowacji i zapewniają zrównoważony rozwój i efektywność. Zobowiązanie Grupy wyrażone jest w jej celu nadrzędnym: “MAKING THE WORLD</w:t>
      </w:r>
      <w:r w:rsidR="00833A55">
        <w:rPr>
          <w:color w:val="16428B"/>
          <w:sz w:val="20"/>
          <w:lang w:val="pl-PL"/>
        </w:rPr>
        <w:t xml:space="preserve"> A </w:t>
      </w:r>
      <w:r w:rsidRPr="003A76EE">
        <w:rPr>
          <w:color w:val="16428B"/>
          <w:sz w:val="20"/>
          <w:lang w:val="pl-PL"/>
        </w:rPr>
        <w:t>BETTER HOME</w:t>
      </w:r>
      <w:r w:rsidR="00303EBD" w:rsidRPr="003A76EE">
        <w:rPr>
          <w:sz w:val="20"/>
          <w:szCs w:val="20"/>
          <w:lang w:val="pl-PL"/>
        </w:rPr>
        <w:t>”.</w:t>
      </w:r>
    </w:p>
    <w:p w14:paraId="55CDE664" w14:textId="77777777" w:rsidR="00687686" w:rsidRPr="003A76EE" w:rsidRDefault="00687686" w:rsidP="00687686">
      <w:pPr>
        <w:pStyle w:val="Nagwek2"/>
        <w:rPr>
          <w:sz w:val="20"/>
          <w:szCs w:val="20"/>
          <w:lang w:val="pl-PL"/>
        </w:rPr>
      </w:pPr>
    </w:p>
    <w:p w14:paraId="570C6CB5" w14:textId="14A673E2" w:rsidR="00687686" w:rsidRPr="003A76EE" w:rsidRDefault="00C54E72" w:rsidP="00687686">
      <w:pPr>
        <w:pStyle w:val="Nagwek2"/>
        <w:rPr>
          <w:b/>
          <w:bCs/>
          <w:sz w:val="20"/>
          <w:szCs w:val="20"/>
          <w:lang w:val="pl-PL"/>
        </w:rPr>
      </w:pPr>
      <w:r w:rsidRPr="003A76EE">
        <w:rPr>
          <w:b/>
          <w:bCs/>
          <w:color w:val="16428B"/>
          <w:sz w:val="20"/>
          <w:lang w:val="pl-PL"/>
        </w:rPr>
        <w:t>Wartość sprzedaży w 2024 roku:</w:t>
      </w:r>
      <w:r w:rsidRPr="003A76EE">
        <w:rPr>
          <w:b/>
          <w:bCs/>
          <w:sz w:val="20"/>
          <w:szCs w:val="20"/>
          <w:lang w:val="pl-PL"/>
        </w:rPr>
        <w:t xml:space="preserve"> </w:t>
      </w:r>
      <w:r w:rsidR="00687686" w:rsidRPr="003A76EE">
        <w:rPr>
          <w:b/>
          <w:bCs/>
          <w:sz w:val="20"/>
          <w:szCs w:val="20"/>
          <w:lang w:val="pl-PL"/>
        </w:rPr>
        <w:t>4</w:t>
      </w:r>
      <w:r w:rsidR="00303EBD" w:rsidRPr="003A76EE">
        <w:rPr>
          <w:b/>
          <w:bCs/>
          <w:sz w:val="20"/>
          <w:szCs w:val="20"/>
          <w:lang w:val="pl-PL"/>
        </w:rPr>
        <w:t>6</w:t>
      </w:r>
      <w:r w:rsidRPr="003A76EE">
        <w:rPr>
          <w:b/>
          <w:bCs/>
          <w:sz w:val="20"/>
          <w:szCs w:val="20"/>
          <w:lang w:val="pl-PL"/>
        </w:rPr>
        <w:t>,</w:t>
      </w:r>
      <w:r w:rsidR="00303EBD" w:rsidRPr="003A76EE">
        <w:rPr>
          <w:b/>
          <w:bCs/>
          <w:sz w:val="20"/>
          <w:szCs w:val="20"/>
          <w:lang w:val="pl-PL"/>
        </w:rPr>
        <w:t>6</w:t>
      </w:r>
      <w:r w:rsidR="00687686" w:rsidRPr="003A76EE">
        <w:rPr>
          <w:b/>
          <w:bCs/>
          <w:sz w:val="20"/>
          <w:szCs w:val="20"/>
          <w:lang w:val="pl-PL"/>
        </w:rPr>
        <w:t xml:space="preserve"> </w:t>
      </w:r>
      <w:r w:rsidRPr="003A76EE">
        <w:rPr>
          <w:b/>
          <w:bCs/>
          <w:sz w:val="20"/>
          <w:szCs w:val="20"/>
          <w:lang w:val="pl-PL"/>
        </w:rPr>
        <w:t>mld EUR</w:t>
      </w:r>
    </w:p>
    <w:p w14:paraId="12B3488E" w14:textId="6D5B2BD5" w:rsidR="00687686" w:rsidRPr="003A76EE" w:rsidRDefault="00687686" w:rsidP="00687686">
      <w:pPr>
        <w:pStyle w:val="Nagwek2"/>
        <w:rPr>
          <w:b/>
          <w:bCs/>
          <w:sz w:val="20"/>
          <w:szCs w:val="20"/>
          <w:lang w:val="pl-PL"/>
        </w:rPr>
      </w:pPr>
      <w:r w:rsidRPr="003A76EE">
        <w:rPr>
          <w:b/>
          <w:bCs/>
          <w:sz w:val="20"/>
          <w:szCs w:val="20"/>
          <w:lang w:val="pl-PL"/>
        </w:rPr>
        <w:t>16</w:t>
      </w:r>
      <w:r w:rsidR="00303EBD" w:rsidRPr="003A76EE">
        <w:rPr>
          <w:b/>
          <w:bCs/>
          <w:sz w:val="20"/>
          <w:szCs w:val="20"/>
          <w:lang w:val="pl-PL"/>
        </w:rPr>
        <w:t>1</w:t>
      </w:r>
      <w:r w:rsidRPr="003A76EE">
        <w:rPr>
          <w:b/>
          <w:bCs/>
          <w:sz w:val="20"/>
          <w:szCs w:val="20"/>
          <w:lang w:val="pl-PL"/>
        </w:rPr>
        <w:t xml:space="preserve">,000 </w:t>
      </w:r>
      <w:r w:rsidR="00C54E72" w:rsidRPr="003A76EE">
        <w:rPr>
          <w:b/>
          <w:bCs/>
          <w:color w:val="16428B"/>
          <w:sz w:val="20"/>
          <w:lang w:val="pl-PL"/>
        </w:rPr>
        <w:t>pracowników w 80 krajach</w:t>
      </w:r>
      <w:r w:rsidR="0034718D">
        <w:rPr>
          <w:b/>
          <w:bCs/>
          <w:color w:val="16428B"/>
          <w:sz w:val="20"/>
          <w:lang w:val="pl-PL"/>
        </w:rPr>
        <w:t xml:space="preserve">                                                </w:t>
      </w:r>
      <w:r w:rsidR="00C54E72" w:rsidRPr="003A76EE">
        <w:rPr>
          <w:b/>
          <w:bCs/>
          <w:color w:val="16428B"/>
          <w:sz w:val="20"/>
          <w:lang w:val="pl-PL"/>
        </w:rPr>
        <w:t xml:space="preserve"> </w:t>
      </w:r>
    </w:p>
    <w:p w14:paraId="02F3192D" w14:textId="1433BB60" w:rsidR="00687686" w:rsidRPr="003A76EE" w:rsidRDefault="00C54E72" w:rsidP="00687686">
      <w:pPr>
        <w:pStyle w:val="Nagwek2"/>
        <w:rPr>
          <w:b/>
          <w:bCs/>
          <w:sz w:val="20"/>
          <w:szCs w:val="20"/>
          <w:lang w:val="pl-PL"/>
        </w:rPr>
      </w:pPr>
      <w:r w:rsidRPr="003A76EE">
        <w:rPr>
          <w:b/>
          <w:bCs/>
          <w:color w:val="16428B"/>
          <w:sz w:val="20"/>
          <w:lang w:val="pl-PL"/>
        </w:rPr>
        <w:t>Firma podjęła zobowiązanie do osiągnięcia neutralności węglowej do 2050 roku.</w:t>
      </w:r>
    </w:p>
    <w:p w14:paraId="43197F8E" w14:textId="77777777" w:rsidR="00687686" w:rsidRPr="003A76EE" w:rsidRDefault="00687686" w:rsidP="00687686">
      <w:pPr>
        <w:pStyle w:val="Nagwek2"/>
        <w:rPr>
          <w:sz w:val="20"/>
          <w:szCs w:val="20"/>
          <w:lang w:val="pl-PL"/>
        </w:rPr>
      </w:pPr>
    </w:p>
    <w:p w14:paraId="3382B499" w14:textId="5A44CEE0" w:rsidR="00833A55" w:rsidRDefault="00C54E72" w:rsidP="00833A55">
      <w:pPr>
        <w:pStyle w:val="Nagwek2"/>
        <w:rPr>
          <w:sz w:val="20"/>
          <w:szCs w:val="20"/>
          <w:lang w:val="pl-PL"/>
        </w:rPr>
      </w:pPr>
      <w:r w:rsidRPr="003A76EE">
        <w:rPr>
          <w:bCs/>
          <w:color w:val="16428B"/>
          <w:sz w:val="20"/>
          <w:lang w:val="pl-PL"/>
        </w:rPr>
        <w:t>Więcej informacji o Saint-Gobain znaleźć można na naszej stronie</w:t>
      </w:r>
      <w:r w:rsidRPr="003A76EE">
        <w:rPr>
          <w:lang w:val="pl-PL"/>
        </w:rPr>
        <w:t xml:space="preserve"> </w:t>
      </w:r>
      <w:hyperlink w:history="1">
        <w:r w:rsidR="00833A55" w:rsidRPr="00833A55">
          <w:rPr>
            <w:rStyle w:val="Hipercze"/>
            <w:rFonts w:ascii="Arial" w:eastAsia="MS Gothic" w:hAnsi="Arial" w:cs="Arial"/>
            <w:sz w:val="20"/>
            <w:szCs w:val="20"/>
            <w:lang w:val="pl-PL"/>
          </w:rPr>
          <w:t xml:space="preserve">www.saint-gobain.pl. </w:t>
        </w:r>
      </w:hyperlink>
    </w:p>
    <w:p w14:paraId="767EFFB6" w14:textId="77777777" w:rsidR="00833A55" w:rsidRPr="00833A55" w:rsidRDefault="00833A55" w:rsidP="00833A55">
      <w:pPr>
        <w:rPr>
          <w:lang w:val="pl-PL"/>
        </w:rPr>
      </w:pPr>
    </w:p>
    <w:p w14:paraId="5FE44111" w14:textId="77777777" w:rsidR="00833A55" w:rsidRPr="00833A55" w:rsidRDefault="00833A55" w:rsidP="00833A55">
      <w:pPr>
        <w:spacing w:after="240" w:line="240" w:lineRule="auto"/>
        <w:rPr>
          <w:b/>
          <w:bCs/>
          <w:noProof/>
          <w:color w:val="67B9B0" w:themeColor="accent4"/>
          <w:sz w:val="20"/>
          <w:szCs w:val="20"/>
          <w:lang w:val="pl-PL"/>
        </w:rPr>
      </w:pPr>
      <w:r w:rsidRPr="00833A55">
        <w:rPr>
          <w:b/>
          <w:bCs/>
          <w:noProof/>
          <w:color w:val="67B9B0" w:themeColor="accent4"/>
          <w:sz w:val="20"/>
          <w:szCs w:val="20"/>
          <w:lang w:val="pl-PL"/>
        </w:rPr>
        <w:t>Dodatkowe informacje:</w:t>
      </w:r>
    </w:p>
    <w:p w14:paraId="52A10509" w14:textId="77777777" w:rsidR="00833A55" w:rsidRPr="00833A55" w:rsidRDefault="00833A55" w:rsidP="00833A55">
      <w:pPr>
        <w:pStyle w:val="Nagwek2"/>
        <w:spacing w:line="240" w:lineRule="auto"/>
        <w:rPr>
          <w:noProof/>
          <w:sz w:val="20"/>
          <w:szCs w:val="20"/>
          <w:lang w:val="pl-PL"/>
        </w:rPr>
      </w:pPr>
      <w:r w:rsidRPr="00833A55">
        <w:rPr>
          <w:noProof/>
          <w:sz w:val="20"/>
          <w:szCs w:val="20"/>
          <w:lang w:val="pl-PL"/>
        </w:rPr>
        <w:t xml:space="preserve">Michał Ciesielski, dyrektor marki, komunikacji i cyfryzacji </w:t>
      </w:r>
    </w:p>
    <w:p w14:paraId="064B1EA3" w14:textId="77777777" w:rsidR="00833A55" w:rsidRPr="00833A55" w:rsidRDefault="00833A55" w:rsidP="00833A55">
      <w:pPr>
        <w:pStyle w:val="Nagwek2"/>
        <w:spacing w:after="240" w:line="240" w:lineRule="auto"/>
        <w:rPr>
          <w:noProof/>
          <w:sz w:val="20"/>
          <w:szCs w:val="20"/>
          <w:lang w:val="pl-PL"/>
        </w:rPr>
      </w:pPr>
      <w:hyperlink r:id="rId13" w:history="1">
        <w:r w:rsidRPr="00833A55">
          <w:rPr>
            <w:rStyle w:val="Hipercze"/>
            <w:noProof/>
            <w:sz w:val="20"/>
            <w:szCs w:val="20"/>
            <w:lang w:val="pl-PL"/>
          </w:rPr>
          <w:t>michal.ciesielski@saint-gobain.com</w:t>
        </w:r>
      </w:hyperlink>
    </w:p>
    <w:p w14:paraId="0AE30A11" w14:textId="77777777" w:rsidR="00833A55" w:rsidRPr="00833A55" w:rsidRDefault="00833A55" w:rsidP="00833A55">
      <w:pPr>
        <w:pStyle w:val="Nagwek2"/>
        <w:spacing w:line="240" w:lineRule="auto"/>
        <w:rPr>
          <w:noProof/>
          <w:sz w:val="20"/>
          <w:szCs w:val="20"/>
          <w:lang w:val="pl-PL"/>
        </w:rPr>
      </w:pPr>
      <w:r w:rsidRPr="00833A55">
        <w:rPr>
          <w:noProof/>
          <w:sz w:val="20"/>
          <w:szCs w:val="20"/>
          <w:lang w:val="pl-PL"/>
        </w:rPr>
        <w:t>Monika Mazurek-Skrzekowska, kierownik marki i komunikacji</w:t>
      </w:r>
    </w:p>
    <w:p w14:paraId="4305E027" w14:textId="77777777" w:rsidR="00833A55" w:rsidRPr="00833A55" w:rsidRDefault="00833A55" w:rsidP="00833A55">
      <w:pPr>
        <w:pStyle w:val="Nagwek2"/>
        <w:spacing w:line="240" w:lineRule="auto"/>
        <w:rPr>
          <w:noProof/>
          <w:sz w:val="20"/>
          <w:szCs w:val="20"/>
          <w:lang w:val="en-GB"/>
        </w:rPr>
      </w:pPr>
      <w:hyperlink r:id="rId14" w:history="1">
        <w:r w:rsidRPr="00833A55">
          <w:rPr>
            <w:rStyle w:val="Hipercze"/>
            <w:noProof/>
            <w:sz w:val="20"/>
            <w:szCs w:val="20"/>
            <w:lang w:val="en-GB"/>
          </w:rPr>
          <w:t>monika.mazurek@saint-gobain.com</w:t>
        </w:r>
      </w:hyperlink>
      <w:r w:rsidRPr="00833A55">
        <w:rPr>
          <w:noProof/>
          <w:sz w:val="20"/>
          <w:szCs w:val="20"/>
          <w:lang w:val="en-GB"/>
        </w:rPr>
        <w:t xml:space="preserve"> </w:t>
      </w:r>
    </w:p>
    <w:p w14:paraId="34E38A12" w14:textId="77777777" w:rsidR="00833A55" w:rsidRPr="00833A55" w:rsidRDefault="00833A55" w:rsidP="00833A55">
      <w:pPr>
        <w:rPr>
          <w:lang w:val="pl-PL"/>
        </w:rPr>
      </w:pPr>
    </w:p>
    <w:p w14:paraId="4B282726" w14:textId="77777777" w:rsidR="00687686" w:rsidRPr="003A76EE" w:rsidRDefault="00687686" w:rsidP="00687686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17428C" w:themeColor="accent1"/>
          <w:sz w:val="20"/>
          <w:szCs w:val="24"/>
          <w:lang w:val="pl-PL"/>
        </w:rPr>
      </w:pPr>
    </w:p>
    <w:p w14:paraId="5731764D" w14:textId="4FE8F87E" w:rsidR="008265FB" w:rsidRPr="003A76EE" w:rsidRDefault="008265FB" w:rsidP="008265FB">
      <w:pPr>
        <w:spacing w:after="0" w:line="240" w:lineRule="auto"/>
        <w:rPr>
          <w:rFonts w:ascii="Arial" w:eastAsiaTheme="majorEastAsia" w:hAnsi="Arial" w:cs="Arial"/>
          <w:b/>
          <w:bCs/>
          <w:color w:val="17428C" w:themeColor="accent1"/>
          <w:sz w:val="20"/>
          <w:szCs w:val="24"/>
          <w:lang w:val="pl-PL"/>
        </w:rPr>
      </w:pPr>
    </w:p>
    <w:sectPr w:rsidR="008265FB" w:rsidRPr="003A76EE" w:rsidSect="00B15984">
      <w:headerReference w:type="default" r:id="rId15"/>
      <w:footerReference w:type="default" r:id="rId16"/>
      <w:headerReference w:type="first" r:id="rId17"/>
      <w:pgSz w:w="11906" w:h="16838" w:code="9"/>
      <w:pgMar w:top="2268" w:right="1276" w:bottom="1134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A2FA" w14:textId="77777777" w:rsidR="00EF5EAA" w:rsidRDefault="00EF5EAA" w:rsidP="000D2398">
      <w:pPr>
        <w:spacing w:after="0" w:line="240" w:lineRule="auto"/>
      </w:pPr>
      <w:r>
        <w:separator/>
      </w:r>
    </w:p>
  </w:endnote>
  <w:endnote w:type="continuationSeparator" w:id="0">
    <w:p w14:paraId="7AC83338" w14:textId="77777777" w:rsidR="00EF5EAA" w:rsidRDefault="00EF5EAA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(Heading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AF46" w14:textId="77777777" w:rsidR="00833A55" w:rsidRPr="00833A55" w:rsidRDefault="00833A55" w:rsidP="00833A55">
    <w:pPr>
      <w:pStyle w:val="Nagwek2"/>
      <w:spacing w:line="240" w:lineRule="auto"/>
      <w:jc w:val="center"/>
      <w:rPr>
        <w:b/>
        <w:bCs/>
        <w:noProof/>
        <w:sz w:val="16"/>
        <w:szCs w:val="20"/>
        <w:lang w:val="pl-PL"/>
      </w:rPr>
    </w:pPr>
    <w:r w:rsidRPr="00833A55">
      <w:rPr>
        <w:b/>
        <w:bCs/>
        <w:noProof/>
        <w:sz w:val="16"/>
        <w:szCs w:val="20"/>
        <w:lang w:val="pl-PL"/>
      </w:rPr>
      <w:t xml:space="preserve">Saint-Gobain w Polsce </w:t>
    </w:r>
    <w:r w:rsidRPr="00ED2DBB">
      <w:rPr>
        <w:b/>
        <w:bCs/>
        <w:noProof/>
        <w:sz w:val="16"/>
        <w:szCs w:val="20"/>
        <w:lang w:val="pl-PL"/>
      </w:rPr>
      <w:t>• www.saint-gobain.pl</w:t>
    </w:r>
  </w:p>
  <w:p w14:paraId="3EC05287" w14:textId="07DDF550" w:rsidR="005A3D76" w:rsidRPr="00833A55" w:rsidRDefault="005A3D76" w:rsidP="00941884">
    <w:pPr>
      <w:pStyle w:val="Nagwek2"/>
      <w:spacing w:line="240" w:lineRule="auto"/>
      <w:jc w:val="center"/>
      <w:rPr>
        <w:b/>
        <w:bCs/>
        <w:noProof/>
        <w:sz w:val="16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2DDC" w14:textId="77777777" w:rsidR="00EF5EAA" w:rsidRDefault="00EF5EAA" w:rsidP="000D2398">
      <w:pPr>
        <w:spacing w:after="0" w:line="240" w:lineRule="auto"/>
      </w:pPr>
      <w:r>
        <w:separator/>
      </w:r>
    </w:p>
  </w:footnote>
  <w:footnote w:type="continuationSeparator" w:id="0">
    <w:p w14:paraId="259F9200" w14:textId="77777777" w:rsidR="00EF5EAA" w:rsidRDefault="00EF5EAA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2502" w14:textId="4D33125A" w:rsidR="00687686" w:rsidRPr="00240207" w:rsidRDefault="005A3D76" w:rsidP="00687686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17428C" w:themeColor="accent1"/>
        <w:sz w:val="40"/>
        <w:szCs w:val="40"/>
        <w:lang w:val="pl-PL"/>
      </w:rPr>
    </w:pPr>
    <w:r w:rsidRPr="00240207">
      <w:rPr>
        <w:b/>
        <w:bCs/>
        <w:noProof/>
        <w:color w:val="17428C" w:themeColor="accent1"/>
        <w:sz w:val="40"/>
        <w:szCs w:val="40"/>
        <w:lang w:val="pl-PL"/>
      </w:rPr>
      <w:drawing>
        <wp:anchor distT="0" distB="0" distL="114300" distR="114300" simplePos="0" relativeHeight="251666432" behindDoc="0" locked="0" layoutInCell="1" allowOverlap="1" wp14:anchorId="362F3C16" wp14:editId="6E8299DA">
          <wp:simplePos x="0" y="0"/>
          <wp:positionH relativeFrom="column">
            <wp:posOffset>4319743</wp:posOffset>
          </wp:positionH>
          <wp:positionV relativeFrom="paragraph">
            <wp:posOffset>150318</wp:posOffset>
          </wp:positionV>
          <wp:extent cx="1687830" cy="704215"/>
          <wp:effectExtent l="0" t="0" r="7620" b="635"/>
          <wp:wrapNone/>
          <wp:docPr id="755820176" name="Picture 75582017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163" name="Picture 755820163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5D84" w:rsidRPr="00240207">
      <w:rPr>
        <w:b/>
        <w:bCs/>
        <w:noProof/>
        <w:sz w:val="28"/>
        <w:szCs w:val="28"/>
        <w:lang w:val="pl-PL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82D494" wp14:editId="3F068950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755820165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Freeform: Shape 1" style="position:absolute;margin-left:0;margin-top:-28.5pt;width:595.25pt;height:802.7pt;z-index:25167052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67b9b0 [3207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" w14:anchorId="4A31669D">
              <v:fill type="gradient" color2="#17428c [3204]" colors="0 #67b9b0;.5 #219cdc;1 #17428c" angle="90" focus="100%" rotate="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240207" w:rsidRPr="00240207">
      <w:rPr>
        <w:b/>
        <w:bCs/>
        <w:noProof/>
        <w:sz w:val="28"/>
        <w:szCs w:val="28"/>
        <w:lang w:val="pl-PL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KOMUNIKAT</w:t>
    </w:r>
  </w:p>
  <w:p w14:paraId="0665B3D2" w14:textId="75820DE4" w:rsidR="00687686" w:rsidRPr="00240207" w:rsidRDefault="00240207" w:rsidP="00687686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8"/>
        <w:szCs w:val="28"/>
        <w:lang w:val="pl-PL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240207">
      <w:rPr>
        <w:b/>
        <w:bCs/>
        <w:noProof/>
        <w:sz w:val="28"/>
        <w:szCs w:val="28"/>
        <w:lang w:val="pl-PL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PRASOWY</w:t>
    </w:r>
  </w:p>
  <w:p w14:paraId="06B02D99" w14:textId="47CB2623" w:rsidR="00687686" w:rsidRPr="00240207" w:rsidRDefault="00687686" w:rsidP="00687686">
    <w:pPr>
      <w:pStyle w:val="Nagwek"/>
      <w:ind w:left="-567"/>
      <w:rPr>
        <w:lang w:val="pl-PL"/>
      </w:rPr>
    </w:pPr>
    <w:r w:rsidRPr="00240207">
      <w:rPr>
        <w:color w:val="17428C" w:themeColor="accent1"/>
        <w:sz w:val="24"/>
        <w:szCs w:val="24"/>
        <w:lang w:val="pl-PL"/>
      </w:rPr>
      <w:t>1</w:t>
    </w:r>
    <w:r w:rsidR="005E13DA">
      <w:rPr>
        <w:color w:val="17428C" w:themeColor="accent1"/>
        <w:sz w:val="24"/>
        <w:szCs w:val="24"/>
        <w:lang w:val="pl-PL"/>
      </w:rPr>
      <w:t>5</w:t>
    </w:r>
    <w:r w:rsidR="00240207" w:rsidRPr="00240207">
      <w:rPr>
        <w:color w:val="17428C" w:themeColor="accent1"/>
        <w:sz w:val="24"/>
        <w:szCs w:val="24"/>
        <w:lang w:val="pl-PL"/>
      </w:rPr>
      <w:t xml:space="preserve"> stycznia</w:t>
    </w:r>
    <w:r w:rsidRPr="00240207">
      <w:rPr>
        <w:color w:val="17428C" w:themeColor="accent1"/>
        <w:sz w:val="24"/>
        <w:szCs w:val="24"/>
        <w:lang w:val="pl-PL"/>
      </w:rPr>
      <w:t xml:space="preserve"> </w:t>
    </w:r>
    <w:r w:rsidRPr="005E13DA">
      <w:rPr>
        <w:color w:val="17428C" w:themeColor="accent1"/>
        <w:sz w:val="24"/>
        <w:szCs w:val="24"/>
        <w:lang w:val="pl-PL"/>
      </w:rPr>
      <w:t>202</w:t>
    </w:r>
    <w:r w:rsidR="005E13DA" w:rsidRPr="005E13DA">
      <w:rPr>
        <w:color w:val="17428C" w:themeColor="accent1"/>
        <w:sz w:val="24"/>
        <w:szCs w:val="24"/>
        <w:lang w:val="pl-PL"/>
      </w:rPr>
      <w:t>6</w:t>
    </w:r>
  </w:p>
  <w:p w14:paraId="7475479D" w14:textId="2FD203CD" w:rsidR="006B5242" w:rsidRPr="00240207" w:rsidRDefault="006B5242" w:rsidP="00687686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1491" w14:textId="601D399D" w:rsidR="00D135D6" w:rsidRPr="00904F34" w:rsidRDefault="003E687E" w:rsidP="00E319CA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1D5FF31" wp14:editId="40ED085E">
          <wp:simplePos x="0" y="0"/>
          <wp:positionH relativeFrom="column">
            <wp:posOffset>4303172</wp:posOffset>
          </wp:positionH>
          <wp:positionV relativeFrom="paragraph">
            <wp:posOffset>150594</wp:posOffset>
          </wp:positionV>
          <wp:extent cx="1687830" cy="704215"/>
          <wp:effectExtent l="0" t="0" r="7620" b="635"/>
          <wp:wrapNone/>
          <wp:docPr id="755820177" name="Picture 755820177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081" name="Picture 755820081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2B82" w:rsidRPr="006F2B82">
      <w:rPr>
        <w:b/>
        <w:bCs/>
        <w:noProof/>
        <w:sz w:val="28"/>
        <w:szCs w:val="28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556025" wp14:editId="5C3816B2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2" name="Freeform: Shape 1">
                <a:extLst xmlns:a="http://schemas.openxmlformats.org/drawingml/2006/main">
                  <a:ext uri="{FF2B5EF4-FFF2-40B4-BE49-F238E27FC236}">
                    <a16:creationId xmlns:a16="http://schemas.microsoft.com/office/drawing/2014/main" id="{2DE0B375-9CF8-FEE5-7466-F54F61ED7C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<w:pict>
            <v:shape id="Freeform: Shape 1" style="position:absolute;margin-left:0;margin-top:-28.5pt;width:595.25pt;height:802.7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67b9b0 [3207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" w14:anchorId="174762A5">
              <v:fill type="gradient" color2="#17428c [3204]" colors="0 #67b9b0;.5 #219cdc;1 #17428c" angle="90" focus="100%" rotate="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D135D6" w:rsidRPr="00904F34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COMMUNIQUÉ</w:t>
    </w:r>
    <w:r w:rsidR="00E319CA" w:rsidRPr="00904F34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ab/>
    </w:r>
  </w:p>
  <w:p w14:paraId="45258CF2" w14:textId="4151E4D1" w:rsidR="00D135D6" w:rsidRPr="00904F34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904F34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DE PRESSE</w:t>
    </w:r>
  </w:p>
  <w:p w14:paraId="0BCBB615" w14:textId="33567E77" w:rsidR="005D111C" w:rsidRPr="00904F34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ind w:left="-567"/>
      <w:rPr>
        <w:lang w:val="fr-FR"/>
      </w:rPr>
    </w:pPr>
    <w:r w:rsidRPr="00904F34">
      <w:rPr>
        <w:color w:val="17428C" w:themeColor="accent1"/>
        <w:sz w:val="24"/>
        <w:szCs w:val="24"/>
        <w:lang w:val="fr-FR"/>
      </w:rPr>
      <w:t>XX Janvier XXXX à XXhXX</w:t>
    </w:r>
    <w:r w:rsidR="007B3273" w:rsidRPr="00904F34">
      <w:rPr>
        <w:lang w:val="fr-FR"/>
      </w:rPr>
      <w:tab/>
    </w:r>
    <w:r w:rsidR="007B3273" w:rsidRPr="00904F34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EF0"/>
    <w:multiLevelType w:val="multilevel"/>
    <w:tmpl w:val="D92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A26C7"/>
    <w:multiLevelType w:val="multilevel"/>
    <w:tmpl w:val="D3B0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E0AF7"/>
    <w:multiLevelType w:val="hybridMultilevel"/>
    <w:tmpl w:val="93F46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650B9"/>
    <w:multiLevelType w:val="hybridMultilevel"/>
    <w:tmpl w:val="FEEE9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4C52"/>
    <w:multiLevelType w:val="hybridMultilevel"/>
    <w:tmpl w:val="FFFFFFFF"/>
    <w:lvl w:ilvl="0" w:tplc="75BE8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4B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66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85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E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1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6C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CC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A5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869348">
    <w:abstractNumId w:val="4"/>
  </w:num>
  <w:num w:numId="2" w16cid:durableId="1878615281">
    <w:abstractNumId w:val="3"/>
  </w:num>
  <w:num w:numId="3" w16cid:durableId="1604802923">
    <w:abstractNumId w:val="2"/>
  </w:num>
  <w:num w:numId="4" w16cid:durableId="302931475">
    <w:abstractNumId w:val="0"/>
  </w:num>
  <w:num w:numId="5" w16cid:durableId="93312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22C17"/>
    <w:rsid w:val="000464FA"/>
    <w:rsid w:val="00067728"/>
    <w:rsid w:val="0009269A"/>
    <w:rsid w:val="000B2CE4"/>
    <w:rsid w:val="000B65D0"/>
    <w:rsid w:val="000B6694"/>
    <w:rsid w:val="000C0DD7"/>
    <w:rsid w:val="000C12B1"/>
    <w:rsid w:val="000C7B22"/>
    <w:rsid w:val="000D2286"/>
    <w:rsid w:val="000D2398"/>
    <w:rsid w:val="000D275F"/>
    <w:rsid w:val="000D5980"/>
    <w:rsid w:val="000E4C8E"/>
    <w:rsid w:val="000E5446"/>
    <w:rsid w:val="000E57AA"/>
    <w:rsid w:val="00111786"/>
    <w:rsid w:val="0011314B"/>
    <w:rsid w:val="001241CC"/>
    <w:rsid w:val="00125F9A"/>
    <w:rsid w:val="00134056"/>
    <w:rsid w:val="00167E3F"/>
    <w:rsid w:val="00174478"/>
    <w:rsid w:val="00177A27"/>
    <w:rsid w:val="00195E99"/>
    <w:rsid w:val="001C31FB"/>
    <w:rsid w:val="001E33FB"/>
    <w:rsid w:val="001F5E0A"/>
    <w:rsid w:val="0022464C"/>
    <w:rsid w:val="00225C40"/>
    <w:rsid w:val="00240207"/>
    <w:rsid w:val="00243384"/>
    <w:rsid w:val="0025692D"/>
    <w:rsid w:val="002604C1"/>
    <w:rsid w:val="002B36C2"/>
    <w:rsid w:val="002C0B79"/>
    <w:rsid w:val="002D29B8"/>
    <w:rsid w:val="002D76DD"/>
    <w:rsid w:val="002F0501"/>
    <w:rsid w:val="00303EBD"/>
    <w:rsid w:val="00304B3F"/>
    <w:rsid w:val="0031507D"/>
    <w:rsid w:val="0032104F"/>
    <w:rsid w:val="00321942"/>
    <w:rsid w:val="003227DA"/>
    <w:rsid w:val="00331C7A"/>
    <w:rsid w:val="0033753E"/>
    <w:rsid w:val="003459D4"/>
    <w:rsid w:val="0034718D"/>
    <w:rsid w:val="00362B4E"/>
    <w:rsid w:val="00365BE8"/>
    <w:rsid w:val="00372E4D"/>
    <w:rsid w:val="003856B9"/>
    <w:rsid w:val="00393F97"/>
    <w:rsid w:val="00394370"/>
    <w:rsid w:val="003A5777"/>
    <w:rsid w:val="003A76EE"/>
    <w:rsid w:val="003D4E19"/>
    <w:rsid w:val="003E0967"/>
    <w:rsid w:val="003E52EE"/>
    <w:rsid w:val="003E687E"/>
    <w:rsid w:val="00407830"/>
    <w:rsid w:val="00415A86"/>
    <w:rsid w:val="00444E71"/>
    <w:rsid w:val="00460CCC"/>
    <w:rsid w:val="004629AA"/>
    <w:rsid w:val="00462B52"/>
    <w:rsid w:val="00475D84"/>
    <w:rsid w:val="00477ECB"/>
    <w:rsid w:val="00491FC6"/>
    <w:rsid w:val="004D60D5"/>
    <w:rsid w:val="004E07FB"/>
    <w:rsid w:val="0050188C"/>
    <w:rsid w:val="00505DB5"/>
    <w:rsid w:val="00507254"/>
    <w:rsid w:val="00537B34"/>
    <w:rsid w:val="0054661F"/>
    <w:rsid w:val="0055568D"/>
    <w:rsid w:val="0056654A"/>
    <w:rsid w:val="00584332"/>
    <w:rsid w:val="005A0E7C"/>
    <w:rsid w:val="005A3D76"/>
    <w:rsid w:val="005B3361"/>
    <w:rsid w:val="005B3DA4"/>
    <w:rsid w:val="005D0E6D"/>
    <w:rsid w:val="005D111C"/>
    <w:rsid w:val="005D7CA9"/>
    <w:rsid w:val="005E13DA"/>
    <w:rsid w:val="005F68FF"/>
    <w:rsid w:val="00605C5A"/>
    <w:rsid w:val="0061035D"/>
    <w:rsid w:val="00610A09"/>
    <w:rsid w:val="00611409"/>
    <w:rsid w:val="00614C81"/>
    <w:rsid w:val="00623D1A"/>
    <w:rsid w:val="0062613B"/>
    <w:rsid w:val="00654EFC"/>
    <w:rsid w:val="00671CA3"/>
    <w:rsid w:val="00687686"/>
    <w:rsid w:val="006A6DCC"/>
    <w:rsid w:val="006B0569"/>
    <w:rsid w:val="006B099A"/>
    <w:rsid w:val="006B5242"/>
    <w:rsid w:val="006C1100"/>
    <w:rsid w:val="006E431C"/>
    <w:rsid w:val="006F2B82"/>
    <w:rsid w:val="00703870"/>
    <w:rsid w:val="00704E1B"/>
    <w:rsid w:val="00711DD5"/>
    <w:rsid w:val="00713812"/>
    <w:rsid w:val="00745028"/>
    <w:rsid w:val="0075473A"/>
    <w:rsid w:val="0076594D"/>
    <w:rsid w:val="0076668E"/>
    <w:rsid w:val="00774338"/>
    <w:rsid w:val="007758D9"/>
    <w:rsid w:val="0079086A"/>
    <w:rsid w:val="007952D6"/>
    <w:rsid w:val="007A1A35"/>
    <w:rsid w:val="007B3273"/>
    <w:rsid w:val="007E29EE"/>
    <w:rsid w:val="007E4EAC"/>
    <w:rsid w:val="007F3E10"/>
    <w:rsid w:val="008265FB"/>
    <w:rsid w:val="00833A55"/>
    <w:rsid w:val="0085406D"/>
    <w:rsid w:val="00880F2B"/>
    <w:rsid w:val="008A7FB9"/>
    <w:rsid w:val="008B0324"/>
    <w:rsid w:val="008C000A"/>
    <w:rsid w:val="008E1E92"/>
    <w:rsid w:val="008E2BA3"/>
    <w:rsid w:val="00902524"/>
    <w:rsid w:val="00904F34"/>
    <w:rsid w:val="0090630E"/>
    <w:rsid w:val="009076DF"/>
    <w:rsid w:val="00915BC2"/>
    <w:rsid w:val="00925421"/>
    <w:rsid w:val="00926751"/>
    <w:rsid w:val="00931FF3"/>
    <w:rsid w:val="0094023E"/>
    <w:rsid w:val="009407B6"/>
    <w:rsid w:val="00940D10"/>
    <w:rsid w:val="00941884"/>
    <w:rsid w:val="009445A0"/>
    <w:rsid w:val="00944813"/>
    <w:rsid w:val="00945A45"/>
    <w:rsid w:val="00957700"/>
    <w:rsid w:val="009602C3"/>
    <w:rsid w:val="0096608F"/>
    <w:rsid w:val="0097688B"/>
    <w:rsid w:val="009778F8"/>
    <w:rsid w:val="00991A24"/>
    <w:rsid w:val="009B099A"/>
    <w:rsid w:val="009C6EC4"/>
    <w:rsid w:val="009E7446"/>
    <w:rsid w:val="00A15FB7"/>
    <w:rsid w:val="00A24AC3"/>
    <w:rsid w:val="00A27D9F"/>
    <w:rsid w:val="00A34FB4"/>
    <w:rsid w:val="00A370D5"/>
    <w:rsid w:val="00A72DBA"/>
    <w:rsid w:val="00A846C1"/>
    <w:rsid w:val="00A8490A"/>
    <w:rsid w:val="00A96CB0"/>
    <w:rsid w:val="00AA105A"/>
    <w:rsid w:val="00AE49B2"/>
    <w:rsid w:val="00AE4D4D"/>
    <w:rsid w:val="00AE5CD9"/>
    <w:rsid w:val="00AF378D"/>
    <w:rsid w:val="00B01E5F"/>
    <w:rsid w:val="00B045FD"/>
    <w:rsid w:val="00B12568"/>
    <w:rsid w:val="00B15984"/>
    <w:rsid w:val="00B159B4"/>
    <w:rsid w:val="00B34C0E"/>
    <w:rsid w:val="00B518AF"/>
    <w:rsid w:val="00B54AAB"/>
    <w:rsid w:val="00BA26C6"/>
    <w:rsid w:val="00BA3E30"/>
    <w:rsid w:val="00BB40E8"/>
    <w:rsid w:val="00BB4949"/>
    <w:rsid w:val="00BD3FFB"/>
    <w:rsid w:val="00BD4AA8"/>
    <w:rsid w:val="00BE795D"/>
    <w:rsid w:val="00BF4114"/>
    <w:rsid w:val="00C0439F"/>
    <w:rsid w:val="00C05E46"/>
    <w:rsid w:val="00C07FC9"/>
    <w:rsid w:val="00C423E1"/>
    <w:rsid w:val="00C4794F"/>
    <w:rsid w:val="00C54E72"/>
    <w:rsid w:val="00C5604B"/>
    <w:rsid w:val="00C60237"/>
    <w:rsid w:val="00C627DC"/>
    <w:rsid w:val="00C67B0F"/>
    <w:rsid w:val="00C732B5"/>
    <w:rsid w:val="00C75B08"/>
    <w:rsid w:val="00C82E89"/>
    <w:rsid w:val="00CA4CE1"/>
    <w:rsid w:val="00CC20D8"/>
    <w:rsid w:val="00CF03B9"/>
    <w:rsid w:val="00D11FF0"/>
    <w:rsid w:val="00D135D6"/>
    <w:rsid w:val="00D26B6E"/>
    <w:rsid w:val="00D3042B"/>
    <w:rsid w:val="00D3153C"/>
    <w:rsid w:val="00D32657"/>
    <w:rsid w:val="00D350A4"/>
    <w:rsid w:val="00D4410F"/>
    <w:rsid w:val="00D46067"/>
    <w:rsid w:val="00D73DA3"/>
    <w:rsid w:val="00D8169E"/>
    <w:rsid w:val="00DE576A"/>
    <w:rsid w:val="00E15A41"/>
    <w:rsid w:val="00E15DCA"/>
    <w:rsid w:val="00E1609E"/>
    <w:rsid w:val="00E215AE"/>
    <w:rsid w:val="00E30DC7"/>
    <w:rsid w:val="00E319CA"/>
    <w:rsid w:val="00E43B63"/>
    <w:rsid w:val="00E610D7"/>
    <w:rsid w:val="00E8113D"/>
    <w:rsid w:val="00E82C9D"/>
    <w:rsid w:val="00E82CEA"/>
    <w:rsid w:val="00E848DB"/>
    <w:rsid w:val="00E90340"/>
    <w:rsid w:val="00EC5D29"/>
    <w:rsid w:val="00EC5D94"/>
    <w:rsid w:val="00ED0D6E"/>
    <w:rsid w:val="00EE46CD"/>
    <w:rsid w:val="00EE7273"/>
    <w:rsid w:val="00EF5EAA"/>
    <w:rsid w:val="00F32176"/>
    <w:rsid w:val="00F42DF8"/>
    <w:rsid w:val="00F47DA8"/>
    <w:rsid w:val="00F61135"/>
    <w:rsid w:val="00FA113F"/>
    <w:rsid w:val="00FA29F4"/>
    <w:rsid w:val="00FA65BF"/>
    <w:rsid w:val="00FA6AF0"/>
    <w:rsid w:val="00FB010C"/>
    <w:rsid w:val="00FD004F"/>
    <w:rsid w:val="00FD1458"/>
    <w:rsid w:val="00FE2F7D"/>
    <w:rsid w:val="00FF1C3C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paragraph" w:styleId="Nagwek2">
    <w:name w:val="heading 2"/>
    <w:aliases w:val="Body text"/>
    <w:basedOn w:val="Normalny"/>
    <w:next w:val="Normalny"/>
    <w:link w:val="Nagwek2Znak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17428C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3E1"/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character" w:customStyle="1" w:styleId="Nagwek2Znak">
    <w:name w:val="Nagłówek 2 Znak"/>
    <w:aliases w:val="Body text Znak"/>
    <w:basedOn w:val="Domylnaczcionkaakapitu"/>
    <w:link w:val="Nagwek2"/>
    <w:uiPriority w:val="9"/>
    <w:rsid w:val="005A3D76"/>
    <w:rPr>
      <w:rFonts w:asciiTheme="majorHAnsi" w:eastAsiaTheme="majorEastAsia" w:hAnsiTheme="majorHAnsi" w:cstheme="majorBidi"/>
      <w:color w:val="17428C" w:themeColor="accent1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98"/>
  </w:style>
  <w:style w:type="paragraph" w:styleId="Stopka">
    <w:name w:val="footer"/>
    <w:basedOn w:val="Normalny"/>
    <w:link w:val="Stopka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98"/>
  </w:style>
  <w:style w:type="character" w:customStyle="1" w:styleId="Nagwek3Znak">
    <w:name w:val="Nagłówek 3 Znak"/>
    <w:basedOn w:val="Domylnaczcionkaakapitu"/>
    <w:link w:val="Nagwek3"/>
    <w:uiPriority w:val="9"/>
    <w:rsid w:val="000D2398"/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Numerwiersza">
    <w:name w:val="line number"/>
    <w:basedOn w:val="Domylnaczcionkaakapitu"/>
    <w:uiPriority w:val="99"/>
    <w:semiHidden/>
    <w:unhideWhenUsed/>
    <w:rsid w:val="00E319CA"/>
  </w:style>
  <w:style w:type="character" w:styleId="Hipercze">
    <w:name w:val="Hyperlink"/>
    <w:basedOn w:val="Domylnaczcionkaakapitu"/>
    <w:uiPriority w:val="99"/>
    <w:unhideWhenUsed/>
    <w:rsid w:val="00941884"/>
    <w:rPr>
      <w:color w:val="CE142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8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E29EE"/>
    <w:pPr>
      <w:spacing w:after="0" w:line="240" w:lineRule="auto"/>
      <w:ind w:left="720"/>
      <w:contextualSpacing/>
    </w:pPr>
    <w:rPr>
      <w:kern w:val="2"/>
      <w:sz w:val="24"/>
      <w:szCs w:val="24"/>
      <w:lang w:val="fr-FR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9EE"/>
    <w:pPr>
      <w:spacing w:after="0" w:line="240" w:lineRule="auto"/>
    </w:pPr>
    <w:rPr>
      <w:kern w:val="2"/>
      <w:sz w:val="20"/>
      <w:szCs w:val="20"/>
      <w:lang w:val="fr-FR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9EE"/>
    <w:rPr>
      <w:kern w:val="2"/>
      <w:sz w:val="20"/>
      <w:szCs w:val="20"/>
      <w:lang w:val="fr-FR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9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9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9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72E4D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67B0F"/>
    <w:rPr>
      <w:color w:val="E5531A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D3F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ciesielski@saint-gobai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int-gobain.pl/assets/view/media/292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ika.mazurek@saint-goba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GB to Word">
      <a:dk1>
        <a:sysClr val="windowText" lastClr="000000"/>
      </a:dk1>
      <a:lt1>
        <a:sysClr val="window" lastClr="FFFFFF"/>
      </a:lt1>
      <a:dk2>
        <a:srgbClr val="3F3F3F"/>
      </a:dk2>
      <a:lt2>
        <a:srgbClr val="FFFFFF"/>
      </a:lt2>
      <a:accent1>
        <a:srgbClr val="17428C"/>
      </a:accent1>
      <a:accent2>
        <a:srgbClr val="CE142E"/>
      </a:accent2>
      <a:accent3>
        <a:srgbClr val="E5531A"/>
      </a:accent3>
      <a:accent4>
        <a:srgbClr val="67B9B0"/>
      </a:accent4>
      <a:accent5>
        <a:srgbClr val="219CDC"/>
      </a:accent5>
      <a:accent6>
        <a:srgbClr val="17428C"/>
      </a:accent6>
      <a:hlink>
        <a:srgbClr val="CE142E"/>
      </a:hlink>
      <a:folHlink>
        <a:srgbClr val="E5531A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5f468b-f1da-4738-a6b5-43bf125c1913">
      <Terms xmlns="http://schemas.microsoft.com/office/infopath/2007/PartnerControls"/>
    </lcf76f155ced4ddcb4097134ff3c332f>
    <TaxCatchAll xmlns="8d66ed40-2db7-4aaf-bd8b-1fea5edba1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E7474DD0A294DA971B31E882C6EA8" ma:contentTypeVersion="11" ma:contentTypeDescription="Create a new document." ma:contentTypeScope="" ma:versionID="70d4bd31bd5aa2f66571d5b5f570847e">
  <xsd:schema xmlns:xsd="http://www.w3.org/2001/XMLSchema" xmlns:xs="http://www.w3.org/2001/XMLSchema" xmlns:p="http://schemas.microsoft.com/office/2006/metadata/properties" xmlns:ns2="075f468b-f1da-4738-a6b5-43bf125c1913" xmlns:ns3="8d66ed40-2db7-4aaf-bd8b-1fea5edba156" targetNamespace="http://schemas.microsoft.com/office/2006/metadata/properties" ma:root="true" ma:fieldsID="972b303c9429c62b026022f4e12aeefd" ns2:_="" ns3:_="">
    <xsd:import namespace="075f468b-f1da-4738-a6b5-43bf125c1913"/>
    <xsd:import namespace="8d66ed40-2db7-4aaf-bd8b-1fea5edba1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468b-f1da-4738-a6b5-43bf125c19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ed40-2db7-4aaf-bd8b-1fea5edba1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c3953d-6a40-4460-a49c-fd52aa816e11}" ma:internalName="TaxCatchAll" ma:showField="CatchAllData" ma:web="8d66ed40-2db7-4aaf-bd8b-1fea5edba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EBA7D-B994-4A34-B0E9-404D5C230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16D36-BD2E-4692-AC1E-7935105B65B6}">
  <ds:schemaRefs>
    <ds:schemaRef ds:uri="http://schemas.microsoft.com/office/2006/metadata/properties"/>
    <ds:schemaRef ds:uri="http://schemas.microsoft.com/office/infopath/2007/PartnerControls"/>
    <ds:schemaRef ds:uri="075f468b-f1da-4738-a6b5-43bf125c1913"/>
    <ds:schemaRef ds:uri="8d66ed40-2db7-4aaf-bd8b-1fea5edba156"/>
  </ds:schemaRefs>
</ds:datastoreItem>
</file>

<file path=customXml/itemProps4.xml><?xml version="1.0" encoding="utf-8"?>
<ds:datastoreItem xmlns:ds="http://schemas.openxmlformats.org/officeDocument/2006/customXml" ds:itemID="{FBDE1046-EBC5-4E63-B295-281667F0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f468b-f1da-4738-a6b5-43bf125c1913"/>
    <ds:schemaRef ds:uri="8d66ed40-2db7-4aaf-bd8b-1fea5edba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Tower Group 2</cp:lastModifiedBy>
  <cp:revision>6</cp:revision>
  <cp:lastPrinted>2025-01-15T15:29:00Z</cp:lastPrinted>
  <dcterms:created xsi:type="dcterms:W3CDTF">2026-01-14T12:19:00Z</dcterms:created>
  <dcterms:modified xsi:type="dcterms:W3CDTF">2026-01-15T07:03:00Z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0x010100601E7474DD0A294DA971B31E882C6EA8</vt:lpwstr>
  </property>
</Properties>
</file>