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63F4" w14:textId="6D01AEA1" w:rsidR="00C14324" w:rsidRDefault="00AD1413" w:rsidP="001825CB">
      <w:pPr>
        <w:spacing w:after="120"/>
        <w:jc w:val="center"/>
        <w:rPr>
          <w:rFonts w:ascii="Aptos" w:hAnsi="Aptos"/>
          <w:b/>
          <w:color w:val="001B50"/>
        </w:rPr>
      </w:pPr>
      <w:r w:rsidRPr="00C0137C">
        <w:rPr>
          <w:rFonts w:ascii="Aptos" w:hAnsi="Aptos"/>
          <w:b/>
          <w:color w:val="001B50"/>
        </w:rPr>
        <w:t>REDUNIQ Insights</w:t>
      </w:r>
    </w:p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440ACF76" w14:textId="367719B0" w:rsidR="00406B7C" w:rsidRDefault="00406B7C" w:rsidP="00406B7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Aptos" w:hAnsi="Aptos"/>
          <w:b/>
          <w:bCs/>
          <w:color w:val="001B50"/>
          <w:sz w:val="32"/>
          <w:szCs w:val="32"/>
        </w:rPr>
      </w:pPr>
      <w:r>
        <w:rPr>
          <w:rFonts w:ascii="Aptos" w:hAnsi="Aptos"/>
          <w:b/>
          <w:bCs/>
          <w:color w:val="001B50"/>
          <w:sz w:val="32"/>
          <w:szCs w:val="32"/>
        </w:rPr>
        <w:t xml:space="preserve">O número de compras aumenta 9,78%, mas </w:t>
      </w:r>
      <w:r w:rsidR="00E91FF5" w:rsidRPr="00E91FF5">
        <w:rPr>
          <w:rFonts w:ascii="Aptos" w:hAnsi="Aptos"/>
          <w:b/>
          <w:bCs/>
          <w:color w:val="001B50"/>
          <w:sz w:val="32"/>
          <w:szCs w:val="32"/>
        </w:rPr>
        <w:t>gasto médio por consumidor </w:t>
      </w:r>
      <w:r>
        <w:rPr>
          <w:rFonts w:ascii="Aptos" w:hAnsi="Aptos"/>
          <w:b/>
          <w:bCs/>
          <w:color w:val="001B50"/>
          <w:sz w:val="32"/>
          <w:szCs w:val="32"/>
        </w:rPr>
        <w:t>baixa 5,73%</w:t>
      </w:r>
    </w:p>
    <w:p w14:paraId="6DC5C4D8" w14:textId="77777777" w:rsidR="00406B7C" w:rsidRDefault="00406B7C" w:rsidP="00406B7C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center"/>
        <w:rPr>
          <w:rFonts w:ascii="Aptos" w:hAnsi="Aptos"/>
          <w:i/>
          <w:iCs/>
          <w:color w:val="001B50"/>
          <w:sz w:val="32"/>
          <w:szCs w:val="32"/>
        </w:rPr>
      </w:pPr>
    </w:p>
    <w:p w14:paraId="1535AB04" w14:textId="4DD97917" w:rsidR="00D142B7" w:rsidRPr="004A7A6C" w:rsidRDefault="00282B50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Conheça as tendências</w:t>
      </w:r>
      <w:r w:rsidR="000B723C">
        <w:rPr>
          <w:b/>
          <w:bCs/>
          <w:sz w:val="20"/>
          <w:szCs w:val="20"/>
        </w:rPr>
        <w:t xml:space="preserve"> do comér</w:t>
      </w:r>
      <w:r w:rsidR="008F1DC4">
        <w:rPr>
          <w:b/>
          <w:bCs/>
          <w:sz w:val="20"/>
          <w:szCs w:val="20"/>
        </w:rPr>
        <w:t>c</w:t>
      </w:r>
      <w:r w:rsidR="000B723C">
        <w:rPr>
          <w:b/>
          <w:bCs/>
          <w:sz w:val="20"/>
          <w:szCs w:val="20"/>
        </w:rPr>
        <w:t>io nacional na reta final</w:t>
      </w:r>
      <w:r w:rsidR="008F1DC4">
        <w:rPr>
          <w:b/>
          <w:bCs/>
          <w:sz w:val="20"/>
          <w:szCs w:val="20"/>
        </w:rPr>
        <w:t xml:space="preserve"> do ano de 2025</w:t>
      </w:r>
      <w:r w:rsidR="002E544E">
        <w:rPr>
          <w:b/>
          <w:bCs/>
          <w:sz w:val="20"/>
          <w:szCs w:val="20"/>
        </w:rPr>
        <w:t>.</w:t>
      </w:r>
    </w:p>
    <w:p w14:paraId="4A28617D" w14:textId="3A93E669" w:rsidR="002225C6" w:rsidRDefault="00157CD9" w:rsidP="00EB40B3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F415C4">
        <w:rPr>
          <w:b/>
        </w:rPr>
        <w:t>08</w:t>
      </w:r>
      <w:r w:rsidR="00FC7C77">
        <w:rPr>
          <w:b/>
        </w:rPr>
        <w:t xml:space="preserve"> de janeiro de 2026</w:t>
      </w:r>
      <w:r>
        <w:rPr>
          <w:b/>
        </w:rPr>
        <w:t xml:space="preserve"> </w:t>
      </w:r>
      <w:r w:rsidR="00C23528">
        <w:t>–</w:t>
      </w:r>
      <w:r w:rsidR="00FB593A">
        <w:t xml:space="preserve"> </w:t>
      </w:r>
      <w:proofErr w:type="gramStart"/>
      <w:r w:rsidR="00FB593A">
        <w:t>D</w:t>
      </w:r>
      <w:r w:rsidR="00FB593A" w:rsidRPr="00FB593A">
        <w:t>ezembro</w:t>
      </w:r>
      <w:proofErr w:type="gramEnd"/>
      <w:r w:rsidR="00FB593A" w:rsidRPr="00FB593A">
        <w:t xml:space="preserve"> de 2025 confirmou-se como um mês decisivo para o comércio nacional, impulsionado pelo Natal e pela Passagem de Ano. </w:t>
      </w:r>
      <w:r w:rsidR="00616A28">
        <w:t>De acordo com a</w:t>
      </w:r>
      <w:r w:rsidR="00616A28" w:rsidRPr="00583BE0">
        <w:t xml:space="preserve"> </w:t>
      </w:r>
      <w:hyperlink r:id="rId11" w:history="1">
        <w:r w:rsidR="00616A28" w:rsidRPr="00F951E8">
          <w:rPr>
            <w:rStyle w:val="Hiperligao"/>
          </w:rPr>
          <w:t>REDUNIQ Insights</w:t>
        </w:r>
      </w:hyperlink>
      <w:r w:rsidR="00616A28" w:rsidRPr="00583BE0">
        <w:t>, o relatório da</w:t>
      </w:r>
      <w:r w:rsidR="002E7276">
        <w:t xml:space="preserve"> </w:t>
      </w:r>
      <w:hyperlink r:id="rId12" w:history="1">
        <w:r w:rsidR="002E7276" w:rsidRPr="007E2503">
          <w:rPr>
            <w:rStyle w:val="Hiperligao"/>
          </w:rPr>
          <w:t>UNICRE</w:t>
        </w:r>
      </w:hyperlink>
      <w:r w:rsidR="008D0FC4">
        <w:t xml:space="preserve">, </w:t>
      </w:r>
      <w:r w:rsidR="002225C6" w:rsidRPr="002225C6">
        <w:t xml:space="preserve">que analisa os pagamentos por cartão na sua rede nacional, os números falam por si, com a </w:t>
      </w:r>
      <w:r w:rsidR="002225C6" w:rsidRPr="002225C6">
        <w:rPr>
          <w:b/>
          <w:bCs/>
        </w:rPr>
        <w:t>faturação a crescer 3,21%</w:t>
      </w:r>
      <w:r w:rsidR="002225C6" w:rsidRPr="002225C6">
        <w:t xml:space="preserve"> face a dezembro de 2024.</w:t>
      </w:r>
    </w:p>
    <w:p w14:paraId="1AD1590C" w14:textId="5E3A19D2" w:rsidR="002225C6" w:rsidRDefault="002225C6" w:rsidP="00EB40B3">
      <w:pPr>
        <w:spacing w:after="240" w:line="360" w:lineRule="auto"/>
        <w:jc w:val="both"/>
      </w:pPr>
      <w:r>
        <w:t xml:space="preserve">Segundo os dados </w:t>
      </w:r>
      <w:r w:rsidR="00E115E9">
        <w:t>agora divulgados, a</w:t>
      </w:r>
      <w:r>
        <w:t xml:space="preserve"> especialista em pagamento</w:t>
      </w:r>
      <w:r w:rsidR="0073682E">
        <w:t>s</w:t>
      </w:r>
      <w:r>
        <w:t xml:space="preserve"> e </w:t>
      </w:r>
      <w:proofErr w:type="spellStart"/>
      <w:r w:rsidRPr="002225C6">
        <w:rPr>
          <w:i/>
          <w:iCs/>
        </w:rPr>
        <w:t>acquiring</w:t>
      </w:r>
      <w:proofErr w:type="spellEnd"/>
      <w:r w:rsidR="00057669">
        <w:t xml:space="preserve"> </w:t>
      </w:r>
      <w:r w:rsidR="00E115E9">
        <w:t xml:space="preserve">registou </w:t>
      </w:r>
      <w:r w:rsidR="00057669">
        <w:t>no final do ano</w:t>
      </w:r>
      <w:r w:rsidR="00E115E9">
        <w:t>:</w:t>
      </w:r>
    </w:p>
    <w:p w14:paraId="2E616C06" w14:textId="49766C78" w:rsidR="00057669" w:rsidRPr="00E66B0C" w:rsidRDefault="00057669" w:rsidP="00EF630E">
      <w:pPr>
        <w:pStyle w:val="PargrafodaLista"/>
        <w:numPr>
          <w:ilvl w:val="0"/>
          <w:numId w:val="7"/>
        </w:numPr>
        <w:spacing w:after="240" w:line="360" w:lineRule="auto"/>
        <w:jc w:val="both"/>
        <w:rPr>
          <w:b/>
          <w:bCs/>
        </w:rPr>
      </w:pPr>
      <w:r w:rsidRPr="00E66B0C">
        <w:rPr>
          <w:b/>
          <w:bCs/>
        </w:rPr>
        <w:t>+3,54%</w:t>
      </w:r>
      <w:r w:rsidR="00E115E9" w:rsidRPr="00E66B0C">
        <w:rPr>
          <w:b/>
          <w:bCs/>
        </w:rPr>
        <w:t xml:space="preserve"> </w:t>
      </w:r>
      <w:r w:rsidR="00EF630E" w:rsidRPr="00E66B0C">
        <w:rPr>
          <w:b/>
          <w:bCs/>
        </w:rPr>
        <w:t>transações</w:t>
      </w:r>
    </w:p>
    <w:p w14:paraId="0CDC764C" w14:textId="5631168E" w:rsidR="00057669" w:rsidRDefault="00EF630E" w:rsidP="00EF630E">
      <w:pPr>
        <w:pStyle w:val="PargrafodaLista"/>
        <w:numPr>
          <w:ilvl w:val="0"/>
          <w:numId w:val="7"/>
        </w:numPr>
        <w:spacing w:after="240" w:line="360" w:lineRule="auto"/>
        <w:jc w:val="both"/>
      </w:pPr>
      <w:r w:rsidRPr="00E66B0C">
        <w:rPr>
          <w:b/>
          <w:bCs/>
        </w:rPr>
        <w:t>186,71€ de g</w:t>
      </w:r>
      <w:r w:rsidR="00057669" w:rsidRPr="00E66B0C">
        <w:rPr>
          <w:b/>
          <w:bCs/>
        </w:rPr>
        <w:t>asto médio por consumidor</w:t>
      </w:r>
      <w:r w:rsidR="00057669">
        <w:t xml:space="preserve"> (menos 5,73% que no ano anterior)</w:t>
      </w:r>
    </w:p>
    <w:p w14:paraId="2F177232" w14:textId="77777777" w:rsidR="00E66B0C" w:rsidRDefault="00E66B0C" w:rsidP="00EB40B3">
      <w:pPr>
        <w:spacing w:after="240" w:line="360" w:lineRule="auto"/>
        <w:jc w:val="both"/>
      </w:pPr>
      <w:r w:rsidRPr="00E66B0C">
        <w:t xml:space="preserve">Este comportamento revela um consumidor mais racional e atento ao preço, mas sem abdicar da dinâmica do mercado. O valor médio por compra manteve-se estável nos </w:t>
      </w:r>
      <w:r w:rsidRPr="00E66B0C">
        <w:rPr>
          <w:b/>
          <w:bCs/>
        </w:rPr>
        <w:t>33,71€</w:t>
      </w:r>
      <w:r w:rsidRPr="00E66B0C">
        <w:t xml:space="preserve">, em linha com 2024, mas com picos nos momentos festivos: </w:t>
      </w:r>
      <w:r w:rsidRPr="00E66B0C">
        <w:rPr>
          <w:b/>
          <w:bCs/>
        </w:rPr>
        <w:t>37,27€ antes do Natal e 34,88€ na Passagem de Ano</w:t>
      </w:r>
      <w:r w:rsidRPr="00E66B0C">
        <w:t>.</w:t>
      </w:r>
    </w:p>
    <w:p w14:paraId="7A97578F" w14:textId="77777777" w:rsidR="001C2EE5" w:rsidRPr="001C2EE5" w:rsidRDefault="001C2EE5" w:rsidP="001C2EE5">
      <w:pPr>
        <w:spacing w:after="240" w:line="360" w:lineRule="auto"/>
        <w:jc w:val="both"/>
        <w:rPr>
          <w:b/>
          <w:bCs/>
        </w:rPr>
      </w:pPr>
      <w:r w:rsidRPr="001C2EE5">
        <w:rPr>
          <w:b/>
          <w:bCs/>
        </w:rPr>
        <w:t>Natal e Passagem de Ano: dois grandes motores para o consumo</w:t>
      </w:r>
    </w:p>
    <w:p w14:paraId="6D5CD767" w14:textId="4A4CDC9D" w:rsidR="001C2EE5" w:rsidRDefault="001C2EE5" w:rsidP="001C2EE5">
      <w:pPr>
        <w:spacing w:after="240" w:line="360" w:lineRule="auto"/>
        <w:jc w:val="both"/>
      </w:pPr>
      <w:r>
        <w:t xml:space="preserve">Entre </w:t>
      </w:r>
      <w:r w:rsidRPr="001C2EE5">
        <w:rPr>
          <w:b/>
          <w:bCs/>
        </w:rPr>
        <w:t>22 e 24 de dezembro</w:t>
      </w:r>
      <w:r>
        <w:t xml:space="preserve">, período das compras de última hora, a faturação disparou </w:t>
      </w:r>
      <w:r w:rsidRPr="001C2EE5">
        <w:rPr>
          <w:b/>
          <w:bCs/>
        </w:rPr>
        <w:t>9,78%</w:t>
      </w:r>
      <w:r>
        <w:t xml:space="preserve"> e as transações </w:t>
      </w:r>
      <w:r w:rsidRPr="001C2EE5">
        <w:rPr>
          <w:b/>
          <w:bCs/>
        </w:rPr>
        <w:t>8,12%</w:t>
      </w:r>
      <w:r>
        <w:t xml:space="preserve">, com forte dinamismo no comércio físico e de proximidade. Já no </w:t>
      </w:r>
      <w:r w:rsidRPr="001C2EE5">
        <w:rPr>
          <w:b/>
          <w:bCs/>
        </w:rPr>
        <w:t>dia 31</w:t>
      </w:r>
      <w:r>
        <w:t xml:space="preserve">, a Passagem de Ano trouxe um crescimento de </w:t>
      </w:r>
      <w:r w:rsidRPr="001C2EE5">
        <w:rPr>
          <w:b/>
          <w:bCs/>
        </w:rPr>
        <w:t>8,01% na faturação</w:t>
      </w:r>
      <w:r>
        <w:t xml:space="preserve"> e </w:t>
      </w:r>
      <w:r w:rsidRPr="001C2EE5">
        <w:rPr>
          <w:b/>
          <w:bCs/>
        </w:rPr>
        <w:t>6,72% nas transações</w:t>
      </w:r>
      <w:r>
        <w:t>, impulsionado por restauração, lazer e serviços.</w:t>
      </w:r>
    </w:p>
    <w:p w14:paraId="7DB85155" w14:textId="69EC2339" w:rsidR="001C2EE5" w:rsidRDefault="001C2EE5" w:rsidP="001C2EE5">
      <w:pPr>
        <w:spacing w:after="240" w:line="360" w:lineRule="auto"/>
        <w:jc w:val="both"/>
      </w:pPr>
      <w:r>
        <w:t>No que respeita aos setores, os destaques nesta época festiva foram para:</w:t>
      </w:r>
    </w:p>
    <w:p w14:paraId="2986E416" w14:textId="67A536C6" w:rsidR="003A0904" w:rsidRPr="003A0904" w:rsidRDefault="003A0904" w:rsidP="003A0904">
      <w:pPr>
        <w:pStyle w:val="PargrafodaLista"/>
        <w:numPr>
          <w:ilvl w:val="0"/>
          <w:numId w:val="8"/>
        </w:numPr>
        <w:spacing w:after="240" w:line="360" w:lineRule="auto"/>
        <w:jc w:val="both"/>
        <w:rPr>
          <w:b/>
          <w:bCs/>
        </w:rPr>
      </w:pPr>
      <w:r w:rsidRPr="003A0904">
        <w:rPr>
          <w:b/>
          <w:bCs/>
        </w:rPr>
        <w:t>Serviços veterinários: +21,70%</w:t>
      </w:r>
    </w:p>
    <w:p w14:paraId="36E8E454" w14:textId="6F8AF03B" w:rsidR="003A0904" w:rsidRPr="003A0904" w:rsidRDefault="003A0904" w:rsidP="003A0904">
      <w:pPr>
        <w:pStyle w:val="PargrafodaLista"/>
        <w:numPr>
          <w:ilvl w:val="0"/>
          <w:numId w:val="8"/>
        </w:numPr>
        <w:spacing w:after="240" w:line="360" w:lineRule="auto"/>
        <w:jc w:val="both"/>
        <w:rPr>
          <w:b/>
          <w:bCs/>
        </w:rPr>
      </w:pPr>
      <w:r w:rsidRPr="003A0904">
        <w:rPr>
          <w:b/>
          <w:bCs/>
        </w:rPr>
        <w:t>Lavandarias: +17,83%</w:t>
      </w:r>
    </w:p>
    <w:p w14:paraId="0F9F6FD4" w14:textId="67A68590" w:rsidR="003A0904" w:rsidRDefault="003A0904" w:rsidP="003A0904">
      <w:pPr>
        <w:pStyle w:val="PargrafodaLista"/>
        <w:numPr>
          <w:ilvl w:val="0"/>
          <w:numId w:val="8"/>
        </w:numPr>
        <w:spacing w:after="240" w:line="360" w:lineRule="auto"/>
        <w:jc w:val="both"/>
        <w:rPr>
          <w:b/>
          <w:bCs/>
        </w:rPr>
      </w:pPr>
      <w:r w:rsidRPr="003A0904">
        <w:rPr>
          <w:b/>
          <w:bCs/>
        </w:rPr>
        <w:t>Retalho alimentar tradicional: +17,20%</w:t>
      </w:r>
    </w:p>
    <w:p w14:paraId="6D49790E" w14:textId="6D3DEFD8" w:rsidR="003878EA" w:rsidRDefault="003878EA" w:rsidP="003A0904">
      <w:pPr>
        <w:pStyle w:val="PargrafodaLista"/>
        <w:numPr>
          <w:ilvl w:val="0"/>
          <w:numId w:val="8"/>
        </w:numPr>
        <w:spacing w:after="240" w:line="360" w:lineRule="auto"/>
        <w:jc w:val="both"/>
        <w:rPr>
          <w:b/>
          <w:bCs/>
        </w:rPr>
      </w:pPr>
      <w:r>
        <w:rPr>
          <w:b/>
          <w:bCs/>
        </w:rPr>
        <w:t>Farmácias: +11,95%</w:t>
      </w:r>
    </w:p>
    <w:p w14:paraId="79656BBD" w14:textId="41A42701" w:rsidR="003878EA" w:rsidRPr="003878EA" w:rsidRDefault="00C44EDA" w:rsidP="00C44EDA">
      <w:pPr>
        <w:pStyle w:val="PargrafodaLista"/>
        <w:numPr>
          <w:ilvl w:val="0"/>
          <w:numId w:val="8"/>
        </w:numPr>
        <w:spacing w:after="240" w:line="360" w:lineRule="auto"/>
        <w:jc w:val="both"/>
      </w:pPr>
      <w:r>
        <w:rPr>
          <w:b/>
          <w:bCs/>
        </w:rPr>
        <w:t xml:space="preserve">Moda: </w:t>
      </w:r>
      <w:r w:rsidR="003878EA" w:rsidRPr="003878EA">
        <w:rPr>
          <w:b/>
          <w:bCs/>
        </w:rPr>
        <w:t>+6,67%</w:t>
      </w:r>
    </w:p>
    <w:p w14:paraId="529D25BA" w14:textId="0EBFF323" w:rsidR="009E61DD" w:rsidRPr="009E61DD" w:rsidRDefault="009E61DD" w:rsidP="009E61DD">
      <w:pPr>
        <w:spacing w:after="240" w:line="360" w:lineRule="auto"/>
        <w:jc w:val="both"/>
        <w:rPr>
          <w:b/>
          <w:bCs/>
        </w:rPr>
      </w:pPr>
      <w:r w:rsidRPr="009E61DD">
        <w:rPr>
          <w:b/>
          <w:bCs/>
        </w:rPr>
        <w:lastRenderedPageBreak/>
        <w:t>Regiões nacionais e mercados internacionais</w:t>
      </w:r>
    </w:p>
    <w:p w14:paraId="71BD2F34" w14:textId="601288CE" w:rsidR="009E61DD" w:rsidRDefault="009E61DD" w:rsidP="009E61DD">
      <w:pPr>
        <w:spacing w:after="240" w:line="360" w:lineRule="auto"/>
        <w:jc w:val="both"/>
      </w:pPr>
      <w:r>
        <w:t xml:space="preserve">O crescimento foi generalizado em Portugal, com destaque para </w:t>
      </w:r>
      <w:r w:rsidRPr="009E61DD">
        <w:rPr>
          <w:b/>
          <w:bCs/>
        </w:rPr>
        <w:t>Centro (+6,29%)</w:t>
      </w:r>
      <w:r>
        <w:t xml:space="preserve">, </w:t>
      </w:r>
      <w:r w:rsidRPr="009E61DD">
        <w:rPr>
          <w:b/>
          <w:bCs/>
        </w:rPr>
        <w:t>Alentejo (+6,12%)</w:t>
      </w:r>
      <w:r>
        <w:t xml:space="preserve"> </w:t>
      </w:r>
      <w:proofErr w:type="gramStart"/>
      <w:r>
        <w:t xml:space="preserve">e </w:t>
      </w:r>
      <w:r w:rsidRPr="009E61DD">
        <w:rPr>
          <w:b/>
          <w:bCs/>
        </w:rPr>
        <w:t>Oeste</w:t>
      </w:r>
      <w:proofErr w:type="gramEnd"/>
      <w:r w:rsidRPr="009E61DD">
        <w:rPr>
          <w:b/>
          <w:bCs/>
        </w:rPr>
        <w:t xml:space="preserve"> (+6,07%)</w:t>
      </w:r>
      <w:r>
        <w:t xml:space="preserve">. A </w:t>
      </w:r>
      <w:r w:rsidRPr="009E61DD">
        <w:rPr>
          <w:b/>
          <w:bCs/>
        </w:rPr>
        <w:t>Madeira</w:t>
      </w:r>
      <w:r>
        <w:t xml:space="preserve"> foi a única exceção, com uma </w:t>
      </w:r>
      <w:r w:rsidRPr="009E61DD">
        <w:rPr>
          <w:b/>
          <w:bCs/>
        </w:rPr>
        <w:t>variação negativa de 4,87%</w:t>
      </w:r>
      <w:r>
        <w:t>.</w:t>
      </w:r>
    </w:p>
    <w:p w14:paraId="7FE7C355" w14:textId="01C8C78B" w:rsidR="001C2EE5" w:rsidRDefault="009E61DD" w:rsidP="009E61DD">
      <w:pPr>
        <w:spacing w:after="240" w:line="360" w:lineRule="auto"/>
        <w:jc w:val="both"/>
      </w:pPr>
      <w:r>
        <w:t xml:space="preserve">No consumo estrangeiro, </w:t>
      </w:r>
      <w:r w:rsidRPr="009E61DD">
        <w:rPr>
          <w:b/>
          <w:bCs/>
        </w:rPr>
        <w:t>França (11,98%)</w:t>
      </w:r>
      <w:r>
        <w:t xml:space="preserve">, </w:t>
      </w:r>
      <w:r w:rsidRPr="009E61DD">
        <w:rPr>
          <w:b/>
          <w:bCs/>
        </w:rPr>
        <w:t xml:space="preserve">Reino Unido (10,37%) </w:t>
      </w:r>
      <w:r>
        <w:t xml:space="preserve">e </w:t>
      </w:r>
      <w:r w:rsidRPr="009E61DD">
        <w:rPr>
          <w:b/>
          <w:bCs/>
        </w:rPr>
        <w:t xml:space="preserve">EUA (10,24%) </w:t>
      </w:r>
      <w:r>
        <w:t xml:space="preserve">mantiveram-se no topo, apesar de quedas na faturação. </w:t>
      </w:r>
      <w:r w:rsidRPr="009E61DD">
        <w:rPr>
          <w:b/>
          <w:bCs/>
        </w:rPr>
        <w:t>Espanha</w:t>
      </w:r>
      <w:r>
        <w:t xml:space="preserve"> destacou-se com um aumento de </w:t>
      </w:r>
      <w:r w:rsidRPr="009E61DD">
        <w:rPr>
          <w:b/>
          <w:bCs/>
        </w:rPr>
        <w:t>4,04%</w:t>
      </w:r>
      <w:r>
        <w:t>, reforçando a proximidade entre mercados.</w:t>
      </w:r>
    </w:p>
    <w:p w14:paraId="477C9F93" w14:textId="77777777" w:rsidR="00D96765" w:rsidRPr="00D96765" w:rsidRDefault="00D96765" w:rsidP="00D96765">
      <w:pPr>
        <w:spacing w:after="240" w:line="360" w:lineRule="auto"/>
        <w:jc w:val="both"/>
        <w:rPr>
          <w:b/>
          <w:bCs/>
        </w:rPr>
      </w:pPr>
      <w:r w:rsidRPr="00D96765">
        <w:rPr>
          <w:b/>
          <w:bCs/>
        </w:rPr>
        <w:t>Pagamentos digitais: a força por trás do dinamismo</w:t>
      </w:r>
    </w:p>
    <w:p w14:paraId="1302ADC3" w14:textId="77777777" w:rsidR="00D96765" w:rsidRDefault="00D96765" w:rsidP="00D96765">
      <w:pPr>
        <w:spacing w:after="240" w:line="360" w:lineRule="auto"/>
        <w:jc w:val="both"/>
      </w:pPr>
      <w:r>
        <w:t>“</w:t>
      </w:r>
      <w:r w:rsidRPr="00D96765">
        <w:rPr>
          <w:i/>
          <w:iCs/>
        </w:rPr>
        <w:t>Os dados de dezembro mostram um consumo consistente, mais concentrado em momentos específicos e com os pagamentos digitais a desempenharem um papel central na capacidade de os negócios responderem aos picos de procura típicos desta época do ano”</w:t>
      </w:r>
      <w:r>
        <w:t xml:space="preserve">, afirma </w:t>
      </w:r>
      <w:r w:rsidRPr="00D96765">
        <w:rPr>
          <w:b/>
          <w:bCs/>
        </w:rPr>
        <w:t xml:space="preserve">Tiago </w:t>
      </w:r>
      <w:proofErr w:type="spellStart"/>
      <w:r w:rsidRPr="00D96765">
        <w:rPr>
          <w:b/>
          <w:bCs/>
        </w:rPr>
        <w:t>Oom</w:t>
      </w:r>
      <w:proofErr w:type="spellEnd"/>
      <w:r w:rsidRPr="00D96765">
        <w:rPr>
          <w:b/>
          <w:bCs/>
        </w:rPr>
        <w:t xml:space="preserve">, </w:t>
      </w:r>
      <w:proofErr w:type="spellStart"/>
      <w:r w:rsidRPr="00D96765">
        <w:rPr>
          <w:b/>
          <w:bCs/>
        </w:rPr>
        <w:t>Head</w:t>
      </w:r>
      <w:proofErr w:type="spellEnd"/>
      <w:r w:rsidRPr="00D96765">
        <w:rPr>
          <w:b/>
          <w:bCs/>
        </w:rPr>
        <w:t xml:space="preserve"> </w:t>
      </w:r>
      <w:proofErr w:type="spellStart"/>
      <w:r w:rsidRPr="00D96765">
        <w:rPr>
          <w:b/>
          <w:bCs/>
        </w:rPr>
        <w:t>of</w:t>
      </w:r>
      <w:proofErr w:type="spellEnd"/>
      <w:r w:rsidRPr="00D96765">
        <w:rPr>
          <w:b/>
          <w:bCs/>
        </w:rPr>
        <w:t xml:space="preserve"> Merchant </w:t>
      </w:r>
      <w:proofErr w:type="spellStart"/>
      <w:r w:rsidRPr="00D96765">
        <w:rPr>
          <w:b/>
          <w:bCs/>
        </w:rPr>
        <w:t>Acquiring</w:t>
      </w:r>
      <w:proofErr w:type="spellEnd"/>
      <w:r w:rsidRPr="00D96765">
        <w:rPr>
          <w:b/>
          <w:bCs/>
        </w:rPr>
        <w:t xml:space="preserve"> da UNICRE</w:t>
      </w:r>
      <w:r>
        <w:t>.</w:t>
      </w:r>
    </w:p>
    <w:p w14:paraId="58A78DC3" w14:textId="20BC946C" w:rsidR="002B48E7" w:rsidRDefault="00C238D9" w:rsidP="00A87F7A">
      <w:pPr>
        <w:spacing w:after="240" w:line="360" w:lineRule="auto"/>
        <w:jc w:val="both"/>
      </w:pPr>
      <w:r>
        <w:t xml:space="preserve">Em momentos de elevados volumes de vendas e </w:t>
      </w:r>
      <w:r w:rsidR="00A87F7A">
        <w:t xml:space="preserve">uma forte </w:t>
      </w:r>
      <w:r w:rsidR="00D96765">
        <w:t>exigência operacional, est</w:t>
      </w:r>
      <w:r w:rsidR="00A87F7A">
        <w:t>es dados</w:t>
      </w:r>
      <w:r w:rsidR="00D96765">
        <w:t xml:space="preserve"> reforçam a importância de soluções de pagamento robustas e adaptadas a diferentes comportamentos de consumo. A UNICRE continua a ser parceira estratégica dos negócios, garantindo experiências de pagamento modernas e eficientes.</w:t>
      </w:r>
    </w:p>
    <w:p w14:paraId="3B264871" w14:textId="77777777" w:rsidR="00406B7C" w:rsidRDefault="00406B7C" w:rsidP="00406B7C">
      <w:pPr>
        <w:jc w:val="both"/>
        <w:rPr>
          <w:b/>
          <w:bCs/>
        </w:rPr>
      </w:pPr>
    </w:p>
    <w:p w14:paraId="4FB3481D" w14:textId="71E361A7" w:rsidR="00406B7C" w:rsidRPr="00C10C80" w:rsidRDefault="00406B7C" w:rsidP="00F415C4">
      <w:pPr>
        <w:spacing w:after="240" w:line="360" w:lineRule="auto"/>
        <w:jc w:val="both"/>
      </w:pPr>
      <w:r>
        <w:t xml:space="preserve">Estes e outros </w:t>
      </w:r>
      <w:r w:rsidRPr="00C10C80">
        <w:rPr>
          <w:i/>
          <w:iCs/>
        </w:rPr>
        <w:t>insights</w:t>
      </w:r>
      <w:r>
        <w:t xml:space="preserve"> estratégicos para a tomada de decisão, o desenvolvimento dos negócios e da economia nacional, estão disponíveis no site da </w:t>
      </w:r>
      <w:hyperlink r:id="rId13" w:anchor="tendencias-mercado" w:history="1">
        <w:r w:rsidRPr="00F43739">
          <w:rPr>
            <w:rStyle w:val="Hiperligao"/>
          </w:rPr>
          <w:t>REDUNIQ.pt/insights</w:t>
        </w:r>
      </w:hyperlink>
      <w:r>
        <w:t xml:space="preserve">. </w:t>
      </w:r>
      <w:r w:rsidRPr="00483603">
        <w:rPr>
          <w:b/>
          <w:bCs/>
        </w:rPr>
        <w:t>Para mais informações</w:t>
      </w:r>
      <w:r>
        <w:rPr>
          <w:b/>
          <w:bCs/>
        </w:rPr>
        <w:t xml:space="preserve"> contacte a REDUNIQ.</w:t>
      </w:r>
    </w:p>
    <w:p w14:paraId="228771A5" w14:textId="77777777" w:rsidR="00390F47" w:rsidRPr="00390F47" w:rsidRDefault="00390F47" w:rsidP="00390F47">
      <w:pPr>
        <w:spacing w:after="240" w:line="360" w:lineRule="auto"/>
        <w:jc w:val="both"/>
        <w:rPr>
          <w:b/>
          <w:bCs/>
        </w:rPr>
      </w:pP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4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38E12AD9" w14:textId="1ECF7330" w:rsidR="000763D7" w:rsidRDefault="000763D7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o REDUNIQ Insights:</w:t>
      </w:r>
    </w:p>
    <w:p w14:paraId="65C75B0F" w14:textId="77777777" w:rsidR="00576BAD" w:rsidRDefault="00576BAD" w:rsidP="00576BAD">
      <w:pPr>
        <w:tabs>
          <w:tab w:val="center" w:pos="4252"/>
          <w:tab w:val="right" w:pos="8504"/>
          <w:tab w:val="right" w:pos="8478"/>
        </w:tabs>
        <w:spacing w:after="120" w:line="288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</w:t>
      </w:r>
      <w:sdt>
        <w:sdtPr>
          <w:tag w:val="goog_rdk_19"/>
          <w:id w:val="-1816480010"/>
        </w:sdtPr>
        <w:sdtEndPr/>
        <w:sdtContent>
          <w:hyperlink r:id="rId15" w:history="1">
            <w:r>
              <w:rPr>
                <w:color w:val="1155CC"/>
                <w:sz w:val="20"/>
                <w:szCs w:val="20"/>
                <w:u w:val="single"/>
              </w:rPr>
              <w:t>REDUNIQ Insights</w:t>
            </w:r>
          </w:hyperlink>
        </w:sdtContent>
      </w:sdt>
      <w:r>
        <w:rPr>
          <w:color w:val="000000"/>
          <w:sz w:val="20"/>
          <w:szCs w:val="20"/>
        </w:rPr>
        <w:t xml:space="preserve"> é uma solução de conhecimento que pretende disponibilizar informação analítica aos clientes da REDUNIQ, maior acquirer português e marca da UNICRE responsável por disponibilizar </w:t>
      </w:r>
      <w:r>
        <w:rPr>
          <w:color w:val="000000"/>
          <w:sz w:val="20"/>
          <w:szCs w:val="20"/>
        </w:rPr>
        <w:lastRenderedPageBreak/>
        <w:t xml:space="preserve">soluções de aceitação de pagamentos digitais em loja física e </w:t>
      </w:r>
      <w:r>
        <w:rPr>
          <w:i/>
          <w:iCs/>
          <w:color w:val="000000"/>
          <w:sz w:val="20"/>
          <w:szCs w:val="20"/>
        </w:rPr>
        <w:t>online</w:t>
      </w:r>
      <w:r>
        <w:rPr>
          <w:color w:val="000000"/>
          <w:sz w:val="20"/>
          <w:szCs w:val="20"/>
        </w:rPr>
        <w:t>. Através da divulgação de dados referentes à evolução da faturação e transações dos negócios com origem em cartões de pagamento nacionais e estrangeiros, a REDUNIQ objetiva apoiar as empresas do retalho nacional na geração de insights e na tomada de decisões de desenvolvimento de negócio.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r>
        <w:rPr>
          <w:color w:val="000000"/>
          <w:sz w:val="20"/>
          <w:szCs w:val="20"/>
          <w:u w:val="single"/>
        </w:rPr>
        <w:t>Lift Consulting</w:t>
      </w:r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6" w:history="1">
        <w:r w:rsidRPr="00FC3851">
          <w:rPr>
            <w:rStyle w:val="Hiperligao"/>
            <w:sz w:val="20"/>
            <w:szCs w:val="20"/>
          </w:rPr>
          <w:t xml:space="preserve">patricia.afonso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7"/>
      <w:footerReference w:type="default" r:id="rId18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E9ABD" w14:textId="77777777" w:rsidR="009A7078" w:rsidRDefault="009A7078">
      <w:pPr>
        <w:spacing w:after="0" w:line="240" w:lineRule="auto"/>
      </w:pPr>
      <w:r>
        <w:separator/>
      </w:r>
    </w:p>
  </w:endnote>
  <w:endnote w:type="continuationSeparator" w:id="0">
    <w:p w14:paraId="1516E342" w14:textId="77777777" w:rsidR="009A7078" w:rsidRDefault="009A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07465015-3321-49EA-B216-CAC1CBEEFF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E45D83-B56B-46E5-8B27-3BFC4E2C2271}"/>
    <w:embedBold r:id="rId3" w:fontKey="{891BFBB3-F17F-4F3F-B62B-B811C50D6664}"/>
    <w:embedItalic r:id="rId4" w:fontKey="{88560DD7-4C98-4984-B868-E068C487C45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EFFAE59-B51E-4E8A-BDA6-4487F1527816}"/>
    <w:embedItalic r:id="rId6" w:fontKey="{B0E5BE26-9E0C-4BB6-9E6E-83C0D57EF8C5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872E2CF6-1B24-4028-8A2E-66F83E141BB8}"/>
    <w:embedItalic r:id="rId8" w:fontKey="{FE658D9F-BFDF-4F90-B90C-9E60CDC970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800872A-6469-40BF-B32D-57E7D5700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F534C" w14:textId="77777777" w:rsidR="009A7078" w:rsidRDefault="009A7078">
      <w:pPr>
        <w:spacing w:after="0" w:line="240" w:lineRule="auto"/>
      </w:pPr>
      <w:r>
        <w:separator/>
      </w:r>
    </w:p>
  </w:footnote>
  <w:footnote w:type="continuationSeparator" w:id="0">
    <w:p w14:paraId="0B7D9FD5" w14:textId="77777777" w:rsidR="009A7078" w:rsidRDefault="009A7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3383A"/>
    <w:multiLevelType w:val="hybridMultilevel"/>
    <w:tmpl w:val="7902C63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418E6"/>
    <w:multiLevelType w:val="hybridMultilevel"/>
    <w:tmpl w:val="ADF8B0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05E74"/>
    <w:multiLevelType w:val="hybridMultilevel"/>
    <w:tmpl w:val="A29EEF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8"/>
  </w:num>
  <w:num w:numId="2" w16cid:durableId="1497913607">
    <w:abstractNumId w:val="2"/>
  </w:num>
  <w:num w:numId="3" w16cid:durableId="293339717">
    <w:abstractNumId w:val="6"/>
  </w:num>
  <w:num w:numId="4" w16cid:durableId="1773819669">
    <w:abstractNumId w:val="1"/>
  </w:num>
  <w:num w:numId="5" w16cid:durableId="1318150260">
    <w:abstractNumId w:val="7"/>
  </w:num>
  <w:num w:numId="6" w16cid:durableId="179242131">
    <w:abstractNumId w:val="3"/>
  </w:num>
  <w:num w:numId="7" w16cid:durableId="1661496645">
    <w:abstractNumId w:val="4"/>
  </w:num>
  <w:num w:numId="8" w16cid:durableId="490297816">
    <w:abstractNumId w:val="0"/>
  </w:num>
  <w:num w:numId="9" w16cid:durableId="1876231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10E93"/>
    <w:rsid w:val="00014353"/>
    <w:rsid w:val="0001754C"/>
    <w:rsid w:val="000213AE"/>
    <w:rsid w:val="000311DB"/>
    <w:rsid w:val="00032048"/>
    <w:rsid w:val="000325C2"/>
    <w:rsid w:val="00045FF4"/>
    <w:rsid w:val="0005382D"/>
    <w:rsid w:val="0005430B"/>
    <w:rsid w:val="00057669"/>
    <w:rsid w:val="00065FAA"/>
    <w:rsid w:val="0006660F"/>
    <w:rsid w:val="000678CB"/>
    <w:rsid w:val="00070E3C"/>
    <w:rsid w:val="00073586"/>
    <w:rsid w:val="00073A5A"/>
    <w:rsid w:val="00073BF8"/>
    <w:rsid w:val="0007529B"/>
    <w:rsid w:val="0007573B"/>
    <w:rsid w:val="0007583E"/>
    <w:rsid w:val="000763D7"/>
    <w:rsid w:val="0008539D"/>
    <w:rsid w:val="0008592B"/>
    <w:rsid w:val="0009058A"/>
    <w:rsid w:val="00097A99"/>
    <w:rsid w:val="000A1F1A"/>
    <w:rsid w:val="000A5F48"/>
    <w:rsid w:val="000B723C"/>
    <w:rsid w:val="000C05E3"/>
    <w:rsid w:val="000C2698"/>
    <w:rsid w:val="000C3E7B"/>
    <w:rsid w:val="000C42C4"/>
    <w:rsid w:val="000C63F8"/>
    <w:rsid w:val="000E284F"/>
    <w:rsid w:val="000E6828"/>
    <w:rsid w:val="000F0FD9"/>
    <w:rsid w:val="000F1FD7"/>
    <w:rsid w:val="000F2F6B"/>
    <w:rsid w:val="000F6709"/>
    <w:rsid w:val="000F7340"/>
    <w:rsid w:val="0010262B"/>
    <w:rsid w:val="00103C1D"/>
    <w:rsid w:val="001045AA"/>
    <w:rsid w:val="0011161F"/>
    <w:rsid w:val="00114B05"/>
    <w:rsid w:val="00117604"/>
    <w:rsid w:val="001212F9"/>
    <w:rsid w:val="001215B2"/>
    <w:rsid w:val="00122FF9"/>
    <w:rsid w:val="00123507"/>
    <w:rsid w:val="00125E0B"/>
    <w:rsid w:val="001262DC"/>
    <w:rsid w:val="00126785"/>
    <w:rsid w:val="00126809"/>
    <w:rsid w:val="00127560"/>
    <w:rsid w:val="00130DBD"/>
    <w:rsid w:val="001310CA"/>
    <w:rsid w:val="00133F53"/>
    <w:rsid w:val="0013569D"/>
    <w:rsid w:val="00135AC6"/>
    <w:rsid w:val="00136769"/>
    <w:rsid w:val="001416C9"/>
    <w:rsid w:val="001504BC"/>
    <w:rsid w:val="00157CD9"/>
    <w:rsid w:val="0016469A"/>
    <w:rsid w:val="0017187D"/>
    <w:rsid w:val="001718FE"/>
    <w:rsid w:val="00172F11"/>
    <w:rsid w:val="0017429E"/>
    <w:rsid w:val="00177936"/>
    <w:rsid w:val="00181C5F"/>
    <w:rsid w:val="001825CB"/>
    <w:rsid w:val="00192547"/>
    <w:rsid w:val="00196048"/>
    <w:rsid w:val="001A1897"/>
    <w:rsid w:val="001A3C39"/>
    <w:rsid w:val="001A7134"/>
    <w:rsid w:val="001B531A"/>
    <w:rsid w:val="001B63B6"/>
    <w:rsid w:val="001B779D"/>
    <w:rsid w:val="001C2EE5"/>
    <w:rsid w:val="001C5D8F"/>
    <w:rsid w:val="001C5F44"/>
    <w:rsid w:val="001D1822"/>
    <w:rsid w:val="001D18AB"/>
    <w:rsid w:val="001D29FA"/>
    <w:rsid w:val="001D5750"/>
    <w:rsid w:val="001D70F1"/>
    <w:rsid w:val="001D715D"/>
    <w:rsid w:val="001D7E7A"/>
    <w:rsid w:val="001D7EB2"/>
    <w:rsid w:val="001E06A8"/>
    <w:rsid w:val="001E35CF"/>
    <w:rsid w:val="001F4A88"/>
    <w:rsid w:val="0020044C"/>
    <w:rsid w:val="00203AA2"/>
    <w:rsid w:val="00203CCC"/>
    <w:rsid w:val="00206010"/>
    <w:rsid w:val="00207DF8"/>
    <w:rsid w:val="002131EB"/>
    <w:rsid w:val="002225C6"/>
    <w:rsid w:val="00230867"/>
    <w:rsid w:val="00231DE1"/>
    <w:rsid w:val="00244C63"/>
    <w:rsid w:val="002464C8"/>
    <w:rsid w:val="002578E8"/>
    <w:rsid w:val="00260109"/>
    <w:rsid w:val="00262DE6"/>
    <w:rsid w:val="00265BF3"/>
    <w:rsid w:val="0026733B"/>
    <w:rsid w:val="00282B50"/>
    <w:rsid w:val="002846F6"/>
    <w:rsid w:val="00287468"/>
    <w:rsid w:val="00291823"/>
    <w:rsid w:val="002922E9"/>
    <w:rsid w:val="00295363"/>
    <w:rsid w:val="002969AB"/>
    <w:rsid w:val="002A782F"/>
    <w:rsid w:val="002B2D30"/>
    <w:rsid w:val="002B31FA"/>
    <w:rsid w:val="002B48E7"/>
    <w:rsid w:val="002B613B"/>
    <w:rsid w:val="002C2B56"/>
    <w:rsid w:val="002C46CE"/>
    <w:rsid w:val="002D2677"/>
    <w:rsid w:val="002D59A6"/>
    <w:rsid w:val="002D5B7B"/>
    <w:rsid w:val="002E544E"/>
    <w:rsid w:val="002E7276"/>
    <w:rsid w:val="002F1BED"/>
    <w:rsid w:val="002F2DF8"/>
    <w:rsid w:val="002F52B3"/>
    <w:rsid w:val="002F7232"/>
    <w:rsid w:val="002F723B"/>
    <w:rsid w:val="00301BEB"/>
    <w:rsid w:val="003048F6"/>
    <w:rsid w:val="00305F0F"/>
    <w:rsid w:val="003141BE"/>
    <w:rsid w:val="00315830"/>
    <w:rsid w:val="00320D69"/>
    <w:rsid w:val="00322457"/>
    <w:rsid w:val="00325125"/>
    <w:rsid w:val="00326968"/>
    <w:rsid w:val="00327B64"/>
    <w:rsid w:val="00327FDB"/>
    <w:rsid w:val="003307A5"/>
    <w:rsid w:val="0033113E"/>
    <w:rsid w:val="003317AF"/>
    <w:rsid w:val="003334FD"/>
    <w:rsid w:val="00342126"/>
    <w:rsid w:val="00345B06"/>
    <w:rsid w:val="0034640C"/>
    <w:rsid w:val="00354FAE"/>
    <w:rsid w:val="00362287"/>
    <w:rsid w:val="00362945"/>
    <w:rsid w:val="00362A8D"/>
    <w:rsid w:val="0036391B"/>
    <w:rsid w:val="00377C2C"/>
    <w:rsid w:val="00381C43"/>
    <w:rsid w:val="00383883"/>
    <w:rsid w:val="0038475A"/>
    <w:rsid w:val="003853D3"/>
    <w:rsid w:val="003862CF"/>
    <w:rsid w:val="00386ECD"/>
    <w:rsid w:val="003878EA"/>
    <w:rsid w:val="00387D26"/>
    <w:rsid w:val="00390B14"/>
    <w:rsid w:val="00390F47"/>
    <w:rsid w:val="0039505C"/>
    <w:rsid w:val="003A06B2"/>
    <w:rsid w:val="003A0904"/>
    <w:rsid w:val="003B6C49"/>
    <w:rsid w:val="003C2717"/>
    <w:rsid w:val="003C3570"/>
    <w:rsid w:val="003C6380"/>
    <w:rsid w:val="003D64FB"/>
    <w:rsid w:val="003E673B"/>
    <w:rsid w:val="003F33E8"/>
    <w:rsid w:val="003F376A"/>
    <w:rsid w:val="003F52B8"/>
    <w:rsid w:val="00401DAE"/>
    <w:rsid w:val="00401EC2"/>
    <w:rsid w:val="0040429E"/>
    <w:rsid w:val="00406B7C"/>
    <w:rsid w:val="00415BB1"/>
    <w:rsid w:val="0041603E"/>
    <w:rsid w:val="0041777E"/>
    <w:rsid w:val="00423B83"/>
    <w:rsid w:val="00424C81"/>
    <w:rsid w:val="00425B82"/>
    <w:rsid w:val="0043367F"/>
    <w:rsid w:val="00464210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A7A6C"/>
    <w:rsid w:val="004B34D8"/>
    <w:rsid w:val="004B3A30"/>
    <w:rsid w:val="004B6B50"/>
    <w:rsid w:val="004B6ECF"/>
    <w:rsid w:val="004C7D7D"/>
    <w:rsid w:val="004D078E"/>
    <w:rsid w:val="004D0ABB"/>
    <w:rsid w:val="004D29DA"/>
    <w:rsid w:val="004D376E"/>
    <w:rsid w:val="004D4D5C"/>
    <w:rsid w:val="004D6872"/>
    <w:rsid w:val="004E21C5"/>
    <w:rsid w:val="004E2D42"/>
    <w:rsid w:val="004F1F50"/>
    <w:rsid w:val="004F2684"/>
    <w:rsid w:val="004F447B"/>
    <w:rsid w:val="004F4742"/>
    <w:rsid w:val="004F5A66"/>
    <w:rsid w:val="0050252A"/>
    <w:rsid w:val="0050622C"/>
    <w:rsid w:val="0051051E"/>
    <w:rsid w:val="005135EA"/>
    <w:rsid w:val="00517502"/>
    <w:rsid w:val="00517FA9"/>
    <w:rsid w:val="00521DAE"/>
    <w:rsid w:val="00537E42"/>
    <w:rsid w:val="005421B0"/>
    <w:rsid w:val="00545E50"/>
    <w:rsid w:val="00546103"/>
    <w:rsid w:val="005534AA"/>
    <w:rsid w:val="00553C76"/>
    <w:rsid w:val="00554415"/>
    <w:rsid w:val="00556822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F3"/>
    <w:rsid w:val="00592823"/>
    <w:rsid w:val="005938CE"/>
    <w:rsid w:val="00595AE8"/>
    <w:rsid w:val="0059622E"/>
    <w:rsid w:val="005A03A5"/>
    <w:rsid w:val="005A0D65"/>
    <w:rsid w:val="005A1EE4"/>
    <w:rsid w:val="005A53AA"/>
    <w:rsid w:val="005B2C32"/>
    <w:rsid w:val="005B6426"/>
    <w:rsid w:val="005B6F87"/>
    <w:rsid w:val="005C417C"/>
    <w:rsid w:val="005D1547"/>
    <w:rsid w:val="005D416B"/>
    <w:rsid w:val="005E0FF7"/>
    <w:rsid w:val="005F1C25"/>
    <w:rsid w:val="005F5D1F"/>
    <w:rsid w:val="005F5FB2"/>
    <w:rsid w:val="00600195"/>
    <w:rsid w:val="006155FE"/>
    <w:rsid w:val="00616A28"/>
    <w:rsid w:val="00640E1B"/>
    <w:rsid w:val="00641110"/>
    <w:rsid w:val="00644C90"/>
    <w:rsid w:val="006523A3"/>
    <w:rsid w:val="0065762D"/>
    <w:rsid w:val="006669DC"/>
    <w:rsid w:val="00674C90"/>
    <w:rsid w:val="00676203"/>
    <w:rsid w:val="0068075A"/>
    <w:rsid w:val="00684960"/>
    <w:rsid w:val="00691D57"/>
    <w:rsid w:val="006A6C56"/>
    <w:rsid w:val="006B18D4"/>
    <w:rsid w:val="006B5AE9"/>
    <w:rsid w:val="006B795F"/>
    <w:rsid w:val="006C1E58"/>
    <w:rsid w:val="006C1EBE"/>
    <w:rsid w:val="006C2C0C"/>
    <w:rsid w:val="006C3DA5"/>
    <w:rsid w:val="006C7489"/>
    <w:rsid w:val="006D18B6"/>
    <w:rsid w:val="006D4FBD"/>
    <w:rsid w:val="006E39FB"/>
    <w:rsid w:val="006E402A"/>
    <w:rsid w:val="006E48F6"/>
    <w:rsid w:val="006F0089"/>
    <w:rsid w:val="006F0D6F"/>
    <w:rsid w:val="006F40BE"/>
    <w:rsid w:val="006F5DA8"/>
    <w:rsid w:val="00701A37"/>
    <w:rsid w:val="00703D35"/>
    <w:rsid w:val="00704E34"/>
    <w:rsid w:val="00706FE7"/>
    <w:rsid w:val="0071258F"/>
    <w:rsid w:val="00712F99"/>
    <w:rsid w:val="00714358"/>
    <w:rsid w:val="00720515"/>
    <w:rsid w:val="0073394E"/>
    <w:rsid w:val="00734466"/>
    <w:rsid w:val="00735FCD"/>
    <w:rsid w:val="0073678F"/>
    <w:rsid w:val="0073682E"/>
    <w:rsid w:val="0073785A"/>
    <w:rsid w:val="007409BB"/>
    <w:rsid w:val="00746A80"/>
    <w:rsid w:val="00752847"/>
    <w:rsid w:val="007553EE"/>
    <w:rsid w:val="00756F91"/>
    <w:rsid w:val="00757894"/>
    <w:rsid w:val="0076109E"/>
    <w:rsid w:val="00762857"/>
    <w:rsid w:val="0076388A"/>
    <w:rsid w:val="007657FA"/>
    <w:rsid w:val="00765A48"/>
    <w:rsid w:val="00767F89"/>
    <w:rsid w:val="00771CB8"/>
    <w:rsid w:val="00773E07"/>
    <w:rsid w:val="007759C9"/>
    <w:rsid w:val="007769A5"/>
    <w:rsid w:val="00777310"/>
    <w:rsid w:val="007775C6"/>
    <w:rsid w:val="007829DF"/>
    <w:rsid w:val="0079009A"/>
    <w:rsid w:val="00790AEF"/>
    <w:rsid w:val="0079102D"/>
    <w:rsid w:val="00791A27"/>
    <w:rsid w:val="007941D0"/>
    <w:rsid w:val="00796F72"/>
    <w:rsid w:val="00797223"/>
    <w:rsid w:val="007A0767"/>
    <w:rsid w:val="007A0B27"/>
    <w:rsid w:val="007A3DEC"/>
    <w:rsid w:val="007A5D89"/>
    <w:rsid w:val="007B22D3"/>
    <w:rsid w:val="007B28BE"/>
    <w:rsid w:val="007C533E"/>
    <w:rsid w:val="007C6AF3"/>
    <w:rsid w:val="007C7801"/>
    <w:rsid w:val="007D2BFD"/>
    <w:rsid w:val="007D43FA"/>
    <w:rsid w:val="007D4C56"/>
    <w:rsid w:val="007D5284"/>
    <w:rsid w:val="007D736E"/>
    <w:rsid w:val="007D7646"/>
    <w:rsid w:val="007E2503"/>
    <w:rsid w:val="007E4EE9"/>
    <w:rsid w:val="007E51B4"/>
    <w:rsid w:val="007E55D3"/>
    <w:rsid w:val="007E5810"/>
    <w:rsid w:val="007E5B7B"/>
    <w:rsid w:val="007E5CBC"/>
    <w:rsid w:val="007E5E3F"/>
    <w:rsid w:val="007E662B"/>
    <w:rsid w:val="007F2E7E"/>
    <w:rsid w:val="00801182"/>
    <w:rsid w:val="00801D2B"/>
    <w:rsid w:val="00803657"/>
    <w:rsid w:val="008145A1"/>
    <w:rsid w:val="00820D65"/>
    <w:rsid w:val="00822B4A"/>
    <w:rsid w:val="00824C96"/>
    <w:rsid w:val="00825F31"/>
    <w:rsid w:val="008308BF"/>
    <w:rsid w:val="008328AF"/>
    <w:rsid w:val="00834CE3"/>
    <w:rsid w:val="008365A9"/>
    <w:rsid w:val="00836BF9"/>
    <w:rsid w:val="008443F7"/>
    <w:rsid w:val="0084758A"/>
    <w:rsid w:val="00853FCC"/>
    <w:rsid w:val="008544C4"/>
    <w:rsid w:val="00854F80"/>
    <w:rsid w:val="008624CA"/>
    <w:rsid w:val="00864E9B"/>
    <w:rsid w:val="008767FE"/>
    <w:rsid w:val="00884870"/>
    <w:rsid w:val="0089551E"/>
    <w:rsid w:val="00895635"/>
    <w:rsid w:val="008959D9"/>
    <w:rsid w:val="0089772B"/>
    <w:rsid w:val="008A06A8"/>
    <w:rsid w:val="008A1A4F"/>
    <w:rsid w:val="008A59AB"/>
    <w:rsid w:val="008A64E2"/>
    <w:rsid w:val="008B032A"/>
    <w:rsid w:val="008B5AC7"/>
    <w:rsid w:val="008B661C"/>
    <w:rsid w:val="008C054B"/>
    <w:rsid w:val="008C7D2A"/>
    <w:rsid w:val="008D0A29"/>
    <w:rsid w:val="008D0FC4"/>
    <w:rsid w:val="008D73C7"/>
    <w:rsid w:val="008E2DFD"/>
    <w:rsid w:val="008F1177"/>
    <w:rsid w:val="008F1DC4"/>
    <w:rsid w:val="008F539F"/>
    <w:rsid w:val="008F60AD"/>
    <w:rsid w:val="0091457B"/>
    <w:rsid w:val="009174D5"/>
    <w:rsid w:val="00920074"/>
    <w:rsid w:val="0092140E"/>
    <w:rsid w:val="0092543E"/>
    <w:rsid w:val="009328AB"/>
    <w:rsid w:val="00935EC0"/>
    <w:rsid w:val="00936C38"/>
    <w:rsid w:val="009375CD"/>
    <w:rsid w:val="0094223D"/>
    <w:rsid w:val="0094273C"/>
    <w:rsid w:val="00944C50"/>
    <w:rsid w:val="00945973"/>
    <w:rsid w:val="00947414"/>
    <w:rsid w:val="00951EAD"/>
    <w:rsid w:val="00953CE8"/>
    <w:rsid w:val="00954941"/>
    <w:rsid w:val="009617E3"/>
    <w:rsid w:val="0096349C"/>
    <w:rsid w:val="00963694"/>
    <w:rsid w:val="0096412F"/>
    <w:rsid w:val="009645D5"/>
    <w:rsid w:val="00964CE8"/>
    <w:rsid w:val="0098182A"/>
    <w:rsid w:val="00982F98"/>
    <w:rsid w:val="00983BDE"/>
    <w:rsid w:val="009847D6"/>
    <w:rsid w:val="00985C81"/>
    <w:rsid w:val="00987F50"/>
    <w:rsid w:val="009A1391"/>
    <w:rsid w:val="009A1767"/>
    <w:rsid w:val="009A481A"/>
    <w:rsid w:val="009A7001"/>
    <w:rsid w:val="009A7078"/>
    <w:rsid w:val="009B18B8"/>
    <w:rsid w:val="009B3872"/>
    <w:rsid w:val="009B6B8B"/>
    <w:rsid w:val="009C1B54"/>
    <w:rsid w:val="009C41A3"/>
    <w:rsid w:val="009C7CF6"/>
    <w:rsid w:val="009D04C6"/>
    <w:rsid w:val="009D2FFC"/>
    <w:rsid w:val="009D3278"/>
    <w:rsid w:val="009D3FB5"/>
    <w:rsid w:val="009D4870"/>
    <w:rsid w:val="009D4B74"/>
    <w:rsid w:val="009D76CD"/>
    <w:rsid w:val="009D76FA"/>
    <w:rsid w:val="009E06D1"/>
    <w:rsid w:val="009E61DD"/>
    <w:rsid w:val="009E7019"/>
    <w:rsid w:val="009E72FF"/>
    <w:rsid w:val="009F1218"/>
    <w:rsid w:val="009F2ADA"/>
    <w:rsid w:val="009F3139"/>
    <w:rsid w:val="009F70BC"/>
    <w:rsid w:val="00A01B0C"/>
    <w:rsid w:val="00A05F61"/>
    <w:rsid w:val="00A06D85"/>
    <w:rsid w:val="00A12530"/>
    <w:rsid w:val="00A12C9D"/>
    <w:rsid w:val="00A14B34"/>
    <w:rsid w:val="00A172E8"/>
    <w:rsid w:val="00A1774A"/>
    <w:rsid w:val="00A20DEC"/>
    <w:rsid w:val="00A21247"/>
    <w:rsid w:val="00A22965"/>
    <w:rsid w:val="00A23339"/>
    <w:rsid w:val="00A23B19"/>
    <w:rsid w:val="00A34A50"/>
    <w:rsid w:val="00A35E59"/>
    <w:rsid w:val="00A37D0E"/>
    <w:rsid w:val="00A453E4"/>
    <w:rsid w:val="00A46FE6"/>
    <w:rsid w:val="00A5015D"/>
    <w:rsid w:val="00A51AFD"/>
    <w:rsid w:val="00A57EE8"/>
    <w:rsid w:val="00A613C8"/>
    <w:rsid w:val="00A61AEB"/>
    <w:rsid w:val="00A61CDE"/>
    <w:rsid w:val="00A65614"/>
    <w:rsid w:val="00A7478C"/>
    <w:rsid w:val="00A82B76"/>
    <w:rsid w:val="00A84514"/>
    <w:rsid w:val="00A87F7A"/>
    <w:rsid w:val="00A909E7"/>
    <w:rsid w:val="00A97225"/>
    <w:rsid w:val="00AA61CD"/>
    <w:rsid w:val="00AB2B34"/>
    <w:rsid w:val="00AB5FF7"/>
    <w:rsid w:val="00AB6873"/>
    <w:rsid w:val="00AB6C99"/>
    <w:rsid w:val="00AC1075"/>
    <w:rsid w:val="00AC5BA3"/>
    <w:rsid w:val="00AC7BCB"/>
    <w:rsid w:val="00AD1413"/>
    <w:rsid w:val="00AD56FA"/>
    <w:rsid w:val="00AD5AA8"/>
    <w:rsid w:val="00AD5E24"/>
    <w:rsid w:val="00AD7C07"/>
    <w:rsid w:val="00AE4504"/>
    <w:rsid w:val="00AE5152"/>
    <w:rsid w:val="00AE641A"/>
    <w:rsid w:val="00AE65D8"/>
    <w:rsid w:val="00AF1F57"/>
    <w:rsid w:val="00AF4124"/>
    <w:rsid w:val="00B03882"/>
    <w:rsid w:val="00B062F2"/>
    <w:rsid w:val="00B11161"/>
    <w:rsid w:val="00B21262"/>
    <w:rsid w:val="00B224E9"/>
    <w:rsid w:val="00B25862"/>
    <w:rsid w:val="00B267C0"/>
    <w:rsid w:val="00B27B41"/>
    <w:rsid w:val="00B3025C"/>
    <w:rsid w:val="00B309A9"/>
    <w:rsid w:val="00B321A4"/>
    <w:rsid w:val="00B3264F"/>
    <w:rsid w:val="00B328B2"/>
    <w:rsid w:val="00B331AE"/>
    <w:rsid w:val="00B336F4"/>
    <w:rsid w:val="00B338F0"/>
    <w:rsid w:val="00B4157E"/>
    <w:rsid w:val="00B41875"/>
    <w:rsid w:val="00B50DDF"/>
    <w:rsid w:val="00B53138"/>
    <w:rsid w:val="00B56251"/>
    <w:rsid w:val="00B608E2"/>
    <w:rsid w:val="00B636CA"/>
    <w:rsid w:val="00B638D5"/>
    <w:rsid w:val="00B70154"/>
    <w:rsid w:val="00B746B7"/>
    <w:rsid w:val="00B770D0"/>
    <w:rsid w:val="00B77EA3"/>
    <w:rsid w:val="00B82D17"/>
    <w:rsid w:val="00B82E3F"/>
    <w:rsid w:val="00B8512F"/>
    <w:rsid w:val="00B94C23"/>
    <w:rsid w:val="00B94FE8"/>
    <w:rsid w:val="00BA5212"/>
    <w:rsid w:val="00BA7A28"/>
    <w:rsid w:val="00BB2B84"/>
    <w:rsid w:val="00BB584A"/>
    <w:rsid w:val="00BB5DB2"/>
    <w:rsid w:val="00BC06CA"/>
    <w:rsid w:val="00BC08F8"/>
    <w:rsid w:val="00BC2139"/>
    <w:rsid w:val="00BC7523"/>
    <w:rsid w:val="00BD54F5"/>
    <w:rsid w:val="00BE1D3F"/>
    <w:rsid w:val="00BE2418"/>
    <w:rsid w:val="00BE4278"/>
    <w:rsid w:val="00BE4EFC"/>
    <w:rsid w:val="00BF40E5"/>
    <w:rsid w:val="00BF7806"/>
    <w:rsid w:val="00C0137C"/>
    <w:rsid w:val="00C0281A"/>
    <w:rsid w:val="00C03ACD"/>
    <w:rsid w:val="00C05152"/>
    <w:rsid w:val="00C14324"/>
    <w:rsid w:val="00C14504"/>
    <w:rsid w:val="00C16AF4"/>
    <w:rsid w:val="00C2107A"/>
    <w:rsid w:val="00C213B9"/>
    <w:rsid w:val="00C23212"/>
    <w:rsid w:val="00C23528"/>
    <w:rsid w:val="00C238D9"/>
    <w:rsid w:val="00C30738"/>
    <w:rsid w:val="00C30A9E"/>
    <w:rsid w:val="00C407DA"/>
    <w:rsid w:val="00C44EDA"/>
    <w:rsid w:val="00C5012D"/>
    <w:rsid w:val="00C51A83"/>
    <w:rsid w:val="00C51C31"/>
    <w:rsid w:val="00C51CC9"/>
    <w:rsid w:val="00C5451C"/>
    <w:rsid w:val="00C605B5"/>
    <w:rsid w:val="00C62386"/>
    <w:rsid w:val="00C62962"/>
    <w:rsid w:val="00C65932"/>
    <w:rsid w:val="00C66BBB"/>
    <w:rsid w:val="00C71993"/>
    <w:rsid w:val="00C74D8F"/>
    <w:rsid w:val="00C843D5"/>
    <w:rsid w:val="00C906F1"/>
    <w:rsid w:val="00C9234E"/>
    <w:rsid w:val="00CA1019"/>
    <w:rsid w:val="00CA3239"/>
    <w:rsid w:val="00CA6A9F"/>
    <w:rsid w:val="00CA6F40"/>
    <w:rsid w:val="00CB5E67"/>
    <w:rsid w:val="00CB781B"/>
    <w:rsid w:val="00CC0828"/>
    <w:rsid w:val="00CC1436"/>
    <w:rsid w:val="00CC2265"/>
    <w:rsid w:val="00CC2CE8"/>
    <w:rsid w:val="00CC3832"/>
    <w:rsid w:val="00CC5F57"/>
    <w:rsid w:val="00CE243D"/>
    <w:rsid w:val="00CE49AE"/>
    <w:rsid w:val="00CE6C19"/>
    <w:rsid w:val="00CF0629"/>
    <w:rsid w:val="00CF0BC9"/>
    <w:rsid w:val="00CF42D9"/>
    <w:rsid w:val="00CF4A75"/>
    <w:rsid w:val="00CF58D5"/>
    <w:rsid w:val="00CF646C"/>
    <w:rsid w:val="00CF669B"/>
    <w:rsid w:val="00CF7594"/>
    <w:rsid w:val="00D03612"/>
    <w:rsid w:val="00D05608"/>
    <w:rsid w:val="00D12371"/>
    <w:rsid w:val="00D142B7"/>
    <w:rsid w:val="00D20E6A"/>
    <w:rsid w:val="00D22688"/>
    <w:rsid w:val="00D23DD6"/>
    <w:rsid w:val="00D32940"/>
    <w:rsid w:val="00D343A1"/>
    <w:rsid w:val="00D35996"/>
    <w:rsid w:val="00D44D38"/>
    <w:rsid w:val="00D45D50"/>
    <w:rsid w:val="00D47F2E"/>
    <w:rsid w:val="00D61497"/>
    <w:rsid w:val="00D65F79"/>
    <w:rsid w:val="00D75502"/>
    <w:rsid w:val="00D77FC4"/>
    <w:rsid w:val="00D82C2E"/>
    <w:rsid w:val="00D875F9"/>
    <w:rsid w:val="00D87E58"/>
    <w:rsid w:val="00D91AC1"/>
    <w:rsid w:val="00D91DA7"/>
    <w:rsid w:val="00D96765"/>
    <w:rsid w:val="00D97E6D"/>
    <w:rsid w:val="00DA059E"/>
    <w:rsid w:val="00DA0786"/>
    <w:rsid w:val="00DA353B"/>
    <w:rsid w:val="00DA3CC7"/>
    <w:rsid w:val="00DA4FBB"/>
    <w:rsid w:val="00DA6145"/>
    <w:rsid w:val="00DA7897"/>
    <w:rsid w:val="00DB2CEB"/>
    <w:rsid w:val="00DB54A4"/>
    <w:rsid w:val="00DC074B"/>
    <w:rsid w:val="00DC49E6"/>
    <w:rsid w:val="00DC5178"/>
    <w:rsid w:val="00DC6760"/>
    <w:rsid w:val="00DC7B80"/>
    <w:rsid w:val="00DD06BA"/>
    <w:rsid w:val="00DD3420"/>
    <w:rsid w:val="00DD3F74"/>
    <w:rsid w:val="00DD6A52"/>
    <w:rsid w:val="00DE067B"/>
    <w:rsid w:val="00DF07F4"/>
    <w:rsid w:val="00DF161F"/>
    <w:rsid w:val="00DF1E01"/>
    <w:rsid w:val="00DF63DC"/>
    <w:rsid w:val="00E06B5F"/>
    <w:rsid w:val="00E06EC5"/>
    <w:rsid w:val="00E10296"/>
    <w:rsid w:val="00E10EE7"/>
    <w:rsid w:val="00E115E9"/>
    <w:rsid w:val="00E12794"/>
    <w:rsid w:val="00E14DD0"/>
    <w:rsid w:val="00E22A79"/>
    <w:rsid w:val="00E23C54"/>
    <w:rsid w:val="00E36493"/>
    <w:rsid w:val="00E43A61"/>
    <w:rsid w:val="00E60F4E"/>
    <w:rsid w:val="00E66B0C"/>
    <w:rsid w:val="00E71DC2"/>
    <w:rsid w:val="00E72251"/>
    <w:rsid w:val="00E81904"/>
    <w:rsid w:val="00E850EE"/>
    <w:rsid w:val="00E86E24"/>
    <w:rsid w:val="00E91FF5"/>
    <w:rsid w:val="00E949B5"/>
    <w:rsid w:val="00E9545E"/>
    <w:rsid w:val="00EA22FF"/>
    <w:rsid w:val="00EA23EC"/>
    <w:rsid w:val="00EA240F"/>
    <w:rsid w:val="00EB40B3"/>
    <w:rsid w:val="00EB415F"/>
    <w:rsid w:val="00EB48CE"/>
    <w:rsid w:val="00EC1CD1"/>
    <w:rsid w:val="00EC31A3"/>
    <w:rsid w:val="00EC477C"/>
    <w:rsid w:val="00EC53F2"/>
    <w:rsid w:val="00EC6FEA"/>
    <w:rsid w:val="00EC70A4"/>
    <w:rsid w:val="00ED2109"/>
    <w:rsid w:val="00ED3E13"/>
    <w:rsid w:val="00ED4309"/>
    <w:rsid w:val="00ED5A62"/>
    <w:rsid w:val="00EE4701"/>
    <w:rsid w:val="00EE544C"/>
    <w:rsid w:val="00EF014B"/>
    <w:rsid w:val="00EF253F"/>
    <w:rsid w:val="00EF419B"/>
    <w:rsid w:val="00EF4BC6"/>
    <w:rsid w:val="00EF630E"/>
    <w:rsid w:val="00EF7CB8"/>
    <w:rsid w:val="00F02590"/>
    <w:rsid w:val="00F02972"/>
    <w:rsid w:val="00F0665A"/>
    <w:rsid w:val="00F11257"/>
    <w:rsid w:val="00F11C06"/>
    <w:rsid w:val="00F13D05"/>
    <w:rsid w:val="00F1559C"/>
    <w:rsid w:val="00F27341"/>
    <w:rsid w:val="00F31B8D"/>
    <w:rsid w:val="00F31EE8"/>
    <w:rsid w:val="00F34EC5"/>
    <w:rsid w:val="00F354FB"/>
    <w:rsid w:val="00F36E84"/>
    <w:rsid w:val="00F36ED7"/>
    <w:rsid w:val="00F415C4"/>
    <w:rsid w:val="00F41E14"/>
    <w:rsid w:val="00F4277A"/>
    <w:rsid w:val="00F448C1"/>
    <w:rsid w:val="00F45461"/>
    <w:rsid w:val="00F533C6"/>
    <w:rsid w:val="00F6427C"/>
    <w:rsid w:val="00F77E7B"/>
    <w:rsid w:val="00F8071C"/>
    <w:rsid w:val="00F85277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04BE"/>
    <w:rsid w:val="00FB051D"/>
    <w:rsid w:val="00FB1F45"/>
    <w:rsid w:val="00FB32F5"/>
    <w:rsid w:val="00FB3F7E"/>
    <w:rsid w:val="00FB593A"/>
    <w:rsid w:val="00FB5A1B"/>
    <w:rsid w:val="00FB6136"/>
    <w:rsid w:val="00FB6ACA"/>
    <w:rsid w:val="00FB70C7"/>
    <w:rsid w:val="00FB7184"/>
    <w:rsid w:val="00FC02A4"/>
    <w:rsid w:val="00FC2F97"/>
    <w:rsid w:val="00FC3851"/>
    <w:rsid w:val="00FC3E51"/>
    <w:rsid w:val="00FC406C"/>
    <w:rsid w:val="00FC7C77"/>
    <w:rsid w:val="00FD4BE6"/>
    <w:rsid w:val="00FD5D85"/>
    <w:rsid w:val="00FD70C0"/>
    <w:rsid w:val="00FE0689"/>
    <w:rsid w:val="00FE0C72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7A07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duniq.pt/insights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atricia.afonso%20@lift.com.p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insight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eduniq.pt/reduniq-insights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re.p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DC7A25-74A2-4DF7-8215-6C0AC91AC5EE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695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2026-01-08T16:17:00Z</dcterms:created>
  <dcterms:modified xsi:type="dcterms:W3CDTF">2026-01-08T16:17:00Z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