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66AAB" w14:textId="77777777" w:rsidR="00F53EDC" w:rsidRDefault="008512E9" w:rsidP="00F53EDC">
      <w:pPr>
        <w:spacing w:after="0" w:line="276" w:lineRule="auto"/>
        <w:ind w:right="-1" w:firstLine="142"/>
        <w:jc w:val="center"/>
        <w:rPr>
          <w:rFonts w:ascii="Century Gothic" w:hAnsi="Century Gothic" w:cs="Arial"/>
          <w:b/>
          <w:bCs/>
          <w:sz w:val="20"/>
          <w:szCs w:val="20"/>
        </w:rPr>
      </w:pPr>
      <w:r w:rsidRPr="00F53EDC">
        <w:rPr>
          <w:rFonts w:ascii="Century Gothic" w:hAnsi="Century Gothic" w:cs="Arial"/>
          <w:b/>
          <w:bCs/>
          <w:sz w:val="20"/>
          <w:szCs w:val="20"/>
        </w:rPr>
        <w:t xml:space="preserve">Estudo IPAM </w:t>
      </w:r>
      <w:r w:rsidR="00FA61C9" w:rsidRPr="00F53EDC">
        <w:rPr>
          <w:rFonts w:ascii="Century Gothic" w:hAnsi="Century Gothic" w:cs="Arial"/>
          <w:b/>
          <w:bCs/>
          <w:sz w:val="20"/>
          <w:szCs w:val="20"/>
        </w:rPr>
        <w:t>P</w:t>
      </w:r>
      <w:r w:rsidRPr="00F53EDC">
        <w:rPr>
          <w:rFonts w:ascii="Century Gothic" w:hAnsi="Century Gothic" w:cs="Arial"/>
          <w:b/>
          <w:bCs/>
          <w:sz w:val="20"/>
          <w:szCs w:val="20"/>
        </w:rPr>
        <w:t>orto analisa relação entre comunicação pol</w:t>
      </w:r>
      <w:r w:rsidR="00407EB4" w:rsidRPr="00F53EDC">
        <w:rPr>
          <w:rFonts w:ascii="Century Gothic" w:hAnsi="Century Gothic" w:cs="Arial"/>
          <w:b/>
          <w:bCs/>
          <w:sz w:val="20"/>
          <w:szCs w:val="20"/>
        </w:rPr>
        <w:t xml:space="preserve">ítica digital </w:t>
      </w:r>
    </w:p>
    <w:p w14:paraId="7ACDE669" w14:textId="0F5E7B34" w:rsidR="008512E9" w:rsidRDefault="00407EB4" w:rsidP="00F53EDC">
      <w:pPr>
        <w:spacing w:after="0" w:line="276" w:lineRule="auto"/>
        <w:ind w:right="-1" w:firstLine="142"/>
        <w:jc w:val="center"/>
        <w:rPr>
          <w:rFonts w:ascii="Century Gothic" w:hAnsi="Century Gothic" w:cs="Arial"/>
          <w:b/>
          <w:bCs/>
          <w:sz w:val="20"/>
          <w:szCs w:val="20"/>
        </w:rPr>
      </w:pPr>
      <w:r w:rsidRPr="00F53EDC">
        <w:rPr>
          <w:rFonts w:ascii="Century Gothic" w:hAnsi="Century Gothic" w:cs="Arial"/>
          <w:b/>
          <w:bCs/>
          <w:sz w:val="20"/>
          <w:szCs w:val="20"/>
        </w:rPr>
        <w:t>e envolvimento cívico dos jovens</w:t>
      </w:r>
    </w:p>
    <w:p w14:paraId="36A9439F" w14:textId="77777777" w:rsidR="00297B8F" w:rsidRPr="00F53EDC" w:rsidRDefault="00297B8F" w:rsidP="00F53EDC">
      <w:pPr>
        <w:spacing w:after="0" w:line="276" w:lineRule="auto"/>
        <w:ind w:right="-1" w:firstLine="142"/>
        <w:jc w:val="center"/>
        <w:rPr>
          <w:rFonts w:ascii="Century Gothic" w:hAnsi="Century Gothic" w:cs="Arial"/>
          <w:b/>
          <w:bCs/>
          <w:sz w:val="20"/>
          <w:szCs w:val="20"/>
        </w:rPr>
      </w:pPr>
    </w:p>
    <w:p w14:paraId="183E37A6" w14:textId="32EF9AA9" w:rsidR="005E3999" w:rsidRDefault="00C66918" w:rsidP="00297B8F">
      <w:pPr>
        <w:spacing w:after="0" w:line="276" w:lineRule="auto"/>
        <w:jc w:val="center"/>
        <w:rPr>
          <w:rFonts w:ascii="Century Gothic" w:hAnsi="Century Gothic" w:cs="Arial"/>
          <w:sz w:val="20"/>
          <w:szCs w:val="22"/>
        </w:rPr>
      </w:pPr>
      <w:r w:rsidRPr="00C66918">
        <w:rPr>
          <w:rFonts w:ascii="Century Gothic" w:hAnsi="Century Gothic" w:cs="Arial"/>
          <w:b/>
          <w:bCs/>
          <w:sz w:val="32"/>
          <w:szCs w:val="28"/>
        </w:rPr>
        <w:t>Jovens estão mais exigentes com comunicação dos políticos: presença nas redes já não chega para mobilizar</w:t>
      </w:r>
    </w:p>
    <w:p w14:paraId="10309121" w14:textId="77777777" w:rsidR="005E3999" w:rsidRDefault="005E3999" w:rsidP="00506723">
      <w:pPr>
        <w:spacing w:after="0" w:line="276" w:lineRule="auto"/>
        <w:jc w:val="center"/>
        <w:rPr>
          <w:rFonts w:ascii="Century Gothic" w:hAnsi="Century Gothic" w:cs="Arial"/>
          <w:sz w:val="20"/>
          <w:szCs w:val="22"/>
        </w:rPr>
      </w:pPr>
    </w:p>
    <w:p w14:paraId="0423B748" w14:textId="2D0D0708" w:rsidR="0085493E" w:rsidRDefault="0085493E" w:rsidP="0085493E">
      <w:pPr>
        <w:spacing w:after="0" w:line="276" w:lineRule="auto"/>
        <w:jc w:val="both"/>
        <w:rPr>
          <w:rFonts w:ascii="Century Gothic" w:hAnsi="Century Gothic" w:cs="Arial"/>
          <w:sz w:val="22"/>
          <w:szCs w:val="22"/>
        </w:rPr>
      </w:pPr>
      <w:r w:rsidRPr="00596C0A">
        <w:rPr>
          <w:rFonts w:ascii="Century Gothic" w:hAnsi="Century Gothic" w:cs="Arial"/>
          <w:sz w:val="22"/>
          <w:szCs w:val="22"/>
        </w:rPr>
        <w:t>A simples presença dos partidos e candidatos nas redes sociais já não é suficiente para mobilizar os jovens eleitores</w:t>
      </w:r>
      <w:r w:rsidRPr="0085493E">
        <w:rPr>
          <w:rFonts w:ascii="Century Gothic" w:hAnsi="Century Gothic" w:cs="Arial"/>
          <w:sz w:val="22"/>
          <w:szCs w:val="22"/>
        </w:rPr>
        <w:t>, revela um</w:t>
      </w:r>
      <w:r w:rsidRPr="00596C0A">
        <w:rPr>
          <w:rFonts w:ascii="Century Gothic" w:hAnsi="Century Gothic" w:cs="Arial"/>
          <w:sz w:val="22"/>
          <w:szCs w:val="22"/>
        </w:rPr>
        <w:t xml:space="preserve"> </w:t>
      </w:r>
      <w:r w:rsidRPr="00596C0A">
        <w:rPr>
          <w:rFonts w:ascii="Century Gothic" w:hAnsi="Century Gothic" w:cs="Arial"/>
          <w:b/>
          <w:bCs/>
          <w:sz w:val="22"/>
          <w:szCs w:val="22"/>
        </w:rPr>
        <w:t xml:space="preserve">estudo realizado pelo IPAM Porto junto </w:t>
      </w:r>
      <w:r w:rsidRPr="00FA61C9">
        <w:rPr>
          <w:rFonts w:ascii="Century Gothic" w:hAnsi="Century Gothic" w:cs="Arial"/>
          <w:b/>
          <w:bCs/>
          <w:sz w:val="22"/>
          <w:szCs w:val="22"/>
        </w:rPr>
        <w:t>do público jovem</w:t>
      </w:r>
      <w:r w:rsidRPr="0085493E">
        <w:rPr>
          <w:rFonts w:ascii="Century Gothic" w:hAnsi="Century Gothic" w:cs="Arial"/>
          <w:sz w:val="22"/>
          <w:szCs w:val="22"/>
        </w:rPr>
        <w:t>. A</w:t>
      </w:r>
      <w:r w:rsidRPr="00596C0A">
        <w:rPr>
          <w:rFonts w:ascii="Century Gothic" w:hAnsi="Century Gothic" w:cs="Arial"/>
          <w:sz w:val="22"/>
          <w:szCs w:val="22"/>
        </w:rPr>
        <w:t xml:space="preserve"> </w:t>
      </w:r>
      <w:r w:rsidRPr="00596C0A">
        <w:rPr>
          <w:rFonts w:ascii="Century Gothic" w:hAnsi="Century Gothic" w:cs="Arial"/>
          <w:b/>
          <w:bCs/>
          <w:sz w:val="22"/>
          <w:szCs w:val="22"/>
        </w:rPr>
        <w:t>qualidade da comunicação política digital</w:t>
      </w:r>
      <w:r w:rsidRPr="0085493E">
        <w:rPr>
          <w:rFonts w:ascii="Century Gothic" w:hAnsi="Century Gothic" w:cs="Arial"/>
          <w:sz w:val="22"/>
          <w:szCs w:val="22"/>
        </w:rPr>
        <w:t xml:space="preserve">, como </w:t>
      </w:r>
      <w:r w:rsidRPr="00596C0A">
        <w:rPr>
          <w:rFonts w:ascii="Century Gothic" w:hAnsi="Century Gothic" w:cs="Arial"/>
          <w:sz w:val="22"/>
          <w:szCs w:val="22"/>
        </w:rPr>
        <w:t xml:space="preserve">a </w:t>
      </w:r>
      <w:r w:rsidRPr="00596C0A">
        <w:rPr>
          <w:rFonts w:ascii="Century Gothic" w:hAnsi="Century Gothic" w:cs="Arial"/>
          <w:b/>
          <w:bCs/>
          <w:sz w:val="22"/>
          <w:szCs w:val="22"/>
        </w:rPr>
        <w:t>clareza</w:t>
      </w:r>
      <w:r w:rsidRPr="00596C0A">
        <w:rPr>
          <w:rFonts w:ascii="Century Gothic" w:hAnsi="Century Gothic" w:cs="Arial"/>
          <w:sz w:val="22"/>
          <w:szCs w:val="22"/>
        </w:rPr>
        <w:t xml:space="preserve"> e a </w:t>
      </w:r>
      <w:r w:rsidRPr="00596C0A">
        <w:rPr>
          <w:rFonts w:ascii="Century Gothic" w:hAnsi="Century Gothic" w:cs="Arial"/>
          <w:b/>
          <w:bCs/>
          <w:sz w:val="22"/>
          <w:szCs w:val="22"/>
        </w:rPr>
        <w:t>transparência das mensagens</w:t>
      </w:r>
      <w:r w:rsidRPr="0085493E">
        <w:rPr>
          <w:rFonts w:ascii="Century Gothic" w:hAnsi="Century Gothic" w:cs="Arial"/>
          <w:sz w:val="22"/>
          <w:szCs w:val="22"/>
        </w:rPr>
        <w:t xml:space="preserve">, </w:t>
      </w:r>
      <w:r w:rsidRPr="00596C0A">
        <w:rPr>
          <w:rFonts w:ascii="Century Gothic" w:hAnsi="Century Gothic" w:cs="Arial"/>
          <w:sz w:val="22"/>
          <w:szCs w:val="22"/>
        </w:rPr>
        <w:t xml:space="preserve">é hoje </w:t>
      </w:r>
      <w:r w:rsidRPr="00596C0A">
        <w:rPr>
          <w:rFonts w:ascii="Century Gothic" w:hAnsi="Century Gothic" w:cs="Arial"/>
          <w:b/>
          <w:bCs/>
          <w:sz w:val="22"/>
          <w:szCs w:val="22"/>
        </w:rPr>
        <w:t>mais determinante para o envolvimento cívico do que a frequência ou a visibilidade online</w:t>
      </w:r>
      <w:r w:rsidRPr="00596C0A">
        <w:rPr>
          <w:rFonts w:ascii="Century Gothic" w:hAnsi="Century Gothic" w:cs="Arial"/>
          <w:sz w:val="22"/>
          <w:szCs w:val="22"/>
        </w:rPr>
        <w:t>.</w:t>
      </w:r>
    </w:p>
    <w:p w14:paraId="69E57E28" w14:textId="77777777" w:rsidR="0085493E" w:rsidRPr="00596C0A" w:rsidRDefault="0085493E" w:rsidP="0085493E">
      <w:pPr>
        <w:spacing w:after="0" w:line="276" w:lineRule="auto"/>
        <w:jc w:val="both"/>
        <w:rPr>
          <w:rFonts w:ascii="Century Gothic" w:hAnsi="Century Gothic" w:cs="Arial"/>
          <w:sz w:val="22"/>
          <w:szCs w:val="22"/>
        </w:rPr>
      </w:pPr>
    </w:p>
    <w:p w14:paraId="693AF6C2" w14:textId="54EB5525" w:rsidR="0085493E" w:rsidRDefault="0085493E" w:rsidP="0085493E">
      <w:pPr>
        <w:spacing w:after="0" w:line="276" w:lineRule="auto"/>
        <w:jc w:val="both"/>
        <w:rPr>
          <w:rFonts w:ascii="Century Gothic" w:hAnsi="Century Gothic" w:cs="Arial"/>
          <w:sz w:val="22"/>
          <w:szCs w:val="22"/>
        </w:rPr>
      </w:pPr>
      <w:r w:rsidRPr="00596C0A">
        <w:rPr>
          <w:rFonts w:ascii="Century Gothic" w:hAnsi="Century Gothic" w:cs="Arial"/>
          <w:sz w:val="22"/>
          <w:szCs w:val="22"/>
        </w:rPr>
        <w:t xml:space="preserve">Com </w:t>
      </w:r>
      <w:r w:rsidRPr="00297B8F">
        <w:rPr>
          <w:rFonts w:ascii="Century Gothic" w:hAnsi="Century Gothic" w:cs="Arial"/>
          <w:b/>
          <w:sz w:val="22"/>
          <w:szCs w:val="22"/>
        </w:rPr>
        <w:t>da</w:t>
      </w:r>
      <w:r w:rsidRPr="00297B8F">
        <w:rPr>
          <w:rFonts w:ascii="Century Gothic" w:hAnsi="Century Gothic" w:cs="Arial"/>
          <w:b/>
          <w:bCs/>
          <w:sz w:val="22"/>
          <w:szCs w:val="22"/>
        </w:rPr>
        <w:t xml:space="preserve">dos </w:t>
      </w:r>
      <w:r w:rsidRPr="00596C0A">
        <w:rPr>
          <w:rFonts w:ascii="Century Gothic" w:hAnsi="Century Gothic" w:cs="Arial"/>
          <w:b/>
          <w:bCs/>
          <w:sz w:val="22"/>
          <w:szCs w:val="22"/>
        </w:rPr>
        <w:t>recolhidos em 2024 e replicados em 2025, em períodos próximos de atos eleitorais</w:t>
      </w:r>
      <w:r w:rsidRPr="00596C0A">
        <w:rPr>
          <w:rFonts w:ascii="Century Gothic" w:hAnsi="Century Gothic" w:cs="Arial"/>
          <w:sz w:val="22"/>
          <w:szCs w:val="22"/>
        </w:rPr>
        <w:t xml:space="preserve">, o estudo mostra que </w:t>
      </w:r>
      <w:r w:rsidRPr="00596C0A">
        <w:rPr>
          <w:rFonts w:ascii="Century Gothic" w:hAnsi="Century Gothic" w:cs="Arial"/>
          <w:b/>
          <w:bCs/>
          <w:sz w:val="22"/>
          <w:szCs w:val="22"/>
        </w:rPr>
        <w:t>67,2% dos jovens consideram a informação política digital essencial para o seu envolvimento cívico</w:t>
      </w:r>
      <w:r w:rsidRPr="00596C0A">
        <w:rPr>
          <w:rFonts w:ascii="Century Gothic" w:hAnsi="Century Gothic" w:cs="Arial"/>
          <w:sz w:val="22"/>
          <w:szCs w:val="22"/>
        </w:rPr>
        <w:t xml:space="preserve">. No entanto, apenas </w:t>
      </w:r>
      <w:r w:rsidRPr="00596C0A">
        <w:rPr>
          <w:rFonts w:ascii="Century Gothic" w:hAnsi="Century Gothic" w:cs="Arial"/>
          <w:b/>
          <w:bCs/>
          <w:sz w:val="22"/>
          <w:szCs w:val="22"/>
        </w:rPr>
        <w:t>27,6% afirmam confiar na informação política que circula nas plataformas digitais</w:t>
      </w:r>
      <w:r w:rsidRPr="00596C0A">
        <w:rPr>
          <w:rFonts w:ascii="Century Gothic" w:hAnsi="Century Gothic" w:cs="Arial"/>
          <w:sz w:val="22"/>
          <w:szCs w:val="22"/>
        </w:rPr>
        <w:t>, evidenciando um fosso crescente entre exposição e credibilidade</w:t>
      </w:r>
      <w:r>
        <w:rPr>
          <w:rFonts w:ascii="Century Gothic" w:hAnsi="Century Gothic" w:cs="Arial"/>
          <w:sz w:val="22"/>
          <w:szCs w:val="22"/>
        </w:rPr>
        <w:t>.</w:t>
      </w:r>
    </w:p>
    <w:p w14:paraId="027BBC20" w14:textId="77777777" w:rsidR="0085493E" w:rsidRPr="00596C0A" w:rsidRDefault="0085493E" w:rsidP="0085493E">
      <w:pPr>
        <w:spacing w:after="0" w:line="276" w:lineRule="auto"/>
        <w:jc w:val="both"/>
        <w:rPr>
          <w:rFonts w:ascii="Century Gothic" w:hAnsi="Century Gothic" w:cs="Arial"/>
          <w:sz w:val="22"/>
          <w:szCs w:val="22"/>
        </w:rPr>
      </w:pPr>
    </w:p>
    <w:p w14:paraId="161953C2" w14:textId="0A2DDE8F" w:rsidR="0085493E" w:rsidRDefault="0085493E" w:rsidP="0085493E">
      <w:pPr>
        <w:spacing w:after="0" w:line="276" w:lineRule="auto"/>
        <w:jc w:val="both"/>
        <w:rPr>
          <w:rFonts w:ascii="Century Gothic" w:hAnsi="Century Gothic" w:cs="Arial"/>
          <w:sz w:val="22"/>
          <w:szCs w:val="22"/>
        </w:rPr>
      </w:pPr>
      <w:r w:rsidRPr="00596C0A">
        <w:rPr>
          <w:rFonts w:ascii="Century Gothic" w:hAnsi="Century Gothic" w:cs="Arial"/>
          <w:sz w:val="22"/>
          <w:szCs w:val="22"/>
        </w:rPr>
        <w:t xml:space="preserve">A perceção de desinformação é generalizada: </w:t>
      </w:r>
      <w:r w:rsidRPr="00596C0A">
        <w:rPr>
          <w:rFonts w:ascii="Century Gothic" w:hAnsi="Century Gothic" w:cs="Arial"/>
          <w:b/>
          <w:bCs/>
          <w:sz w:val="22"/>
          <w:szCs w:val="22"/>
        </w:rPr>
        <w:t xml:space="preserve">58,5% dos jovens reconhecem que as plataformas digitais contribuem para a disseminação de </w:t>
      </w:r>
      <w:r w:rsidR="001663EE" w:rsidRPr="001663EE">
        <w:rPr>
          <w:rFonts w:ascii="Century Gothic" w:hAnsi="Century Gothic" w:cs="Arial"/>
          <w:b/>
          <w:bCs/>
          <w:sz w:val="22"/>
          <w:szCs w:val="22"/>
        </w:rPr>
        <w:t xml:space="preserve">conteúdo </w:t>
      </w:r>
      <w:r w:rsidR="005676E3">
        <w:rPr>
          <w:rFonts w:ascii="Century Gothic" w:hAnsi="Century Gothic" w:cs="Arial"/>
          <w:b/>
          <w:bCs/>
          <w:sz w:val="22"/>
          <w:szCs w:val="22"/>
        </w:rPr>
        <w:t>pouco credível</w:t>
      </w:r>
      <w:r w:rsidRPr="00596C0A">
        <w:rPr>
          <w:rFonts w:ascii="Century Gothic" w:hAnsi="Century Gothic" w:cs="Arial"/>
          <w:sz w:val="22"/>
          <w:szCs w:val="22"/>
        </w:rPr>
        <w:t xml:space="preserve">. Ainda assim, esta consciência não afasta os jovens da política. Pelo contrário, </w:t>
      </w:r>
      <w:r w:rsidRPr="0085493E">
        <w:rPr>
          <w:rFonts w:ascii="Century Gothic" w:hAnsi="Century Gothic" w:cs="Arial"/>
          <w:sz w:val="22"/>
          <w:szCs w:val="22"/>
        </w:rPr>
        <w:t>a análise do IPAM conclui</w:t>
      </w:r>
      <w:r w:rsidRPr="00596C0A">
        <w:rPr>
          <w:rFonts w:ascii="Century Gothic" w:hAnsi="Century Gothic" w:cs="Arial"/>
          <w:sz w:val="22"/>
          <w:szCs w:val="22"/>
        </w:rPr>
        <w:t xml:space="preserve"> que os jovens demonstram uma maturidade crítica crescente, distinguindo cada vez mais entre estar exposto à comunicação política e sentir-se verdadeiramente envolvido</w:t>
      </w:r>
      <w:r w:rsidR="002D1E2F">
        <w:rPr>
          <w:rFonts w:ascii="Century Gothic" w:hAnsi="Century Gothic" w:cs="Arial"/>
          <w:sz w:val="22"/>
          <w:szCs w:val="22"/>
        </w:rPr>
        <w:t>.</w:t>
      </w:r>
    </w:p>
    <w:p w14:paraId="0349452A" w14:textId="77777777" w:rsidR="002D1E2F" w:rsidRPr="00596C0A" w:rsidRDefault="002D1E2F" w:rsidP="0085493E">
      <w:pPr>
        <w:spacing w:after="0" w:line="276" w:lineRule="auto"/>
        <w:jc w:val="both"/>
        <w:rPr>
          <w:rFonts w:ascii="Century Gothic" w:hAnsi="Century Gothic" w:cs="Arial"/>
          <w:sz w:val="22"/>
          <w:szCs w:val="22"/>
        </w:rPr>
      </w:pPr>
    </w:p>
    <w:p w14:paraId="64AF06CD" w14:textId="77777777" w:rsidR="0085493E" w:rsidRDefault="0085493E" w:rsidP="0085493E">
      <w:pPr>
        <w:spacing w:after="0" w:line="276" w:lineRule="auto"/>
        <w:jc w:val="both"/>
        <w:rPr>
          <w:rFonts w:ascii="Century Gothic" w:hAnsi="Century Gothic" w:cs="Arial"/>
          <w:sz w:val="22"/>
          <w:szCs w:val="22"/>
        </w:rPr>
      </w:pPr>
      <w:r w:rsidRPr="0085493E">
        <w:rPr>
          <w:rFonts w:ascii="Century Gothic" w:hAnsi="Century Gothic" w:cs="Arial"/>
          <w:sz w:val="22"/>
          <w:szCs w:val="22"/>
        </w:rPr>
        <w:t>Outro dado relevante</w:t>
      </w:r>
      <w:r w:rsidRPr="00596C0A">
        <w:rPr>
          <w:rFonts w:ascii="Century Gothic" w:hAnsi="Century Gothic" w:cs="Arial"/>
          <w:sz w:val="22"/>
          <w:szCs w:val="22"/>
        </w:rPr>
        <w:t xml:space="preserve"> do estudo prende-se com a clareza da comunicação dos programas eleitorais. Apenas </w:t>
      </w:r>
      <w:r w:rsidRPr="00596C0A">
        <w:rPr>
          <w:rFonts w:ascii="Century Gothic" w:hAnsi="Century Gothic" w:cs="Arial"/>
          <w:b/>
          <w:bCs/>
          <w:sz w:val="22"/>
          <w:szCs w:val="22"/>
        </w:rPr>
        <w:t>35</w:t>
      </w:r>
      <w:r w:rsidRPr="00F217D4">
        <w:rPr>
          <w:rFonts w:ascii="Century Gothic" w:hAnsi="Century Gothic" w:cs="Arial"/>
          <w:b/>
          <w:bCs/>
          <w:sz w:val="22"/>
          <w:szCs w:val="22"/>
        </w:rPr>
        <w:t xml:space="preserve"> </w:t>
      </w:r>
      <w:r w:rsidRPr="00596C0A">
        <w:rPr>
          <w:rFonts w:ascii="Century Gothic" w:hAnsi="Century Gothic" w:cs="Arial"/>
          <w:b/>
          <w:bCs/>
          <w:sz w:val="22"/>
          <w:szCs w:val="22"/>
        </w:rPr>
        <w:t>% dos jovens consideram que os partidos comunicam os seus programas de forma clara</w:t>
      </w:r>
      <w:r w:rsidRPr="00596C0A">
        <w:rPr>
          <w:rFonts w:ascii="Century Gothic" w:hAnsi="Century Gothic" w:cs="Arial"/>
          <w:sz w:val="22"/>
          <w:szCs w:val="22"/>
        </w:rPr>
        <w:t xml:space="preserve">. </w:t>
      </w:r>
      <w:r w:rsidRPr="0085493E">
        <w:rPr>
          <w:rFonts w:ascii="Century Gothic" w:hAnsi="Century Gothic" w:cs="Arial"/>
          <w:sz w:val="22"/>
          <w:szCs w:val="22"/>
        </w:rPr>
        <w:t>Contudo</w:t>
      </w:r>
      <w:r w:rsidRPr="00596C0A">
        <w:rPr>
          <w:rFonts w:ascii="Century Gothic" w:hAnsi="Century Gothic" w:cs="Arial"/>
          <w:sz w:val="22"/>
          <w:szCs w:val="22"/>
        </w:rPr>
        <w:t xml:space="preserve">, entre este grupo, observa-se um aumento significativo da confiança na informação política, </w:t>
      </w:r>
      <w:r w:rsidRPr="0085493E">
        <w:rPr>
          <w:rFonts w:ascii="Century Gothic" w:hAnsi="Century Gothic" w:cs="Arial"/>
          <w:sz w:val="22"/>
          <w:szCs w:val="22"/>
        </w:rPr>
        <w:t xml:space="preserve">o que vem </w:t>
      </w:r>
      <w:r w:rsidRPr="00596C0A">
        <w:rPr>
          <w:rFonts w:ascii="Century Gothic" w:hAnsi="Century Gothic" w:cs="Arial"/>
          <w:sz w:val="22"/>
          <w:szCs w:val="22"/>
        </w:rPr>
        <w:t>reforça</w:t>
      </w:r>
      <w:r w:rsidRPr="0085493E">
        <w:rPr>
          <w:rFonts w:ascii="Century Gothic" w:hAnsi="Century Gothic" w:cs="Arial"/>
          <w:sz w:val="22"/>
          <w:szCs w:val="22"/>
        </w:rPr>
        <w:t xml:space="preserve">r </w:t>
      </w:r>
      <w:r w:rsidRPr="00596C0A">
        <w:rPr>
          <w:rFonts w:ascii="Century Gothic" w:hAnsi="Century Gothic" w:cs="Arial"/>
          <w:sz w:val="22"/>
          <w:szCs w:val="22"/>
        </w:rPr>
        <w:t>a ideia de que mensagens bem estruturadas têm impacto direto no envolvimento cívico.</w:t>
      </w:r>
    </w:p>
    <w:p w14:paraId="6AA2EC50" w14:textId="77777777" w:rsidR="002D1E2F" w:rsidRPr="00596C0A" w:rsidRDefault="002D1E2F" w:rsidP="0085493E">
      <w:pPr>
        <w:spacing w:after="0" w:line="276" w:lineRule="auto"/>
        <w:jc w:val="both"/>
        <w:rPr>
          <w:rFonts w:ascii="Century Gothic" w:hAnsi="Century Gothic" w:cs="Arial"/>
          <w:sz w:val="22"/>
          <w:szCs w:val="22"/>
        </w:rPr>
      </w:pPr>
    </w:p>
    <w:p w14:paraId="3D4529DE" w14:textId="14FDAC9E" w:rsidR="002D1E2F" w:rsidRPr="00596C0A" w:rsidRDefault="0085493E" w:rsidP="0085493E">
      <w:pPr>
        <w:spacing w:after="0" w:line="276" w:lineRule="auto"/>
        <w:jc w:val="both"/>
        <w:rPr>
          <w:rFonts w:ascii="Century Gothic" w:hAnsi="Century Gothic" w:cs="Arial"/>
          <w:sz w:val="22"/>
          <w:szCs w:val="22"/>
        </w:rPr>
      </w:pPr>
      <w:r w:rsidRPr="00596C0A">
        <w:rPr>
          <w:rFonts w:ascii="Century Gothic" w:hAnsi="Century Gothic" w:cs="Arial"/>
          <w:sz w:val="22"/>
          <w:szCs w:val="22"/>
        </w:rPr>
        <w:t xml:space="preserve">A transparência surge como outro fator decisivo. </w:t>
      </w:r>
      <w:r w:rsidRPr="00596C0A">
        <w:rPr>
          <w:rFonts w:ascii="Century Gothic" w:hAnsi="Century Gothic" w:cs="Arial"/>
          <w:b/>
          <w:bCs/>
          <w:sz w:val="22"/>
          <w:szCs w:val="22"/>
        </w:rPr>
        <w:t>Mais de metade dos jovens (51,1%) concorda que a comunicação política digital aumenta a transparência</w:t>
      </w:r>
      <w:r w:rsidRPr="00596C0A">
        <w:rPr>
          <w:rFonts w:ascii="Century Gothic" w:hAnsi="Century Gothic" w:cs="Arial"/>
          <w:sz w:val="22"/>
          <w:szCs w:val="22"/>
        </w:rPr>
        <w:t>, e esta perceção está fortemente associada a níveis mais elevados de participação e interesse político, tanto em 2024</w:t>
      </w:r>
      <w:r w:rsidRPr="0085493E">
        <w:rPr>
          <w:rFonts w:ascii="Century Gothic" w:hAnsi="Century Gothic" w:cs="Arial"/>
          <w:sz w:val="22"/>
          <w:szCs w:val="22"/>
        </w:rPr>
        <w:t>,</w:t>
      </w:r>
      <w:r w:rsidRPr="00596C0A">
        <w:rPr>
          <w:rFonts w:ascii="Century Gothic" w:hAnsi="Century Gothic" w:cs="Arial"/>
          <w:sz w:val="22"/>
          <w:szCs w:val="22"/>
        </w:rPr>
        <w:t xml:space="preserve"> como em 2025, indicando uma tendência consistente ao longo do tempo.</w:t>
      </w:r>
    </w:p>
    <w:p w14:paraId="56AB7E84" w14:textId="6DD0D7F8" w:rsidR="00297B8F" w:rsidRPr="006324C7" w:rsidRDefault="00297B8F" w:rsidP="006324C7">
      <w:pPr>
        <w:spacing w:before="100" w:beforeAutospacing="1" w:after="100" w:afterAutospacing="1" w:line="276" w:lineRule="auto"/>
        <w:jc w:val="both"/>
        <w:rPr>
          <w:rFonts w:ascii="Century Gothic" w:eastAsia="Times New Roman" w:hAnsi="Century Gothic" w:cs="Times New Roman"/>
          <w:kern w:val="0"/>
          <w:sz w:val="22"/>
          <w:szCs w:val="20"/>
          <w:lang w:eastAsia="pt-PT"/>
          <w14:ligatures w14:val="none"/>
        </w:rPr>
      </w:pPr>
      <w:r w:rsidRPr="006324C7">
        <w:rPr>
          <w:rFonts w:ascii="Century Gothic" w:eastAsia="Times New Roman" w:hAnsi="Century Gothic" w:cs="Times New Roman"/>
          <w:kern w:val="0"/>
          <w:sz w:val="22"/>
          <w:szCs w:val="20"/>
          <w:lang w:eastAsia="pt-PT"/>
          <w14:ligatures w14:val="none"/>
        </w:rPr>
        <w:t xml:space="preserve">Apesar </w:t>
      </w:r>
      <w:r w:rsidR="006324C7" w:rsidRPr="006324C7">
        <w:rPr>
          <w:rFonts w:ascii="Century Gothic" w:eastAsia="Times New Roman" w:hAnsi="Century Gothic" w:cs="Times New Roman"/>
          <w:kern w:val="0"/>
          <w:sz w:val="22"/>
          <w:szCs w:val="20"/>
          <w:lang w:eastAsia="pt-PT"/>
          <w14:ligatures w14:val="none"/>
        </w:rPr>
        <w:t xml:space="preserve">do </w:t>
      </w:r>
      <w:r w:rsidRPr="006324C7">
        <w:rPr>
          <w:rFonts w:ascii="Century Gothic" w:eastAsia="Times New Roman" w:hAnsi="Century Gothic" w:cs="Times New Roman"/>
          <w:kern w:val="0"/>
          <w:sz w:val="22"/>
          <w:szCs w:val="20"/>
          <w:lang w:eastAsia="pt-PT"/>
          <w14:ligatures w14:val="none"/>
        </w:rPr>
        <w:t>olhar crítico</w:t>
      </w:r>
      <w:r w:rsidR="006324C7" w:rsidRPr="006324C7">
        <w:rPr>
          <w:rFonts w:ascii="Century Gothic" w:eastAsia="Times New Roman" w:hAnsi="Century Gothic" w:cs="Times New Roman"/>
          <w:kern w:val="0"/>
          <w:sz w:val="22"/>
          <w:szCs w:val="20"/>
          <w:lang w:eastAsia="pt-PT"/>
          <w14:ligatures w14:val="none"/>
        </w:rPr>
        <w:t xml:space="preserve"> sobre a comunicação digital</w:t>
      </w:r>
      <w:r w:rsidRPr="006324C7">
        <w:rPr>
          <w:rFonts w:ascii="Century Gothic" w:eastAsia="Times New Roman" w:hAnsi="Century Gothic" w:cs="Times New Roman"/>
          <w:kern w:val="0"/>
          <w:sz w:val="22"/>
          <w:szCs w:val="20"/>
          <w:lang w:eastAsia="pt-PT"/>
          <w14:ligatures w14:val="none"/>
        </w:rPr>
        <w:t xml:space="preserve">, os dados indicam uma </w:t>
      </w:r>
      <w:r w:rsidRPr="006324C7">
        <w:rPr>
          <w:rFonts w:ascii="Century Gothic" w:eastAsia="Times New Roman" w:hAnsi="Century Gothic" w:cs="Times New Roman"/>
          <w:b/>
          <w:bCs/>
          <w:kern w:val="0"/>
          <w:sz w:val="22"/>
          <w:szCs w:val="20"/>
          <w:lang w:eastAsia="pt-PT"/>
          <w14:ligatures w14:val="none"/>
        </w:rPr>
        <w:t>forte predisposição para a participação eleitoral</w:t>
      </w:r>
      <w:r w:rsidRPr="006324C7">
        <w:rPr>
          <w:rFonts w:ascii="Century Gothic" w:eastAsia="Times New Roman" w:hAnsi="Century Gothic" w:cs="Times New Roman"/>
          <w:kern w:val="0"/>
          <w:sz w:val="22"/>
          <w:szCs w:val="20"/>
          <w:lang w:eastAsia="pt-PT"/>
          <w14:ligatures w14:val="none"/>
        </w:rPr>
        <w:t xml:space="preserve">: </w:t>
      </w:r>
      <w:r w:rsidRPr="006324C7">
        <w:rPr>
          <w:rFonts w:ascii="Century Gothic" w:eastAsia="Times New Roman" w:hAnsi="Century Gothic" w:cs="Times New Roman"/>
          <w:b/>
          <w:bCs/>
          <w:kern w:val="0"/>
          <w:sz w:val="22"/>
          <w:szCs w:val="20"/>
          <w:lang w:eastAsia="pt-PT"/>
          <w14:ligatures w14:val="none"/>
        </w:rPr>
        <w:t>88,9% dos jovens inquiridos afirmam ter votado nas últimas eleições legislativas</w:t>
      </w:r>
      <w:r w:rsidRPr="006324C7">
        <w:rPr>
          <w:rFonts w:ascii="Century Gothic" w:eastAsia="Times New Roman" w:hAnsi="Century Gothic" w:cs="Times New Roman"/>
          <w:kern w:val="0"/>
          <w:sz w:val="22"/>
          <w:szCs w:val="20"/>
          <w:lang w:eastAsia="pt-PT"/>
          <w14:ligatures w14:val="none"/>
        </w:rPr>
        <w:t>. Para os autores do estudo, este resultado desmont</w:t>
      </w:r>
      <w:r w:rsidR="006324C7" w:rsidRPr="006324C7">
        <w:rPr>
          <w:rFonts w:ascii="Century Gothic" w:eastAsia="Times New Roman" w:hAnsi="Century Gothic" w:cs="Times New Roman"/>
          <w:kern w:val="0"/>
          <w:sz w:val="22"/>
          <w:szCs w:val="20"/>
          <w:lang w:eastAsia="pt-PT"/>
          <w14:ligatures w14:val="none"/>
        </w:rPr>
        <w:t>r</w:t>
      </w:r>
      <w:r w:rsidRPr="006324C7">
        <w:rPr>
          <w:rFonts w:ascii="Century Gothic" w:eastAsia="Times New Roman" w:hAnsi="Century Gothic" w:cs="Times New Roman"/>
          <w:kern w:val="0"/>
          <w:sz w:val="22"/>
          <w:szCs w:val="20"/>
          <w:lang w:eastAsia="pt-PT"/>
          <w14:ligatures w14:val="none"/>
        </w:rPr>
        <w:t xml:space="preserve">a a ideia de </w:t>
      </w:r>
      <w:r w:rsidR="006324C7" w:rsidRPr="006324C7">
        <w:rPr>
          <w:rFonts w:ascii="Century Gothic" w:eastAsia="Times New Roman" w:hAnsi="Century Gothic" w:cs="Times New Roman"/>
          <w:kern w:val="0"/>
          <w:sz w:val="22"/>
          <w:szCs w:val="20"/>
          <w:lang w:eastAsia="pt-PT"/>
          <w14:ligatures w14:val="none"/>
        </w:rPr>
        <w:t>apatia juvenil.</w:t>
      </w:r>
    </w:p>
    <w:p w14:paraId="3787BF29" w14:textId="77777777" w:rsidR="00297B8F" w:rsidRPr="00596C0A" w:rsidRDefault="00297B8F" w:rsidP="0085493E">
      <w:pPr>
        <w:spacing w:after="0" w:line="276" w:lineRule="auto"/>
        <w:jc w:val="both"/>
        <w:rPr>
          <w:rFonts w:ascii="Century Gothic" w:hAnsi="Century Gothic" w:cs="Arial"/>
          <w:sz w:val="22"/>
          <w:szCs w:val="22"/>
        </w:rPr>
      </w:pPr>
    </w:p>
    <w:p w14:paraId="25AA9252" w14:textId="1EE0CA55" w:rsidR="0085493E" w:rsidRPr="004E5288" w:rsidRDefault="0085493E" w:rsidP="0085493E">
      <w:pPr>
        <w:spacing w:after="0" w:line="276" w:lineRule="auto"/>
        <w:jc w:val="both"/>
        <w:rPr>
          <w:rFonts w:ascii="Century Gothic" w:hAnsi="Century Gothic" w:cs="Arial"/>
          <w:b/>
          <w:bCs/>
          <w:sz w:val="22"/>
          <w:szCs w:val="22"/>
        </w:rPr>
      </w:pPr>
      <w:r w:rsidRPr="00E75D3D">
        <w:rPr>
          <w:rFonts w:ascii="Century Gothic" w:hAnsi="Century Gothic" w:cs="Arial"/>
          <w:i/>
          <w:iCs/>
          <w:sz w:val="22"/>
          <w:szCs w:val="22"/>
        </w:rPr>
        <w:t>“Num contexto de aproximação das eleições presidenciais, o principal risco para candidatos e partidos não é a ausência nas redes sociais, mas uma presença pouco esclarecedora. Estratégias centradas apenas no volume de conteúdos ou na multiplicação de plataformas tendem a ter efeitos limitados junto de um eleitorado jovem atento, informado e exigente. Para mobilizar este segmento, não basta estar online: é decisivo comunicar com clareza, consistência e transparência”</w:t>
      </w:r>
      <w:r w:rsidRPr="0085493E">
        <w:rPr>
          <w:rFonts w:ascii="Century Gothic" w:hAnsi="Century Gothic" w:cs="Arial"/>
          <w:sz w:val="22"/>
          <w:szCs w:val="22"/>
        </w:rPr>
        <w:t xml:space="preserve">, afirma </w:t>
      </w:r>
      <w:r w:rsidRPr="004E5288">
        <w:rPr>
          <w:rFonts w:ascii="Century Gothic" w:hAnsi="Century Gothic" w:cs="Arial"/>
          <w:b/>
          <w:bCs/>
          <w:sz w:val="22"/>
          <w:szCs w:val="22"/>
        </w:rPr>
        <w:t xml:space="preserve">Catarina Domingos, </w:t>
      </w:r>
      <w:r w:rsidR="006324C7" w:rsidRPr="005676E3">
        <w:rPr>
          <w:rFonts w:ascii="Century Gothic" w:hAnsi="Century Gothic" w:cs="Arial"/>
          <w:b/>
          <w:bCs/>
          <w:iCs/>
          <w:sz w:val="22"/>
          <w:szCs w:val="22"/>
        </w:rPr>
        <w:t>Professora do IPAM</w:t>
      </w:r>
      <w:r w:rsidR="00E75D3D" w:rsidRPr="005676E3">
        <w:rPr>
          <w:rFonts w:ascii="Century Gothic" w:hAnsi="Century Gothic" w:cs="Arial"/>
          <w:b/>
          <w:bCs/>
          <w:sz w:val="22"/>
          <w:szCs w:val="22"/>
        </w:rPr>
        <w:t xml:space="preserve"> e</w:t>
      </w:r>
      <w:r w:rsidR="00E75D3D" w:rsidRPr="004E5288">
        <w:rPr>
          <w:rFonts w:ascii="Century Gothic" w:hAnsi="Century Gothic" w:cs="Arial"/>
          <w:b/>
          <w:bCs/>
          <w:sz w:val="22"/>
          <w:szCs w:val="22"/>
        </w:rPr>
        <w:t xml:space="preserve"> </w:t>
      </w:r>
      <w:r w:rsidRPr="004E5288">
        <w:rPr>
          <w:rFonts w:ascii="Century Gothic" w:hAnsi="Century Gothic" w:cs="Arial"/>
          <w:b/>
          <w:bCs/>
          <w:sz w:val="22"/>
          <w:szCs w:val="22"/>
        </w:rPr>
        <w:t>uma das autoras do estudo.</w:t>
      </w:r>
    </w:p>
    <w:p w14:paraId="2A3E0957" w14:textId="77777777" w:rsidR="002D1E2F" w:rsidRPr="0085493E" w:rsidRDefault="002D1E2F" w:rsidP="0085493E">
      <w:pPr>
        <w:spacing w:after="0" w:line="276" w:lineRule="auto"/>
        <w:jc w:val="both"/>
        <w:rPr>
          <w:rFonts w:ascii="Century Gothic" w:hAnsi="Century Gothic" w:cs="Arial"/>
          <w:sz w:val="22"/>
          <w:szCs w:val="22"/>
        </w:rPr>
      </w:pPr>
    </w:p>
    <w:p w14:paraId="1BBC2C35" w14:textId="77777777" w:rsidR="0085493E" w:rsidRPr="0085493E" w:rsidRDefault="0085493E" w:rsidP="0085493E">
      <w:pPr>
        <w:spacing w:after="0" w:line="276" w:lineRule="auto"/>
        <w:jc w:val="both"/>
        <w:rPr>
          <w:rFonts w:ascii="Century Gothic" w:hAnsi="Century Gothic" w:cs="Arial"/>
          <w:sz w:val="22"/>
          <w:szCs w:val="22"/>
        </w:rPr>
      </w:pPr>
    </w:p>
    <w:p w14:paraId="1CF8AD9F" w14:textId="77777777" w:rsidR="0085493E" w:rsidRPr="002D1E2F" w:rsidRDefault="0085493E" w:rsidP="0085493E">
      <w:pPr>
        <w:spacing w:after="0" w:line="276" w:lineRule="auto"/>
        <w:jc w:val="both"/>
        <w:rPr>
          <w:rFonts w:ascii="Century Gothic" w:hAnsi="Century Gothic" w:cs="Arial"/>
          <w:b/>
          <w:bCs/>
          <w:sz w:val="22"/>
          <w:szCs w:val="22"/>
        </w:rPr>
      </w:pPr>
      <w:r w:rsidRPr="002D1E2F">
        <w:rPr>
          <w:rFonts w:ascii="Century Gothic" w:hAnsi="Century Gothic" w:cs="Arial"/>
          <w:b/>
          <w:bCs/>
          <w:sz w:val="22"/>
          <w:szCs w:val="22"/>
        </w:rPr>
        <w:t>Ficha técnica</w:t>
      </w:r>
    </w:p>
    <w:p w14:paraId="0B29615D" w14:textId="5D008647" w:rsidR="0085493E" w:rsidRPr="0085493E" w:rsidRDefault="0085493E" w:rsidP="0085493E">
      <w:pPr>
        <w:spacing w:after="0" w:line="276" w:lineRule="auto"/>
        <w:jc w:val="both"/>
        <w:rPr>
          <w:rFonts w:ascii="Century Gothic" w:hAnsi="Century Gothic" w:cs="Arial"/>
          <w:sz w:val="22"/>
          <w:szCs w:val="22"/>
        </w:rPr>
      </w:pPr>
      <w:r w:rsidRPr="0085493E">
        <w:rPr>
          <w:rFonts w:ascii="Century Gothic" w:hAnsi="Century Gothic" w:cs="Arial"/>
          <w:sz w:val="22"/>
          <w:szCs w:val="22"/>
        </w:rPr>
        <w:t xml:space="preserve">Trata-se de um estudo académico realizado </w:t>
      </w:r>
      <w:r w:rsidR="00AB696D">
        <w:rPr>
          <w:rFonts w:ascii="Century Gothic" w:hAnsi="Century Gothic" w:cs="Arial"/>
          <w:sz w:val="22"/>
          <w:szCs w:val="22"/>
        </w:rPr>
        <w:t>pel</w:t>
      </w:r>
      <w:r w:rsidRPr="0085493E">
        <w:rPr>
          <w:rFonts w:ascii="Century Gothic" w:hAnsi="Century Gothic" w:cs="Arial"/>
          <w:sz w:val="22"/>
          <w:szCs w:val="22"/>
        </w:rPr>
        <w:t xml:space="preserve">o IPAM Porto que analisou a relação entre comunicação política digital e </w:t>
      </w:r>
      <w:r w:rsidR="00297B8F">
        <w:rPr>
          <w:rFonts w:ascii="Century Gothic" w:hAnsi="Century Gothic" w:cs="Arial"/>
          <w:sz w:val="22"/>
          <w:szCs w:val="22"/>
        </w:rPr>
        <w:t xml:space="preserve">o </w:t>
      </w:r>
      <w:r w:rsidRPr="0085493E">
        <w:rPr>
          <w:rFonts w:ascii="Century Gothic" w:hAnsi="Century Gothic" w:cs="Arial"/>
          <w:sz w:val="22"/>
          <w:szCs w:val="22"/>
        </w:rPr>
        <w:t>envolvimento cívico dos jovens, com base em inquéritos aplicados a 323 indivíduos entre os 18 e os 24 anos. Os dados foram recolhidos em 2024 e novamente em 2025, em momentos próximos de atos eleitorais, quando a comunicação política digital se encontrava particularmente ativa, permitindo captar as perceções dos jovens em contextos reais de campanha. As percentagens apresentadas referem-se às respostas de 2025 (N = 323) e correspondem à soma das opções “Concordo” e “Concordo totalmente”, numa escala de 1 a 5, sendo utilizadas para comparar tendências entre 2024 e 2025, sem mistura de valores entre os dois anos.</w:t>
      </w:r>
    </w:p>
    <w:p w14:paraId="4DEF9F84" w14:textId="77777777" w:rsidR="005E3999" w:rsidRDefault="005E3999" w:rsidP="00506723">
      <w:pPr>
        <w:spacing w:after="0" w:line="276" w:lineRule="auto"/>
        <w:jc w:val="center"/>
        <w:rPr>
          <w:rFonts w:ascii="Century Gothic" w:hAnsi="Century Gothic" w:cs="Arial"/>
          <w:sz w:val="20"/>
          <w:szCs w:val="22"/>
        </w:rPr>
      </w:pPr>
    </w:p>
    <w:p w14:paraId="092D6904" w14:textId="77777777" w:rsidR="005E3999" w:rsidRDefault="005E3999" w:rsidP="00506723">
      <w:pPr>
        <w:spacing w:after="0" w:line="276" w:lineRule="auto"/>
        <w:jc w:val="center"/>
        <w:rPr>
          <w:rFonts w:ascii="Century Gothic" w:hAnsi="Century Gothic" w:cs="Arial"/>
          <w:sz w:val="20"/>
          <w:szCs w:val="22"/>
        </w:rPr>
      </w:pPr>
    </w:p>
    <w:p w14:paraId="5BBB5FF9" w14:textId="77777777" w:rsidR="00A24ED5" w:rsidRDefault="00A24ED5" w:rsidP="00B1376E">
      <w:pPr>
        <w:spacing w:after="0" w:line="24" w:lineRule="atLeast"/>
        <w:jc w:val="both"/>
        <w:rPr>
          <w:rFonts w:ascii="Century Gothic" w:hAnsi="Century Gothic" w:cstheme="minorHAnsi"/>
          <w:sz w:val="20"/>
          <w:szCs w:val="20"/>
        </w:rPr>
      </w:pPr>
    </w:p>
    <w:p w14:paraId="77D72087" w14:textId="5541397F" w:rsidR="00DB624A" w:rsidRPr="00506723" w:rsidRDefault="008B2E26">
      <w:pPr>
        <w:rPr>
          <w:rFonts w:ascii="Century Gothic" w:hAnsi="Century Gothic"/>
          <w:sz w:val="18"/>
          <w:szCs w:val="18"/>
        </w:rPr>
      </w:pPr>
      <w:r w:rsidRPr="00506723">
        <w:rPr>
          <w:rFonts w:ascii="Century Gothic" w:hAnsi="Century Gothic"/>
          <w:b/>
          <w:sz w:val="18"/>
          <w:szCs w:val="18"/>
        </w:rPr>
        <w:t>Para mais informações</w:t>
      </w:r>
      <w:r w:rsidR="00B1376E" w:rsidRPr="00506723">
        <w:rPr>
          <w:rFonts w:ascii="Century Gothic" w:hAnsi="Century Gothic"/>
          <w:b/>
          <w:sz w:val="18"/>
          <w:szCs w:val="18"/>
        </w:rPr>
        <w:t>, favor contactar</w:t>
      </w:r>
      <w:r w:rsidRPr="00506723">
        <w:rPr>
          <w:rFonts w:ascii="Century Gothic" w:hAnsi="Century Gothic"/>
          <w:sz w:val="18"/>
          <w:szCs w:val="18"/>
        </w:rPr>
        <w:t>:</w:t>
      </w:r>
    </w:p>
    <w:p w14:paraId="7F800919" w14:textId="77777777" w:rsidR="009C4AE2" w:rsidRPr="00506723" w:rsidRDefault="009C4AE2">
      <w:pPr>
        <w:rPr>
          <w:rFonts w:ascii="Century Gothic" w:hAnsi="Century Gothic"/>
          <w:sz w:val="18"/>
          <w:szCs w:val="18"/>
        </w:rPr>
      </w:pPr>
    </w:p>
    <w:p w14:paraId="01CEE3C8" w14:textId="77777777" w:rsidR="009C4AE2" w:rsidRPr="00506723" w:rsidRDefault="009C4AE2" w:rsidP="009C4AE2">
      <w:pPr>
        <w:pStyle w:val="NormalWeb"/>
        <w:spacing w:before="0" w:beforeAutospacing="0" w:after="0" w:afterAutospacing="0"/>
        <w:rPr>
          <w:rFonts w:ascii="Century Gothic" w:hAnsi="Century Gothic"/>
          <w:sz w:val="18"/>
          <w:szCs w:val="18"/>
        </w:rPr>
      </w:pPr>
      <w:r w:rsidRPr="00506723">
        <w:rPr>
          <w:rFonts w:ascii="Century Gothic" w:hAnsi="Century Gothic"/>
          <w:noProof/>
          <w:sz w:val="18"/>
          <w:szCs w:val="18"/>
        </w:rPr>
        <w:drawing>
          <wp:inline distT="0" distB="0" distL="0" distR="0" wp14:anchorId="3EB8AB6F" wp14:editId="4D958AFA">
            <wp:extent cx="1666170" cy="337399"/>
            <wp:effectExtent l="0" t="0" r="0" b="5715"/>
            <wp:docPr id="2" name="Imagem 2" descr="Uma imagem com preto, escuridã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m preto, escuridão&#10;&#10;Descrição gerada automaticamente"/>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2140" cy="360883"/>
                    </a:xfrm>
                    <a:prstGeom prst="rect">
                      <a:avLst/>
                    </a:prstGeom>
                    <a:noFill/>
                    <a:ln>
                      <a:noFill/>
                    </a:ln>
                  </pic:spPr>
                </pic:pic>
              </a:graphicData>
            </a:graphic>
          </wp:inline>
        </w:drawing>
      </w:r>
    </w:p>
    <w:p w14:paraId="79051A36" w14:textId="77777777" w:rsidR="009C4AE2" w:rsidRPr="00506723" w:rsidRDefault="009C4AE2" w:rsidP="009C4AE2">
      <w:pPr>
        <w:pStyle w:val="NormalWeb"/>
        <w:spacing w:before="0" w:beforeAutospacing="0" w:after="0" w:afterAutospacing="0"/>
        <w:rPr>
          <w:rFonts w:ascii="Century Gothic" w:hAnsi="Century Gothic"/>
          <w:sz w:val="18"/>
          <w:szCs w:val="18"/>
        </w:rPr>
      </w:pPr>
    </w:p>
    <w:p w14:paraId="53CB906A" w14:textId="77777777" w:rsidR="009C4AE2" w:rsidRPr="00506723" w:rsidRDefault="009C4AE2" w:rsidP="009C4AE2">
      <w:pPr>
        <w:pStyle w:val="NormalWeb"/>
        <w:spacing w:before="0" w:beforeAutospacing="0" w:after="0" w:afterAutospacing="0"/>
        <w:rPr>
          <w:rFonts w:ascii="Century Gothic" w:hAnsi="Century Gothic"/>
          <w:sz w:val="18"/>
          <w:szCs w:val="18"/>
        </w:rPr>
      </w:pPr>
      <w:r w:rsidRPr="00506723">
        <w:rPr>
          <w:rFonts w:ascii="Century Gothic" w:hAnsi="Century Gothic"/>
          <w:sz w:val="18"/>
          <w:szCs w:val="18"/>
        </w:rPr>
        <w:t>Ana Santos | </w:t>
      </w:r>
      <w:hyperlink r:id="rId11" w:tgtFrame="_blank" w:tooltip="mailto:ana.santos@lift.com.pt" w:history="1">
        <w:r w:rsidRPr="00506723">
          <w:rPr>
            <w:rStyle w:val="Hiperligao"/>
            <w:rFonts w:ascii="Century Gothic" w:eastAsiaTheme="majorEastAsia" w:hAnsi="Century Gothic"/>
            <w:sz w:val="18"/>
            <w:szCs w:val="18"/>
          </w:rPr>
          <w:t>ana.santos@lift.com.pt</w:t>
        </w:r>
      </w:hyperlink>
      <w:r w:rsidRPr="00506723">
        <w:rPr>
          <w:rFonts w:ascii="Century Gothic" w:hAnsi="Century Gothic"/>
          <w:sz w:val="18"/>
          <w:szCs w:val="18"/>
        </w:rPr>
        <w:t xml:space="preserve"> | +351 914 409 595</w:t>
      </w:r>
    </w:p>
    <w:p w14:paraId="43701A95" w14:textId="070AAEC9" w:rsidR="009C4AE2" w:rsidRPr="00506723" w:rsidRDefault="009C4AE2" w:rsidP="009C4AE2">
      <w:pPr>
        <w:spacing w:after="0" w:line="240" w:lineRule="auto"/>
        <w:rPr>
          <w:rFonts w:ascii="Century Gothic" w:eastAsia="Times New Roman" w:hAnsi="Century Gothic" w:cs="Times New Roman"/>
          <w:kern w:val="0"/>
          <w:sz w:val="18"/>
          <w:szCs w:val="18"/>
          <w:lang w:eastAsia="pt-PT"/>
          <w14:ligatures w14:val="none"/>
        </w:rPr>
      </w:pPr>
      <w:r w:rsidRPr="00506723">
        <w:rPr>
          <w:rFonts w:ascii="Century Gothic" w:hAnsi="Century Gothic"/>
          <w:sz w:val="18"/>
          <w:szCs w:val="18"/>
        </w:rPr>
        <w:t xml:space="preserve">Hugo Costa| </w:t>
      </w:r>
      <w:hyperlink r:id="rId12" w:history="1">
        <w:r w:rsidRPr="00506723">
          <w:rPr>
            <w:rStyle w:val="Hiperligao"/>
            <w:rFonts w:ascii="Century Gothic" w:hAnsi="Century Gothic"/>
            <w:sz w:val="18"/>
            <w:szCs w:val="18"/>
          </w:rPr>
          <w:t>hugo.costa@lift.com.pt</w:t>
        </w:r>
      </w:hyperlink>
      <w:r w:rsidRPr="00506723">
        <w:rPr>
          <w:rFonts w:ascii="Century Gothic" w:hAnsi="Century Gothic"/>
          <w:sz w:val="18"/>
          <w:szCs w:val="18"/>
        </w:rPr>
        <w:t xml:space="preserve"> | +351 914 409 524</w:t>
      </w:r>
    </w:p>
    <w:p w14:paraId="750DD60E" w14:textId="66822EE0" w:rsidR="009C4AE2" w:rsidRPr="00BD04DD" w:rsidRDefault="009C4AE2">
      <w:pPr>
        <w:rPr>
          <w:rFonts w:ascii="Century Gothic" w:hAnsi="Century Gothic"/>
        </w:rPr>
      </w:pPr>
    </w:p>
    <w:p w14:paraId="4EDF6D59" w14:textId="77777777" w:rsidR="00B1376E" w:rsidRDefault="00B1376E" w:rsidP="001F0885">
      <w:pPr>
        <w:spacing w:before="240" w:after="240" w:line="240" w:lineRule="auto"/>
        <w:rPr>
          <w:rFonts w:ascii="Century Gothic" w:eastAsia="Century Gothic" w:hAnsi="Century Gothic" w:cs="Century Gothic"/>
          <w:b/>
          <w:bCs/>
          <w:color w:val="000000" w:themeColor="text1"/>
          <w:sz w:val="18"/>
          <w:szCs w:val="18"/>
        </w:rPr>
      </w:pPr>
    </w:p>
    <w:p w14:paraId="39416141" w14:textId="42479301" w:rsidR="001F0885" w:rsidRPr="00506723" w:rsidRDefault="001F0885" w:rsidP="001F0885">
      <w:pPr>
        <w:spacing w:before="240" w:after="240" w:line="240" w:lineRule="auto"/>
        <w:rPr>
          <w:rFonts w:ascii="Century Gothic" w:eastAsia="Century Gothic" w:hAnsi="Century Gothic" w:cs="Century Gothic"/>
          <w:color w:val="000000" w:themeColor="text1"/>
          <w:sz w:val="16"/>
          <w:szCs w:val="16"/>
        </w:rPr>
      </w:pPr>
      <w:r w:rsidRPr="00506723">
        <w:rPr>
          <w:rFonts w:ascii="Century Gothic" w:eastAsia="Century Gothic" w:hAnsi="Century Gothic" w:cs="Century Gothic"/>
          <w:b/>
          <w:bCs/>
          <w:color w:val="000000" w:themeColor="text1"/>
          <w:sz w:val="16"/>
          <w:szCs w:val="16"/>
        </w:rPr>
        <w:t>Sobre o IPAM</w:t>
      </w:r>
    </w:p>
    <w:p w14:paraId="1C3CBC8D" w14:textId="36E714F4" w:rsidR="001F0885" w:rsidRPr="00506723" w:rsidRDefault="001F0885" w:rsidP="001F0885">
      <w:pPr>
        <w:spacing w:after="0" w:line="240" w:lineRule="auto"/>
        <w:jc w:val="both"/>
        <w:rPr>
          <w:rFonts w:ascii="Century Gothic" w:eastAsia="Century Gothic" w:hAnsi="Century Gothic" w:cs="Century Gothic"/>
          <w:color w:val="000000" w:themeColor="text1"/>
          <w:sz w:val="16"/>
          <w:szCs w:val="16"/>
        </w:rPr>
      </w:pPr>
      <w:r w:rsidRPr="00506723">
        <w:rPr>
          <w:rFonts w:ascii="Century Gothic" w:eastAsia="Century Gothic" w:hAnsi="Century Gothic" w:cs="Century Gothic"/>
          <w:color w:val="000000" w:themeColor="text1"/>
          <w:sz w:val="16"/>
          <w:szCs w:val="16"/>
        </w:rPr>
        <w:t>O IPAM lidera o ensino do Marketing em Portugal há mais de 40 anos, sendo a Marketing Business School que se dedica ao desenvolvimento de líderes de negócio capazes de criar visões estratégicas de sucesso num mundo em constante evolução. Com uma oferta educativa completa de Licenciaturas, Mestrados, Cursos</w:t>
      </w:r>
      <w:r w:rsidR="00737551" w:rsidRPr="00506723">
        <w:rPr>
          <w:rFonts w:ascii="Century Gothic" w:eastAsia="Century Gothic" w:hAnsi="Century Gothic" w:cs="Century Gothic"/>
          <w:color w:val="000000" w:themeColor="text1"/>
          <w:sz w:val="16"/>
          <w:szCs w:val="16"/>
        </w:rPr>
        <w:t xml:space="preserve"> Técnicos</w:t>
      </w:r>
      <w:r w:rsidRPr="00506723">
        <w:rPr>
          <w:rFonts w:ascii="Century Gothic" w:eastAsia="Century Gothic" w:hAnsi="Century Gothic" w:cs="Century Gothic"/>
          <w:color w:val="000000" w:themeColor="text1"/>
          <w:sz w:val="16"/>
          <w:szCs w:val="16"/>
        </w:rPr>
        <w:t xml:space="preserve"> Superiores Profissionais e Formação de Executivos nas áreas do Marketing, Negócios e Tecnologia, disponível através dos seus campus no Porto, em Lisboa ou 100% Online, o IPAM destaca-se pelo seu modelo académico imersivo e inovador com forte ligação ao mercado, em que os estudantes desenvolvem soluções para desafios reais de empresas nacionais e internacionais em cerca de 85% das unidades curriculares, potenciando a sua empregabilidade em qualquer parte do mundo.</w:t>
      </w:r>
    </w:p>
    <w:p w14:paraId="611A4111" w14:textId="77777777" w:rsidR="001F0885" w:rsidRPr="00506723" w:rsidRDefault="001F0885" w:rsidP="001F0885">
      <w:pPr>
        <w:spacing w:after="0" w:line="240" w:lineRule="auto"/>
        <w:jc w:val="both"/>
        <w:rPr>
          <w:rFonts w:ascii="Century Gothic" w:eastAsia="Century Gothic" w:hAnsi="Century Gothic" w:cs="Century Gothic"/>
          <w:color w:val="000000" w:themeColor="text1"/>
          <w:sz w:val="16"/>
          <w:szCs w:val="16"/>
        </w:rPr>
      </w:pPr>
    </w:p>
    <w:p w14:paraId="473F0CD5" w14:textId="77777777" w:rsidR="001F0885" w:rsidRPr="00506723" w:rsidRDefault="001F0885" w:rsidP="001F0885">
      <w:pPr>
        <w:spacing w:after="0" w:line="240" w:lineRule="auto"/>
        <w:jc w:val="both"/>
        <w:rPr>
          <w:rFonts w:ascii="Century Gothic" w:eastAsia="Century Gothic" w:hAnsi="Century Gothic" w:cs="Century Gothic"/>
          <w:color w:val="000000" w:themeColor="text1"/>
          <w:sz w:val="16"/>
          <w:szCs w:val="16"/>
        </w:rPr>
      </w:pPr>
      <w:r w:rsidRPr="00506723">
        <w:rPr>
          <w:rFonts w:ascii="Century Gothic" w:eastAsia="Century Gothic" w:hAnsi="Century Gothic" w:cs="Century Gothic"/>
          <w:color w:val="000000" w:themeColor="text1"/>
          <w:sz w:val="16"/>
          <w:szCs w:val="16"/>
        </w:rPr>
        <w:t>Para mais informações sobre o IPAM: </w:t>
      </w:r>
      <w:hyperlink r:id="rId13" w:tgtFrame="_blank" w:tooltip="http://www.ipam.pt/" w:history="1">
        <w:r w:rsidRPr="00506723">
          <w:rPr>
            <w:rStyle w:val="Hiperligao"/>
            <w:rFonts w:ascii="Century Gothic" w:eastAsia="Century Gothic" w:hAnsi="Century Gothic" w:cs="Century Gothic"/>
            <w:sz w:val="16"/>
            <w:szCs w:val="16"/>
          </w:rPr>
          <w:t>www.ipam.pt</w:t>
        </w:r>
      </w:hyperlink>
    </w:p>
    <w:p w14:paraId="2B4D2E1A" w14:textId="77777777" w:rsidR="001F0885" w:rsidRPr="00506723" w:rsidRDefault="001F0885">
      <w:pPr>
        <w:rPr>
          <w:rFonts w:ascii="Century Gothic" w:hAnsi="Century Gothic"/>
          <w:sz w:val="28"/>
        </w:rPr>
      </w:pPr>
    </w:p>
    <w:sectPr w:rsidR="001F0885" w:rsidRPr="00506723" w:rsidSect="003A65E1">
      <w:headerReference w:type="default" r:id="rId14"/>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170CA" w14:textId="77777777" w:rsidR="00C52C99" w:rsidRDefault="00C52C99" w:rsidP="002F5AFD">
      <w:pPr>
        <w:spacing w:after="0" w:line="240" w:lineRule="auto"/>
      </w:pPr>
      <w:r>
        <w:separator/>
      </w:r>
    </w:p>
  </w:endnote>
  <w:endnote w:type="continuationSeparator" w:id="0">
    <w:p w14:paraId="439E218B" w14:textId="77777777" w:rsidR="00C52C99" w:rsidRDefault="00C52C99" w:rsidP="002F5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4035C" w14:textId="77777777" w:rsidR="00C52C99" w:rsidRDefault="00C52C99" w:rsidP="002F5AFD">
      <w:pPr>
        <w:spacing w:after="0" w:line="240" w:lineRule="auto"/>
      </w:pPr>
      <w:r>
        <w:separator/>
      </w:r>
    </w:p>
  </w:footnote>
  <w:footnote w:type="continuationSeparator" w:id="0">
    <w:p w14:paraId="6D1047AC" w14:textId="77777777" w:rsidR="00C52C99" w:rsidRDefault="00C52C99" w:rsidP="002F5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2837C" w14:textId="0DA98F44" w:rsidR="002F5AFD" w:rsidRDefault="002F5AFD" w:rsidP="002F5AFD">
    <w:pPr>
      <w:pStyle w:val="Cabealho"/>
      <w:jc w:val="right"/>
    </w:pPr>
    <w:r w:rsidRPr="00234BBD">
      <w:rPr>
        <w:rFonts w:ascii="Century Gothic" w:hAnsi="Century Gothic"/>
        <w:noProof/>
        <w:sz w:val="20"/>
        <w:szCs w:val="20"/>
        <w:lang w:val="es-ES" w:eastAsia="es-ES"/>
      </w:rPr>
      <w:drawing>
        <wp:inline distT="0" distB="0" distL="0" distR="0" wp14:anchorId="3CE9D681" wp14:editId="60BE018F">
          <wp:extent cx="1743034" cy="529470"/>
          <wp:effectExtent l="0" t="0" r="0" b="4445"/>
          <wp:docPr id="1226470491" name="Picture 9" descr="IPAM Licenciatura em gestão de mark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PAM Licenciatura em gestão de market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8345" cy="537158"/>
                  </a:xfrm>
                  <a:prstGeom prst="rect">
                    <a:avLst/>
                  </a:prstGeom>
                  <a:noFill/>
                  <a:ln>
                    <a:noFill/>
                  </a:ln>
                </pic:spPr>
              </pic:pic>
            </a:graphicData>
          </a:graphic>
        </wp:inline>
      </w:drawing>
    </w:r>
  </w:p>
  <w:p w14:paraId="0C72D8C0" w14:textId="77777777" w:rsidR="002F5AFD" w:rsidRDefault="002F5AFD" w:rsidP="002F5AFD">
    <w:pPr>
      <w:pStyle w:val="Cabealho"/>
      <w:jc w:val="right"/>
    </w:pPr>
  </w:p>
  <w:p w14:paraId="18981D2B" w14:textId="77777777" w:rsidR="002F5AFD" w:rsidRDefault="002F5AFD" w:rsidP="002F5AFD">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0D8A"/>
    <w:multiLevelType w:val="multilevel"/>
    <w:tmpl w:val="47FC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D4555"/>
    <w:multiLevelType w:val="multilevel"/>
    <w:tmpl w:val="1656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F38A3"/>
    <w:multiLevelType w:val="hybridMultilevel"/>
    <w:tmpl w:val="1612271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1AE85B65"/>
    <w:multiLevelType w:val="hybridMultilevel"/>
    <w:tmpl w:val="E904071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1ED46EE3"/>
    <w:multiLevelType w:val="hybridMultilevel"/>
    <w:tmpl w:val="826E1BA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27103A09"/>
    <w:multiLevelType w:val="hybridMultilevel"/>
    <w:tmpl w:val="6E62024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3500021D"/>
    <w:multiLevelType w:val="hybridMultilevel"/>
    <w:tmpl w:val="9E66287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3F26672D"/>
    <w:multiLevelType w:val="multilevel"/>
    <w:tmpl w:val="069C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41438A"/>
    <w:multiLevelType w:val="hybridMultilevel"/>
    <w:tmpl w:val="083EA302"/>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4F7E67C8"/>
    <w:multiLevelType w:val="multilevel"/>
    <w:tmpl w:val="65C2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F33BE7"/>
    <w:multiLevelType w:val="hybridMultilevel"/>
    <w:tmpl w:val="78E8E68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5F5D4994"/>
    <w:multiLevelType w:val="multilevel"/>
    <w:tmpl w:val="F112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5C4028"/>
    <w:multiLevelType w:val="multilevel"/>
    <w:tmpl w:val="EFBE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673DBF"/>
    <w:multiLevelType w:val="multilevel"/>
    <w:tmpl w:val="F860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D80FD8"/>
    <w:multiLevelType w:val="hybridMultilevel"/>
    <w:tmpl w:val="5CDA870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6DCB6619"/>
    <w:multiLevelType w:val="hybridMultilevel"/>
    <w:tmpl w:val="3BD6D9C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7A2B1ED7"/>
    <w:multiLevelType w:val="hybridMultilevel"/>
    <w:tmpl w:val="93E062E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7E500C66"/>
    <w:multiLevelType w:val="multilevel"/>
    <w:tmpl w:val="9528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462640">
    <w:abstractNumId w:val="7"/>
  </w:num>
  <w:num w:numId="2" w16cid:durableId="1519195467">
    <w:abstractNumId w:val="11"/>
  </w:num>
  <w:num w:numId="3" w16cid:durableId="464201748">
    <w:abstractNumId w:val="9"/>
  </w:num>
  <w:num w:numId="4" w16cid:durableId="346493198">
    <w:abstractNumId w:val="13"/>
  </w:num>
  <w:num w:numId="5" w16cid:durableId="464810266">
    <w:abstractNumId w:val="1"/>
  </w:num>
  <w:num w:numId="6" w16cid:durableId="155734343">
    <w:abstractNumId w:val="12"/>
  </w:num>
  <w:num w:numId="7" w16cid:durableId="215051007">
    <w:abstractNumId w:val="0"/>
  </w:num>
  <w:num w:numId="8" w16cid:durableId="271548402">
    <w:abstractNumId w:val="17"/>
  </w:num>
  <w:num w:numId="9" w16cid:durableId="476802331">
    <w:abstractNumId w:val="16"/>
  </w:num>
  <w:num w:numId="10" w16cid:durableId="595209527">
    <w:abstractNumId w:val="6"/>
  </w:num>
  <w:num w:numId="11" w16cid:durableId="1482844086">
    <w:abstractNumId w:val="2"/>
  </w:num>
  <w:num w:numId="12" w16cid:durableId="554397177">
    <w:abstractNumId w:val="4"/>
  </w:num>
  <w:num w:numId="13" w16cid:durableId="671224651">
    <w:abstractNumId w:val="15"/>
  </w:num>
  <w:num w:numId="14" w16cid:durableId="471212988">
    <w:abstractNumId w:val="10"/>
  </w:num>
  <w:num w:numId="15" w16cid:durableId="1041175481">
    <w:abstractNumId w:val="3"/>
  </w:num>
  <w:num w:numId="16" w16cid:durableId="664670867">
    <w:abstractNumId w:val="5"/>
  </w:num>
  <w:num w:numId="17" w16cid:durableId="762994324">
    <w:abstractNumId w:val="8"/>
  </w:num>
  <w:num w:numId="18" w16cid:durableId="287223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24A"/>
    <w:rsid w:val="000D3FAA"/>
    <w:rsid w:val="001663EE"/>
    <w:rsid w:val="001F0885"/>
    <w:rsid w:val="00297B8F"/>
    <w:rsid w:val="002A3363"/>
    <w:rsid w:val="002D1E2F"/>
    <w:rsid w:val="002E6AE4"/>
    <w:rsid w:val="002F5AFD"/>
    <w:rsid w:val="003037C6"/>
    <w:rsid w:val="00305E7A"/>
    <w:rsid w:val="003421AE"/>
    <w:rsid w:val="00370036"/>
    <w:rsid w:val="00394DA9"/>
    <w:rsid w:val="003A65E1"/>
    <w:rsid w:val="00407EB4"/>
    <w:rsid w:val="0044462A"/>
    <w:rsid w:val="004E5288"/>
    <w:rsid w:val="00506723"/>
    <w:rsid w:val="005676E3"/>
    <w:rsid w:val="005A7843"/>
    <w:rsid w:val="005E3999"/>
    <w:rsid w:val="006324C7"/>
    <w:rsid w:val="00650547"/>
    <w:rsid w:val="00655A3D"/>
    <w:rsid w:val="0066401C"/>
    <w:rsid w:val="00737551"/>
    <w:rsid w:val="007533B3"/>
    <w:rsid w:val="008512E9"/>
    <w:rsid w:val="0085493E"/>
    <w:rsid w:val="008B2E26"/>
    <w:rsid w:val="008B342B"/>
    <w:rsid w:val="008B6A41"/>
    <w:rsid w:val="008E79D8"/>
    <w:rsid w:val="0092153B"/>
    <w:rsid w:val="009A5071"/>
    <w:rsid w:val="009B0848"/>
    <w:rsid w:val="009C4AE2"/>
    <w:rsid w:val="009D2510"/>
    <w:rsid w:val="00A062BF"/>
    <w:rsid w:val="00A11A84"/>
    <w:rsid w:val="00A24ED5"/>
    <w:rsid w:val="00A8136A"/>
    <w:rsid w:val="00AA4E33"/>
    <w:rsid w:val="00AB696D"/>
    <w:rsid w:val="00AC739D"/>
    <w:rsid w:val="00AE3BAA"/>
    <w:rsid w:val="00B1376E"/>
    <w:rsid w:val="00BD04DD"/>
    <w:rsid w:val="00C031D5"/>
    <w:rsid w:val="00C05372"/>
    <w:rsid w:val="00C37B62"/>
    <w:rsid w:val="00C52C99"/>
    <w:rsid w:val="00C66918"/>
    <w:rsid w:val="00CE2F04"/>
    <w:rsid w:val="00D913E2"/>
    <w:rsid w:val="00DA7228"/>
    <w:rsid w:val="00DB624A"/>
    <w:rsid w:val="00E158C3"/>
    <w:rsid w:val="00E75D3D"/>
    <w:rsid w:val="00E76ACC"/>
    <w:rsid w:val="00EF48BE"/>
    <w:rsid w:val="00F21153"/>
    <w:rsid w:val="00F217D4"/>
    <w:rsid w:val="00F32A3A"/>
    <w:rsid w:val="00F53EDC"/>
    <w:rsid w:val="00F623A2"/>
    <w:rsid w:val="00FA61C9"/>
    <w:rsid w:val="00FE4B3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CBB00"/>
  <w15:chartTrackingRefBased/>
  <w15:docId w15:val="{FD18E0F5-2C21-4AF4-A50D-0323B79BB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DB62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DB62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DB624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DB624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DB624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DB624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DB624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DB624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DB624A"/>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DB624A"/>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DB624A"/>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DB624A"/>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DB624A"/>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DB624A"/>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DB624A"/>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DB624A"/>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DB624A"/>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DB624A"/>
    <w:rPr>
      <w:rFonts w:eastAsiaTheme="majorEastAsia" w:cstheme="majorBidi"/>
      <w:color w:val="272727" w:themeColor="text1" w:themeTint="D8"/>
    </w:rPr>
  </w:style>
  <w:style w:type="paragraph" w:styleId="Ttulo">
    <w:name w:val="Title"/>
    <w:basedOn w:val="Normal"/>
    <w:next w:val="Normal"/>
    <w:link w:val="TtuloCarter"/>
    <w:uiPriority w:val="10"/>
    <w:qFormat/>
    <w:rsid w:val="00DB62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DB624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DB624A"/>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DB624A"/>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DB624A"/>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DB624A"/>
    <w:rPr>
      <w:i/>
      <w:iCs/>
      <w:color w:val="404040" w:themeColor="text1" w:themeTint="BF"/>
    </w:rPr>
  </w:style>
  <w:style w:type="paragraph" w:styleId="PargrafodaLista">
    <w:name w:val="List Paragraph"/>
    <w:basedOn w:val="Normal"/>
    <w:uiPriority w:val="34"/>
    <w:qFormat/>
    <w:rsid w:val="00DB624A"/>
    <w:pPr>
      <w:ind w:left="720"/>
      <w:contextualSpacing/>
    </w:pPr>
  </w:style>
  <w:style w:type="character" w:styleId="nfaseIntensa">
    <w:name w:val="Intense Emphasis"/>
    <w:basedOn w:val="Tipodeletrapredefinidodopargrafo"/>
    <w:uiPriority w:val="21"/>
    <w:qFormat/>
    <w:rsid w:val="00DB624A"/>
    <w:rPr>
      <w:i/>
      <w:iCs/>
      <w:color w:val="0F4761" w:themeColor="accent1" w:themeShade="BF"/>
    </w:rPr>
  </w:style>
  <w:style w:type="paragraph" w:styleId="CitaoIntensa">
    <w:name w:val="Intense Quote"/>
    <w:basedOn w:val="Normal"/>
    <w:next w:val="Normal"/>
    <w:link w:val="CitaoIntensaCarter"/>
    <w:uiPriority w:val="30"/>
    <w:qFormat/>
    <w:rsid w:val="00DB62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DB624A"/>
    <w:rPr>
      <w:i/>
      <w:iCs/>
      <w:color w:val="0F4761" w:themeColor="accent1" w:themeShade="BF"/>
    </w:rPr>
  </w:style>
  <w:style w:type="character" w:styleId="RefernciaIntensa">
    <w:name w:val="Intense Reference"/>
    <w:basedOn w:val="Tipodeletrapredefinidodopargrafo"/>
    <w:uiPriority w:val="32"/>
    <w:qFormat/>
    <w:rsid w:val="00DB624A"/>
    <w:rPr>
      <w:b/>
      <w:bCs/>
      <w:smallCaps/>
      <w:color w:val="0F4761" w:themeColor="accent1" w:themeShade="BF"/>
      <w:spacing w:val="5"/>
    </w:rPr>
  </w:style>
  <w:style w:type="character" w:styleId="Hiperligao">
    <w:name w:val="Hyperlink"/>
    <w:basedOn w:val="Tipodeletrapredefinidodopargrafo"/>
    <w:uiPriority w:val="99"/>
    <w:unhideWhenUsed/>
    <w:rsid w:val="009C4AE2"/>
    <w:rPr>
      <w:color w:val="467886" w:themeColor="hyperlink"/>
      <w:u w:val="single"/>
    </w:rPr>
  </w:style>
  <w:style w:type="paragraph" w:styleId="NormalWeb">
    <w:name w:val="Normal (Web)"/>
    <w:basedOn w:val="Normal"/>
    <w:uiPriority w:val="99"/>
    <w:semiHidden/>
    <w:unhideWhenUsed/>
    <w:rsid w:val="009C4AE2"/>
    <w:pPr>
      <w:spacing w:before="100" w:beforeAutospacing="1" w:after="100" w:afterAutospacing="1" w:line="240" w:lineRule="auto"/>
    </w:pPr>
    <w:rPr>
      <w:rFonts w:ascii="Times New Roman" w:eastAsia="Times New Roman" w:hAnsi="Times New Roman" w:cs="Times New Roman"/>
      <w:kern w:val="0"/>
      <w:lang w:eastAsia="pt-PT"/>
      <w14:ligatures w14:val="none"/>
    </w:rPr>
  </w:style>
  <w:style w:type="paragraph" w:styleId="Cabealho">
    <w:name w:val="header"/>
    <w:basedOn w:val="Normal"/>
    <w:link w:val="CabealhoCarter"/>
    <w:uiPriority w:val="99"/>
    <w:unhideWhenUsed/>
    <w:rsid w:val="002F5AFD"/>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2F5AFD"/>
  </w:style>
  <w:style w:type="paragraph" w:styleId="Rodap">
    <w:name w:val="footer"/>
    <w:basedOn w:val="Normal"/>
    <w:link w:val="RodapCarter"/>
    <w:uiPriority w:val="99"/>
    <w:unhideWhenUsed/>
    <w:rsid w:val="002F5AFD"/>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2F5AFD"/>
  </w:style>
  <w:style w:type="character" w:styleId="Refdecomentrio">
    <w:name w:val="annotation reference"/>
    <w:basedOn w:val="Tipodeletrapredefinidodopargrafo"/>
    <w:uiPriority w:val="99"/>
    <w:semiHidden/>
    <w:unhideWhenUsed/>
    <w:rsid w:val="00E158C3"/>
    <w:rPr>
      <w:sz w:val="16"/>
      <w:szCs w:val="16"/>
    </w:rPr>
  </w:style>
  <w:style w:type="paragraph" w:styleId="Textodecomentrio">
    <w:name w:val="annotation text"/>
    <w:basedOn w:val="Normal"/>
    <w:link w:val="TextodecomentrioCarter"/>
    <w:uiPriority w:val="99"/>
    <w:unhideWhenUsed/>
    <w:rsid w:val="00E158C3"/>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E158C3"/>
    <w:rPr>
      <w:sz w:val="20"/>
      <w:szCs w:val="20"/>
    </w:rPr>
  </w:style>
  <w:style w:type="paragraph" w:styleId="Assuntodecomentrio">
    <w:name w:val="annotation subject"/>
    <w:basedOn w:val="Textodecomentrio"/>
    <w:next w:val="Textodecomentrio"/>
    <w:link w:val="AssuntodecomentrioCarter"/>
    <w:uiPriority w:val="99"/>
    <w:semiHidden/>
    <w:unhideWhenUsed/>
    <w:rsid w:val="00E158C3"/>
    <w:rPr>
      <w:b/>
      <w:bCs/>
    </w:rPr>
  </w:style>
  <w:style w:type="character" w:customStyle="1" w:styleId="AssuntodecomentrioCarter">
    <w:name w:val="Assunto de comentário Caráter"/>
    <w:basedOn w:val="TextodecomentrioCarter"/>
    <w:link w:val="Assuntodecomentrio"/>
    <w:uiPriority w:val="99"/>
    <w:semiHidden/>
    <w:rsid w:val="00E158C3"/>
    <w:rPr>
      <w:b/>
      <w:bCs/>
      <w:sz w:val="20"/>
      <w:szCs w:val="20"/>
    </w:rPr>
  </w:style>
  <w:style w:type="paragraph" w:styleId="Textodebalo">
    <w:name w:val="Balloon Text"/>
    <w:basedOn w:val="Normal"/>
    <w:link w:val="TextodebaloCarter"/>
    <w:uiPriority w:val="99"/>
    <w:semiHidden/>
    <w:unhideWhenUsed/>
    <w:rsid w:val="006324C7"/>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6324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36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pam.p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ugo.costa@lift.com.p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a.santos@lift.com.p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9FFFE019FB8443A606B35D2EAD962C" ma:contentTypeVersion="10" ma:contentTypeDescription="Create a new document." ma:contentTypeScope="" ma:versionID="91d0f6a1a16f251936d6a12a6c876d50">
  <xsd:schema xmlns:xsd="http://www.w3.org/2001/XMLSchema" xmlns:xs="http://www.w3.org/2001/XMLSchema" xmlns:p="http://schemas.microsoft.com/office/2006/metadata/properties" xmlns:ns3="ba8ac7e5-b07f-4fea-965c-25c13cc33270" targetNamespace="http://schemas.microsoft.com/office/2006/metadata/properties" ma:root="true" ma:fieldsID="19463c5108bd40a5472fc0c182418d2d" ns3:_="">
    <xsd:import namespace="ba8ac7e5-b07f-4fea-965c-25c13cc3327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ac7e5-b07f-4fea-965c-25c13cc3327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a8ac7e5-b07f-4fea-965c-25c13cc33270" xsi:nil="true"/>
  </documentManagement>
</p:properties>
</file>

<file path=customXml/itemProps1.xml><?xml version="1.0" encoding="utf-8"?>
<ds:datastoreItem xmlns:ds="http://schemas.openxmlformats.org/officeDocument/2006/customXml" ds:itemID="{ED92160C-1A00-442C-AA62-869F8E951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ac7e5-b07f-4fea-965c-25c13cc33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54299D-6F9B-4C5E-BF95-78222FE347F8}">
  <ds:schemaRefs>
    <ds:schemaRef ds:uri="http://schemas.microsoft.com/sharepoint/v3/contenttype/forms"/>
  </ds:schemaRefs>
</ds:datastoreItem>
</file>

<file path=customXml/itemProps3.xml><?xml version="1.0" encoding="utf-8"?>
<ds:datastoreItem xmlns:ds="http://schemas.openxmlformats.org/officeDocument/2006/customXml" ds:itemID="{3901DD26-FF9B-4245-96E7-1FB9CDBB23CB}">
  <ds:schemaRefs>
    <ds:schemaRef ds:uri="http://schemas.openxmlformats.org/package/2006/metadata/core-properties"/>
    <ds:schemaRef ds:uri="http://schemas.microsoft.com/office/2006/documentManagement/types"/>
    <ds:schemaRef ds:uri="http://purl.org/dc/elements/1.1/"/>
    <ds:schemaRef ds:uri="http://www.w3.org/XML/1998/namespace"/>
    <ds:schemaRef ds:uri="http://purl.org/dc/terms/"/>
    <ds:schemaRef ds:uri="http://purl.org/dc/dcmitype/"/>
    <ds:schemaRef ds:uri="http://schemas.microsoft.com/office/infopath/2007/PartnerControls"/>
    <ds:schemaRef ds:uri="ba8ac7e5-b07f-4fea-965c-25c13cc3327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771</Words>
  <Characters>4168</Characters>
  <Application>Microsoft Office Word</Application>
  <DocSecurity>0</DocSecurity>
  <Lines>34</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Costa</dc:creator>
  <cp:keywords/>
  <dc:description/>
  <cp:lastModifiedBy>Ana Santos</cp:lastModifiedBy>
  <cp:revision>7</cp:revision>
  <dcterms:created xsi:type="dcterms:W3CDTF">2026-01-07T18:30:00Z</dcterms:created>
  <dcterms:modified xsi:type="dcterms:W3CDTF">2026-01-08T16:08:00Z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0x010100719FFFE019FB8443A606B35D2EAD962C</vt:lpwstr>
  </property>
</Properties>
</file>