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B3A1" w14:textId="0944B430" w:rsidR="00F069C9" w:rsidRPr="00F069C9" w:rsidRDefault="00F069C9" w:rsidP="00592BC6">
      <w:pPr>
        <w:jc w:val="both"/>
        <w:rPr>
          <w:rFonts w:ascii="Calibri" w:hAnsi="Calibri" w:cs="Calibri"/>
          <w:b/>
          <w:bCs/>
          <w:sz w:val="30"/>
          <w:szCs w:val="30"/>
        </w:rPr>
      </w:pPr>
      <w:r w:rsidRPr="00F069C9">
        <w:rPr>
          <w:rFonts w:ascii="Calibri" w:hAnsi="Calibri" w:cs="Calibri"/>
          <w:b/>
          <w:bCs/>
          <w:sz w:val="30"/>
          <w:szCs w:val="30"/>
        </w:rPr>
        <w:t xml:space="preserve">Rok 2026 na rynku </w:t>
      </w:r>
      <w:proofErr w:type="spellStart"/>
      <w:r w:rsidRPr="00F069C9">
        <w:rPr>
          <w:rFonts w:ascii="Calibri" w:hAnsi="Calibri" w:cs="Calibri"/>
          <w:b/>
          <w:bCs/>
          <w:sz w:val="30"/>
          <w:szCs w:val="30"/>
        </w:rPr>
        <w:t>offshore</w:t>
      </w:r>
      <w:proofErr w:type="spellEnd"/>
      <w:r w:rsidRPr="00F069C9">
        <w:rPr>
          <w:rFonts w:ascii="Calibri" w:hAnsi="Calibri" w:cs="Calibri"/>
          <w:b/>
          <w:bCs/>
          <w:sz w:val="30"/>
          <w:szCs w:val="30"/>
        </w:rPr>
        <w:t xml:space="preserve">: </w:t>
      </w:r>
      <w:r w:rsidR="002608A2" w:rsidRPr="002608A2">
        <w:rPr>
          <w:rFonts w:ascii="Calibri" w:hAnsi="Calibri" w:cs="Calibri"/>
          <w:b/>
          <w:bCs/>
          <w:sz w:val="30"/>
          <w:szCs w:val="30"/>
        </w:rPr>
        <w:t>dynamiczny rozwój o znaczeniu systemowym</w:t>
      </w:r>
      <w:r w:rsidR="002608A2">
        <w:rPr>
          <w:rFonts w:ascii="Calibri" w:hAnsi="Calibri" w:cs="Calibri"/>
          <w:b/>
          <w:bCs/>
          <w:sz w:val="30"/>
          <w:szCs w:val="30"/>
        </w:rPr>
        <w:t xml:space="preserve"> </w:t>
      </w:r>
    </w:p>
    <w:p w14:paraId="0D1E0905" w14:textId="16E6FB19" w:rsidR="002608A2" w:rsidRDefault="002608A2" w:rsidP="00592BC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608A2">
        <w:rPr>
          <w:rFonts w:ascii="Calibri" w:hAnsi="Calibri" w:cs="Calibri"/>
          <w:b/>
          <w:bCs/>
          <w:sz w:val="24"/>
          <w:szCs w:val="24"/>
        </w:rPr>
        <w:t>Rok 2026</w:t>
      </w:r>
      <w:r w:rsidR="003E1DED">
        <w:rPr>
          <w:rFonts w:ascii="Calibri" w:hAnsi="Calibri" w:cs="Calibri"/>
          <w:b/>
          <w:bCs/>
          <w:sz w:val="24"/>
          <w:szCs w:val="24"/>
        </w:rPr>
        <w:t xml:space="preserve"> będzie czasem, gdy</w:t>
      </w:r>
      <w:r w:rsidRPr="002608A2">
        <w:rPr>
          <w:rFonts w:ascii="Calibri" w:hAnsi="Calibri" w:cs="Calibri"/>
          <w:b/>
          <w:bCs/>
          <w:sz w:val="24"/>
          <w:szCs w:val="24"/>
        </w:rPr>
        <w:t xml:space="preserve"> umacnia </w:t>
      </w:r>
      <w:r w:rsidR="003E1DED">
        <w:rPr>
          <w:rFonts w:ascii="Calibri" w:hAnsi="Calibri" w:cs="Calibri"/>
          <w:b/>
          <w:bCs/>
          <w:sz w:val="24"/>
          <w:szCs w:val="24"/>
        </w:rPr>
        <w:t xml:space="preserve">się </w:t>
      </w:r>
      <w:r w:rsidR="003E1DED" w:rsidRPr="002608A2">
        <w:rPr>
          <w:rFonts w:ascii="Calibri" w:hAnsi="Calibri" w:cs="Calibri"/>
          <w:b/>
          <w:bCs/>
          <w:sz w:val="24"/>
          <w:szCs w:val="24"/>
        </w:rPr>
        <w:t>pozycj</w:t>
      </w:r>
      <w:r w:rsidR="003E1DED">
        <w:rPr>
          <w:rFonts w:ascii="Calibri" w:hAnsi="Calibri" w:cs="Calibri"/>
          <w:b/>
          <w:bCs/>
          <w:sz w:val="24"/>
          <w:szCs w:val="24"/>
        </w:rPr>
        <w:t>a</w:t>
      </w:r>
      <w:r w:rsidR="003E1DED" w:rsidRPr="002608A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608A2">
        <w:rPr>
          <w:rFonts w:ascii="Calibri" w:hAnsi="Calibri" w:cs="Calibri"/>
          <w:b/>
          <w:bCs/>
          <w:sz w:val="24"/>
          <w:szCs w:val="24"/>
        </w:rPr>
        <w:t xml:space="preserve">morskiej energetyki wiatrowej jako kluczowego elementu krajowego </w:t>
      </w:r>
      <w:proofErr w:type="spellStart"/>
      <w:r w:rsidRPr="002608A2">
        <w:rPr>
          <w:rFonts w:ascii="Calibri" w:hAnsi="Calibri" w:cs="Calibri"/>
          <w:b/>
          <w:bCs/>
          <w:sz w:val="24"/>
          <w:szCs w:val="24"/>
        </w:rPr>
        <w:t>miksu</w:t>
      </w:r>
      <w:proofErr w:type="spellEnd"/>
      <w:r w:rsidRPr="002608A2">
        <w:rPr>
          <w:rFonts w:ascii="Calibri" w:hAnsi="Calibri" w:cs="Calibri"/>
          <w:b/>
          <w:bCs/>
          <w:sz w:val="24"/>
          <w:szCs w:val="24"/>
        </w:rPr>
        <w:t xml:space="preserve"> energetycznego i strategicznej inwestycji infrastrukturalnej. Po rozstrzygnięciu aukcji i przyspieszeniu prac przygotowawczych</w:t>
      </w:r>
      <w:r w:rsidR="003E1DED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2608A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2608A2">
        <w:rPr>
          <w:rFonts w:ascii="Calibri" w:hAnsi="Calibri" w:cs="Calibri"/>
          <w:b/>
          <w:bCs/>
          <w:sz w:val="24"/>
          <w:szCs w:val="24"/>
        </w:rPr>
        <w:t>offshore</w:t>
      </w:r>
      <w:proofErr w:type="spellEnd"/>
      <w:r w:rsidRPr="002608A2">
        <w:rPr>
          <w:rFonts w:ascii="Calibri" w:hAnsi="Calibri" w:cs="Calibri"/>
          <w:b/>
          <w:bCs/>
          <w:sz w:val="24"/>
          <w:szCs w:val="24"/>
        </w:rPr>
        <w:t xml:space="preserve"> wind wchodzi w etap integracji z systemem elektroenergetycznym, łańcuchami dostaw i polityką przemysłową państwa. Skala planowanych inwestycji – sięgająca nawet 500 mld zł do 2040 r. – czyni ten sektor jednym z głównych motorów transformacji energetycznej, rozwoju krajowego przemysłu oraz wzmacniania bezpieczeństwa energetycznego Polski.</w:t>
      </w:r>
    </w:p>
    <w:p w14:paraId="270C7F57" w14:textId="4D4AC046" w:rsidR="00F069C9" w:rsidRDefault="00F069C9" w:rsidP="00592BC6">
      <w:pPr>
        <w:jc w:val="both"/>
        <w:rPr>
          <w:rFonts w:ascii="Calibri" w:hAnsi="Calibri" w:cs="Calibri"/>
          <w:sz w:val="24"/>
          <w:szCs w:val="24"/>
        </w:rPr>
      </w:pPr>
      <w:r w:rsidRPr="00F069C9">
        <w:rPr>
          <w:rFonts w:ascii="Calibri" w:hAnsi="Calibri" w:cs="Calibri"/>
          <w:sz w:val="24"/>
          <w:szCs w:val="24"/>
        </w:rPr>
        <w:t xml:space="preserve">Skala inwestycji planowanych na Bałtyku nie ma precedensu. Wartość projektów realizowanych w pierwszej fazie rozwoju </w:t>
      </w:r>
      <w:r w:rsidR="007D2622">
        <w:rPr>
          <w:rFonts w:ascii="Calibri" w:hAnsi="Calibri" w:cs="Calibri"/>
          <w:sz w:val="24"/>
          <w:szCs w:val="24"/>
        </w:rPr>
        <w:t>m</w:t>
      </w:r>
      <w:r w:rsidRPr="00F069C9">
        <w:rPr>
          <w:rFonts w:ascii="Calibri" w:hAnsi="Calibri" w:cs="Calibri"/>
          <w:sz w:val="24"/>
          <w:szCs w:val="24"/>
        </w:rPr>
        <w:t>orsk</w:t>
      </w:r>
      <w:r>
        <w:rPr>
          <w:rFonts w:ascii="Calibri" w:hAnsi="Calibri" w:cs="Calibri"/>
          <w:sz w:val="24"/>
          <w:szCs w:val="24"/>
        </w:rPr>
        <w:t>iej</w:t>
      </w:r>
      <w:r w:rsidRPr="00F069C9">
        <w:rPr>
          <w:rFonts w:ascii="Calibri" w:hAnsi="Calibri" w:cs="Calibri"/>
          <w:sz w:val="24"/>
          <w:szCs w:val="24"/>
        </w:rPr>
        <w:t xml:space="preserve"> </w:t>
      </w:r>
      <w:r w:rsidR="007D2622">
        <w:rPr>
          <w:rFonts w:ascii="Calibri" w:hAnsi="Calibri" w:cs="Calibri"/>
          <w:sz w:val="24"/>
          <w:szCs w:val="24"/>
        </w:rPr>
        <w:t>e</w:t>
      </w:r>
      <w:r w:rsidRPr="00F069C9">
        <w:rPr>
          <w:rFonts w:ascii="Calibri" w:hAnsi="Calibri" w:cs="Calibri"/>
          <w:sz w:val="24"/>
          <w:szCs w:val="24"/>
        </w:rPr>
        <w:t>nergetyk</w:t>
      </w:r>
      <w:r>
        <w:rPr>
          <w:rFonts w:ascii="Calibri" w:hAnsi="Calibri" w:cs="Calibri"/>
          <w:sz w:val="24"/>
          <w:szCs w:val="24"/>
        </w:rPr>
        <w:t>i</w:t>
      </w:r>
      <w:r w:rsidRPr="00F069C9">
        <w:rPr>
          <w:rFonts w:ascii="Calibri" w:hAnsi="Calibri" w:cs="Calibri"/>
          <w:sz w:val="24"/>
          <w:szCs w:val="24"/>
        </w:rPr>
        <w:t xml:space="preserve"> </w:t>
      </w:r>
      <w:r w:rsidR="007D2622">
        <w:rPr>
          <w:rFonts w:ascii="Calibri" w:hAnsi="Calibri" w:cs="Calibri"/>
          <w:sz w:val="24"/>
          <w:szCs w:val="24"/>
        </w:rPr>
        <w:t>w</w:t>
      </w:r>
      <w:r w:rsidRPr="00F069C9">
        <w:rPr>
          <w:rFonts w:ascii="Calibri" w:hAnsi="Calibri" w:cs="Calibri"/>
          <w:sz w:val="24"/>
          <w:szCs w:val="24"/>
        </w:rPr>
        <w:t>iatrow</w:t>
      </w:r>
      <w:r>
        <w:rPr>
          <w:rFonts w:ascii="Calibri" w:hAnsi="Calibri" w:cs="Calibri"/>
          <w:sz w:val="24"/>
          <w:szCs w:val="24"/>
        </w:rPr>
        <w:t>ej</w:t>
      </w:r>
      <w:r w:rsidRPr="00F069C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Pr="00F069C9">
        <w:rPr>
          <w:rFonts w:ascii="Calibri" w:hAnsi="Calibri" w:cs="Calibri"/>
          <w:sz w:val="24"/>
          <w:szCs w:val="24"/>
        </w:rPr>
        <w:t>MEW</w:t>
      </w:r>
      <w:r>
        <w:rPr>
          <w:rFonts w:ascii="Calibri" w:hAnsi="Calibri" w:cs="Calibri"/>
          <w:sz w:val="24"/>
          <w:szCs w:val="24"/>
        </w:rPr>
        <w:t>)</w:t>
      </w:r>
      <w:r w:rsidRPr="00F069C9">
        <w:rPr>
          <w:rFonts w:ascii="Calibri" w:hAnsi="Calibri" w:cs="Calibri"/>
          <w:sz w:val="24"/>
          <w:szCs w:val="24"/>
        </w:rPr>
        <w:t xml:space="preserve"> przekracza 130 mld zł, a do 2040 r. może sięgnąć nawet 400–500 mld zł. To przedsięwzięcie</w:t>
      </w:r>
      <w:r w:rsidR="000C4A04">
        <w:rPr>
          <w:rFonts w:ascii="Calibri" w:hAnsi="Calibri" w:cs="Calibri"/>
          <w:sz w:val="24"/>
          <w:szCs w:val="24"/>
        </w:rPr>
        <w:t xml:space="preserve">, którego </w:t>
      </w:r>
      <w:r w:rsidR="00257F4A">
        <w:rPr>
          <w:rFonts w:ascii="Calibri" w:hAnsi="Calibri" w:cs="Calibri"/>
          <w:sz w:val="24"/>
          <w:szCs w:val="24"/>
        </w:rPr>
        <w:t xml:space="preserve">kapitał </w:t>
      </w:r>
      <w:r w:rsidR="000C4A04">
        <w:rPr>
          <w:rFonts w:ascii="Calibri" w:hAnsi="Calibri" w:cs="Calibri"/>
          <w:sz w:val="24"/>
          <w:szCs w:val="24"/>
        </w:rPr>
        <w:t>jest</w:t>
      </w:r>
      <w:r w:rsidRPr="00F069C9">
        <w:rPr>
          <w:rFonts w:ascii="Calibri" w:hAnsi="Calibri" w:cs="Calibri"/>
          <w:sz w:val="24"/>
          <w:szCs w:val="24"/>
        </w:rPr>
        <w:t xml:space="preserve"> większ</w:t>
      </w:r>
      <w:r w:rsidR="00257F4A">
        <w:rPr>
          <w:rFonts w:ascii="Calibri" w:hAnsi="Calibri" w:cs="Calibri"/>
          <w:sz w:val="24"/>
          <w:szCs w:val="24"/>
        </w:rPr>
        <w:t>y</w:t>
      </w:r>
      <w:r w:rsidRPr="00F069C9">
        <w:rPr>
          <w:rFonts w:ascii="Calibri" w:hAnsi="Calibri" w:cs="Calibri"/>
          <w:sz w:val="24"/>
          <w:szCs w:val="24"/>
        </w:rPr>
        <w:t xml:space="preserve"> niż Centraln</w:t>
      </w:r>
      <w:r w:rsidR="00257F4A">
        <w:rPr>
          <w:rFonts w:ascii="Calibri" w:hAnsi="Calibri" w:cs="Calibri"/>
          <w:sz w:val="24"/>
          <w:szCs w:val="24"/>
        </w:rPr>
        <w:t>ego</w:t>
      </w:r>
      <w:r w:rsidRPr="00F069C9">
        <w:rPr>
          <w:rFonts w:ascii="Calibri" w:hAnsi="Calibri" w:cs="Calibri"/>
          <w:sz w:val="24"/>
          <w:szCs w:val="24"/>
        </w:rPr>
        <w:t xml:space="preserve"> Port</w:t>
      </w:r>
      <w:r w:rsidR="00257F4A">
        <w:rPr>
          <w:rFonts w:ascii="Calibri" w:hAnsi="Calibri" w:cs="Calibri"/>
          <w:sz w:val="24"/>
          <w:szCs w:val="24"/>
        </w:rPr>
        <w:t>u</w:t>
      </w:r>
      <w:r w:rsidRPr="00F069C9">
        <w:rPr>
          <w:rFonts w:ascii="Calibri" w:hAnsi="Calibri" w:cs="Calibri"/>
          <w:sz w:val="24"/>
          <w:szCs w:val="24"/>
        </w:rPr>
        <w:t xml:space="preserve"> Komunikacyjn</w:t>
      </w:r>
      <w:r w:rsidR="00257F4A">
        <w:rPr>
          <w:rFonts w:ascii="Calibri" w:hAnsi="Calibri" w:cs="Calibri"/>
          <w:sz w:val="24"/>
          <w:szCs w:val="24"/>
        </w:rPr>
        <w:t>ego</w:t>
      </w:r>
      <w:r w:rsidRPr="00F069C9">
        <w:rPr>
          <w:rFonts w:ascii="Calibri" w:hAnsi="Calibri" w:cs="Calibri"/>
          <w:sz w:val="24"/>
          <w:szCs w:val="24"/>
        </w:rPr>
        <w:t xml:space="preserve"> i elektrowni jądrow</w:t>
      </w:r>
      <w:r w:rsidR="00257F4A">
        <w:rPr>
          <w:rFonts w:ascii="Calibri" w:hAnsi="Calibri" w:cs="Calibri"/>
          <w:sz w:val="24"/>
          <w:szCs w:val="24"/>
        </w:rPr>
        <w:t>ej</w:t>
      </w:r>
      <w:r w:rsidRPr="00F069C9">
        <w:rPr>
          <w:rFonts w:ascii="Calibri" w:hAnsi="Calibri" w:cs="Calibri"/>
          <w:sz w:val="24"/>
          <w:szCs w:val="24"/>
        </w:rPr>
        <w:t xml:space="preserve"> łącznie</w:t>
      </w:r>
      <w:r w:rsidR="002C78DF">
        <w:rPr>
          <w:rFonts w:ascii="Calibri" w:hAnsi="Calibri" w:cs="Calibri"/>
          <w:sz w:val="24"/>
          <w:szCs w:val="24"/>
        </w:rPr>
        <w:t>.</w:t>
      </w:r>
      <w:r w:rsidRPr="00F069C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069C9">
        <w:rPr>
          <w:rFonts w:ascii="Calibri" w:hAnsi="Calibri" w:cs="Calibri"/>
          <w:sz w:val="24"/>
          <w:szCs w:val="24"/>
        </w:rPr>
        <w:t>Offshore</w:t>
      </w:r>
      <w:proofErr w:type="spellEnd"/>
      <w:r w:rsidRPr="00F069C9">
        <w:rPr>
          <w:rFonts w:ascii="Calibri" w:hAnsi="Calibri" w:cs="Calibri"/>
          <w:sz w:val="24"/>
          <w:szCs w:val="24"/>
        </w:rPr>
        <w:t xml:space="preserve"> wind staje się</w:t>
      </w:r>
      <w:r w:rsidR="00B830DF">
        <w:rPr>
          <w:rFonts w:ascii="Calibri" w:hAnsi="Calibri" w:cs="Calibri"/>
          <w:sz w:val="24"/>
          <w:szCs w:val="24"/>
        </w:rPr>
        <w:t xml:space="preserve"> też</w:t>
      </w:r>
      <w:r w:rsidRPr="00F069C9">
        <w:rPr>
          <w:rFonts w:ascii="Calibri" w:hAnsi="Calibri" w:cs="Calibri"/>
          <w:sz w:val="24"/>
          <w:szCs w:val="24"/>
        </w:rPr>
        <w:t xml:space="preserve"> impulsem do budowy nowego łańcucha dostaw i fundamentem rozwoju nowoczesnego przemysłu energetycznego w Polsce</w:t>
      </w:r>
      <w:r w:rsidR="002C78DF">
        <w:rPr>
          <w:rFonts w:ascii="Calibri" w:hAnsi="Calibri" w:cs="Calibri"/>
          <w:sz w:val="24"/>
          <w:szCs w:val="24"/>
        </w:rPr>
        <w:t xml:space="preserve">, który angażuje </w:t>
      </w:r>
      <w:r w:rsidR="002C78DF" w:rsidRPr="00F069C9">
        <w:rPr>
          <w:rFonts w:ascii="Calibri" w:hAnsi="Calibri" w:cs="Calibri"/>
          <w:sz w:val="24"/>
          <w:szCs w:val="24"/>
        </w:rPr>
        <w:t>setki polskich firm</w:t>
      </w:r>
      <w:r w:rsidRPr="00F069C9">
        <w:rPr>
          <w:rFonts w:ascii="Calibri" w:hAnsi="Calibri" w:cs="Calibri"/>
          <w:sz w:val="24"/>
          <w:szCs w:val="24"/>
        </w:rPr>
        <w:t>.</w:t>
      </w:r>
    </w:p>
    <w:p w14:paraId="36CD05AF" w14:textId="3965854B" w:rsidR="00853AF4" w:rsidRDefault="00853AF4" w:rsidP="00853AF4">
      <w:pPr>
        <w:jc w:val="both"/>
        <w:rPr>
          <w:rFonts w:ascii="Calibri" w:hAnsi="Calibri" w:cs="Calibri"/>
          <w:sz w:val="24"/>
          <w:szCs w:val="24"/>
        </w:rPr>
      </w:pPr>
      <w:r w:rsidRPr="00933BEC">
        <w:rPr>
          <w:rFonts w:ascii="Calibri" w:hAnsi="Calibri" w:cs="Calibri"/>
          <w:i/>
          <w:iCs/>
          <w:sz w:val="24"/>
          <w:szCs w:val="24"/>
        </w:rPr>
        <w:t xml:space="preserve">– </w:t>
      </w:r>
      <w:r w:rsidRPr="00853AF4">
        <w:rPr>
          <w:rFonts w:ascii="Calibri" w:hAnsi="Calibri" w:cs="Calibri"/>
          <w:i/>
          <w:iCs/>
          <w:sz w:val="24"/>
          <w:szCs w:val="24"/>
        </w:rPr>
        <w:t xml:space="preserve">Morska energetyka wiatrowa </w:t>
      </w:r>
      <w:r>
        <w:rPr>
          <w:rFonts w:ascii="Calibri" w:hAnsi="Calibri" w:cs="Calibri"/>
          <w:i/>
          <w:iCs/>
          <w:sz w:val="24"/>
          <w:szCs w:val="24"/>
        </w:rPr>
        <w:t>jest już dziś postrzegana jako</w:t>
      </w:r>
      <w:r w:rsidRPr="00853AF4">
        <w:rPr>
          <w:rFonts w:ascii="Calibri" w:hAnsi="Calibri" w:cs="Calibri"/>
          <w:i/>
          <w:iCs/>
          <w:sz w:val="24"/>
          <w:szCs w:val="24"/>
        </w:rPr>
        <w:t xml:space="preserve"> projekt strategiczny, którego rozwoju Polska nie ma czym zastąpić. Wygaszanie węglowych jednostek wytwórczych, ograniczenia rozwoju energetyki gazowej oraz długi horyzont uruchomienia pierwszej elektrowni jądrowej sprawiają, że </w:t>
      </w:r>
      <w:proofErr w:type="spellStart"/>
      <w:r w:rsidRPr="00853AF4">
        <w:rPr>
          <w:rFonts w:ascii="Calibri" w:hAnsi="Calibri" w:cs="Calibri"/>
          <w:i/>
          <w:iCs/>
          <w:sz w:val="24"/>
          <w:szCs w:val="24"/>
        </w:rPr>
        <w:t>offshore</w:t>
      </w:r>
      <w:proofErr w:type="spellEnd"/>
      <w:r w:rsidRPr="00853AF4">
        <w:rPr>
          <w:rFonts w:ascii="Calibri" w:hAnsi="Calibri" w:cs="Calibri"/>
          <w:i/>
          <w:iCs/>
          <w:sz w:val="24"/>
          <w:szCs w:val="24"/>
        </w:rPr>
        <w:t xml:space="preserve"> pozostaje jedynym źródłem zdolnym dostarczyć duże wolumeny zeroemisyjnej energii w relatywnie krótkim czasie. To nie tylko kwestia klimatu, ale przede wszystkim bezpieczeństwa energetycznego i stabilności gospodarki.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33BEC">
        <w:rPr>
          <w:rFonts w:ascii="Calibri" w:hAnsi="Calibri" w:cs="Calibri"/>
          <w:b/>
          <w:bCs/>
          <w:sz w:val="24"/>
          <w:szCs w:val="24"/>
        </w:rPr>
        <w:t>–</w:t>
      </w:r>
      <w:r w:rsidRPr="00933B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mówi</w:t>
      </w:r>
      <w:r w:rsidRPr="00933BEC">
        <w:rPr>
          <w:rFonts w:ascii="Calibri" w:hAnsi="Calibri" w:cs="Calibri"/>
          <w:sz w:val="24"/>
          <w:szCs w:val="24"/>
        </w:rPr>
        <w:t xml:space="preserve"> </w:t>
      </w:r>
      <w:r w:rsidRPr="00933BEC">
        <w:rPr>
          <w:rFonts w:ascii="Calibri" w:hAnsi="Calibri" w:cs="Calibri"/>
          <w:b/>
          <w:bCs/>
          <w:sz w:val="24"/>
          <w:szCs w:val="24"/>
        </w:rPr>
        <w:t xml:space="preserve">Janusz </w:t>
      </w:r>
      <w:proofErr w:type="spellStart"/>
      <w:r w:rsidRPr="00933BEC">
        <w:rPr>
          <w:rFonts w:ascii="Calibri" w:hAnsi="Calibri" w:cs="Calibri"/>
          <w:b/>
          <w:bCs/>
          <w:sz w:val="24"/>
          <w:szCs w:val="24"/>
        </w:rPr>
        <w:t>Gajowiecki</w:t>
      </w:r>
      <w:proofErr w:type="spellEnd"/>
      <w:r w:rsidRPr="00933BEC">
        <w:rPr>
          <w:rFonts w:ascii="Calibri" w:hAnsi="Calibri" w:cs="Calibri"/>
          <w:b/>
          <w:bCs/>
          <w:sz w:val="24"/>
          <w:szCs w:val="24"/>
        </w:rPr>
        <w:t>, prezes Polskiego Stowarzyszenia Energetyki Wiatrowej</w:t>
      </w:r>
      <w:r w:rsidR="004C7F51">
        <w:rPr>
          <w:rFonts w:ascii="Calibri" w:hAnsi="Calibri" w:cs="Calibri"/>
          <w:b/>
          <w:bCs/>
          <w:sz w:val="24"/>
          <w:szCs w:val="24"/>
        </w:rPr>
        <w:t xml:space="preserve"> (PSEW)</w:t>
      </w:r>
      <w:r w:rsidRPr="00933BEC">
        <w:rPr>
          <w:rFonts w:ascii="Calibri" w:hAnsi="Calibri" w:cs="Calibri"/>
          <w:sz w:val="24"/>
          <w:szCs w:val="24"/>
        </w:rPr>
        <w:t>.</w:t>
      </w:r>
    </w:p>
    <w:p w14:paraId="448DE885" w14:textId="0EC39E2E" w:rsidR="003E1DED" w:rsidRPr="003E1DED" w:rsidRDefault="003E1DED" w:rsidP="00853AF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E1DED">
        <w:rPr>
          <w:rFonts w:ascii="Calibri" w:hAnsi="Calibri" w:cs="Calibri"/>
          <w:b/>
          <w:bCs/>
          <w:sz w:val="24"/>
          <w:szCs w:val="24"/>
        </w:rPr>
        <w:t>Branża apeluje o stabilność i przewidywalność otoczenia regulacyjnego</w:t>
      </w:r>
    </w:p>
    <w:p w14:paraId="25CC0B89" w14:textId="61E102E5" w:rsidR="00A91A58" w:rsidRDefault="00A91A58" w:rsidP="00A91A58">
      <w:pPr>
        <w:jc w:val="both"/>
        <w:rPr>
          <w:rFonts w:ascii="Calibri" w:hAnsi="Calibri" w:cs="Calibri"/>
          <w:sz w:val="24"/>
          <w:szCs w:val="24"/>
        </w:rPr>
      </w:pPr>
      <w:r w:rsidRPr="009A4FE6">
        <w:rPr>
          <w:rFonts w:ascii="Calibri" w:hAnsi="Calibri" w:cs="Calibri"/>
          <w:sz w:val="24"/>
          <w:szCs w:val="24"/>
        </w:rPr>
        <w:t>Tymczasem Krajowy Plan w dziedzinie Energii i Klimatu (</w:t>
      </w:r>
      <w:proofErr w:type="spellStart"/>
      <w:r w:rsidRPr="009A4FE6">
        <w:rPr>
          <w:rFonts w:ascii="Calibri" w:hAnsi="Calibri" w:cs="Calibri"/>
          <w:sz w:val="24"/>
          <w:szCs w:val="24"/>
        </w:rPr>
        <w:t>KPEiK</w:t>
      </w:r>
      <w:proofErr w:type="spellEnd"/>
      <w:r w:rsidRPr="009A4FE6">
        <w:rPr>
          <w:rFonts w:ascii="Calibri" w:hAnsi="Calibri" w:cs="Calibri"/>
          <w:sz w:val="24"/>
          <w:szCs w:val="24"/>
        </w:rPr>
        <w:t xml:space="preserve">), opracowany przez Ministerstwo Energii redukuje skalę rozwoju energetyki wiatrowej bez przedstawienia jakichkolwiek analiz. Propozycje Ministerstwa Energii ograniczają rozwój energetyki wiatrowej na lądzie do 20,4 GW w scenariuszu WEM (mało ambitnym), zamiast 34,5 GW proponowanych w poprzedniej wersji </w:t>
      </w:r>
      <w:proofErr w:type="spellStart"/>
      <w:r w:rsidRPr="009A4FE6">
        <w:rPr>
          <w:rFonts w:ascii="Calibri" w:hAnsi="Calibri" w:cs="Calibri"/>
          <w:sz w:val="24"/>
          <w:szCs w:val="24"/>
        </w:rPr>
        <w:t>KPEiK</w:t>
      </w:r>
      <w:proofErr w:type="spellEnd"/>
      <w:r w:rsidRPr="009A4FE6">
        <w:rPr>
          <w:rFonts w:ascii="Calibri" w:hAnsi="Calibri" w:cs="Calibri"/>
          <w:sz w:val="24"/>
          <w:szCs w:val="24"/>
        </w:rPr>
        <w:t xml:space="preserve">, czyli o ponad 14 GW. Z kolei w zakresie morskiej energetyki wiatrowej plany rozwoju zostały zredukowane do 11,8 GW z wcześniej wskazywanych 18 GW (zmniejszenie o 6,2 GW), mimo że właśnie rozstrzygnięte aukcje </w:t>
      </w:r>
      <w:proofErr w:type="spellStart"/>
      <w:r w:rsidRPr="009A4FE6">
        <w:rPr>
          <w:rFonts w:ascii="Calibri" w:hAnsi="Calibri" w:cs="Calibri"/>
          <w:sz w:val="24"/>
          <w:szCs w:val="24"/>
        </w:rPr>
        <w:t>offshore</w:t>
      </w:r>
      <w:proofErr w:type="spellEnd"/>
      <w:r w:rsidRPr="009A4FE6">
        <w:rPr>
          <w:rFonts w:ascii="Calibri" w:hAnsi="Calibri" w:cs="Calibri"/>
          <w:sz w:val="24"/>
          <w:szCs w:val="24"/>
        </w:rPr>
        <w:t xml:space="preserve"> pokazały jedne z najtańszych cen nowych mocy w systemie. </w:t>
      </w:r>
    </w:p>
    <w:p w14:paraId="185EAC34" w14:textId="0B700DA8" w:rsidR="00F71E31" w:rsidRPr="009A4FE6" w:rsidRDefault="00F71E31" w:rsidP="00A91A58">
      <w:pPr>
        <w:jc w:val="both"/>
        <w:rPr>
          <w:rFonts w:ascii="Calibri" w:hAnsi="Calibri" w:cs="Calibri"/>
          <w:sz w:val="24"/>
          <w:szCs w:val="24"/>
        </w:rPr>
      </w:pPr>
      <w:r w:rsidRPr="00F71E31">
        <w:rPr>
          <w:rFonts w:ascii="Calibri" w:hAnsi="Calibri" w:cs="Calibri"/>
          <w:sz w:val="24"/>
          <w:szCs w:val="24"/>
        </w:rPr>
        <w:t xml:space="preserve">Warto podkreślić, że ograniczenie docelowej skali morskiej energetyki wiatrowej do 11,8 GW w projekcie </w:t>
      </w:r>
      <w:proofErr w:type="spellStart"/>
      <w:r w:rsidRPr="00F71E31">
        <w:rPr>
          <w:rFonts w:ascii="Calibri" w:hAnsi="Calibri" w:cs="Calibri"/>
          <w:sz w:val="24"/>
          <w:szCs w:val="24"/>
        </w:rPr>
        <w:t>KPEiK</w:t>
      </w:r>
      <w:proofErr w:type="spellEnd"/>
      <w:r w:rsidRPr="00F71E31">
        <w:rPr>
          <w:rFonts w:ascii="Calibri" w:hAnsi="Calibri" w:cs="Calibri"/>
          <w:sz w:val="24"/>
          <w:szCs w:val="24"/>
        </w:rPr>
        <w:t xml:space="preserve"> nie oznacza cofnięcia zaplanowanych już aukcji ani anulowania istniejących projektów. Dokument ten ma charakter planistyczno-scenariuszowy i nie zmienia obowiązujących ram prawnych. Jednocześnie jednak tak istotna redukcja </w:t>
      </w:r>
      <w:r>
        <w:rPr>
          <w:rFonts w:ascii="Calibri" w:hAnsi="Calibri" w:cs="Calibri"/>
          <w:sz w:val="24"/>
          <w:szCs w:val="24"/>
        </w:rPr>
        <w:t xml:space="preserve">dotycząca </w:t>
      </w:r>
      <w:r w:rsidRPr="00F71E31">
        <w:rPr>
          <w:rFonts w:ascii="Calibri" w:hAnsi="Calibri" w:cs="Calibri"/>
          <w:sz w:val="24"/>
          <w:szCs w:val="24"/>
        </w:rPr>
        <w:t>ambicji</w:t>
      </w:r>
      <w:r>
        <w:rPr>
          <w:rFonts w:ascii="Calibri" w:hAnsi="Calibri" w:cs="Calibri"/>
          <w:sz w:val="24"/>
          <w:szCs w:val="24"/>
        </w:rPr>
        <w:t xml:space="preserve"> naszej strategii</w:t>
      </w:r>
      <w:r w:rsidRPr="00F71E31">
        <w:rPr>
          <w:rFonts w:ascii="Calibri" w:hAnsi="Calibri" w:cs="Calibri"/>
          <w:sz w:val="24"/>
          <w:szCs w:val="24"/>
        </w:rPr>
        <w:t xml:space="preserve"> wysyła silny sygnał do rynku, który pozostaje w sprzeczności z harmonogramem kolejnych aukcji zaplanowanych na lata 2027, 2029 i 2031.</w:t>
      </w:r>
    </w:p>
    <w:p w14:paraId="18BBC614" w14:textId="77777777" w:rsidR="009A2BBA" w:rsidRDefault="00A91A58" w:rsidP="00592BC6">
      <w:pPr>
        <w:jc w:val="both"/>
        <w:rPr>
          <w:rFonts w:ascii="Calibri" w:hAnsi="Calibri" w:cs="Calibri"/>
          <w:sz w:val="24"/>
          <w:szCs w:val="24"/>
        </w:rPr>
      </w:pPr>
      <w:r w:rsidRPr="003E1DED">
        <w:rPr>
          <w:rFonts w:ascii="Calibri" w:hAnsi="Calibri" w:cs="Calibri"/>
          <w:i/>
          <w:iCs/>
          <w:sz w:val="24"/>
          <w:szCs w:val="24"/>
        </w:rPr>
        <w:t xml:space="preserve">- Jest to administracyjne hamowanie technologii, którą rynek i regulator jednoznacznie uznają za najtańsze źródło nowych mocy w systemie. Konsekwencje przyjętych założeń oznaczają silne szoki cenowe, których koszty poniosą odbiorcy energii, przemysł energochłonny oraz cała </w:t>
      </w:r>
      <w:r w:rsidRPr="003E1DED">
        <w:rPr>
          <w:rFonts w:ascii="Calibri" w:hAnsi="Calibri" w:cs="Calibri"/>
          <w:i/>
          <w:iCs/>
          <w:sz w:val="24"/>
          <w:szCs w:val="24"/>
        </w:rPr>
        <w:lastRenderedPageBreak/>
        <w:t>gospodarka</w:t>
      </w:r>
      <w:r>
        <w:t xml:space="preserve"> - </w:t>
      </w:r>
      <w:r>
        <w:rPr>
          <w:rFonts w:ascii="Calibri" w:hAnsi="Calibri" w:cs="Calibri"/>
          <w:sz w:val="24"/>
          <w:szCs w:val="24"/>
        </w:rPr>
        <w:t>mówi</w:t>
      </w:r>
      <w:r w:rsidRPr="00933BEC">
        <w:rPr>
          <w:rFonts w:ascii="Calibri" w:hAnsi="Calibri" w:cs="Calibri"/>
          <w:sz w:val="24"/>
          <w:szCs w:val="24"/>
        </w:rPr>
        <w:t xml:space="preserve"> </w:t>
      </w:r>
      <w:r w:rsidRPr="00933BEC">
        <w:rPr>
          <w:rFonts w:ascii="Calibri" w:hAnsi="Calibri" w:cs="Calibri"/>
          <w:b/>
          <w:bCs/>
          <w:sz w:val="24"/>
          <w:szCs w:val="24"/>
        </w:rPr>
        <w:t xml:space="preserve">Janusz </w:t>
      </w:r>
      <w:proofErr w:type="spellStart"/>
      <w:r w:rsidRPr="00933BEC">
        <w:rPr>
          <w:rFonts w:ascii="Calibri" w:hAnsi="Calibri" w:cs="Calibri"/>
          <w:b/>
          <w:bCs/>
          <w:sz w:val="24"/>
          <w:szCs w:val="24"/>
        </w:rPr>
        <w:t>Gajowiecki</w:t>
      </w:r>
      <w:proofErr w:type="spellEnd"/>
      <w:r w:rsidRPr="00933BEC">
        <w:rPr>
          <w:rFonts w:ascii="Calibri" w:hAnsi="Calibri" w:cs="Calibri"/>
          <w:b/>
          <w:bCs/>
          <w:sz w:val="24"/>
          <w:szCs w:val="24"/>
        </w:rPr>
        <w:t>, prezes Polskiego Stowarzyszenia Energetyki Wiatrowej</w:t>
      </w:r>
      <w:r>
        <w:rPr>
          <w:rFonts w:ascii="Calibri" w:hAnsi="Calibri" w:cs="Calibri"/>
          <w:b/>
          <w:bCs/>
          <w:sz w:val="24"/>
          <w:szCs w:val="24"/>
        </w:rPr>
        <w:t xml:space="preserve"> (PSEW)</w:t>
      </w:r>
      <w:r w:rsidRPr="00933BEC">
        <w:rPr>
          <w:rFonts w:ascii="Calibri" w:hAnsi="Calibri" w:cs="Calibri"/>
          <w:sz w:val="24"/>
          <w:szCs w:val="24"/>
        </w:rPr>
        <w:t>.</w:t>
      </w:r>
    </w:p>
    <w:p w14:paraId="6F35F484" w14:textId="20CAA229" w:rsidR="00EB2869" w:rsidRDefault="00EB2869" w:rsidP="00592BC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Pierwszy prąd z farm wiatrowych na Bałtyku już w 2026 r.</w:t>
      </w:r>
    </w:p>
    <w:p w14:paraId="44AE3961" w14:textId="4C2F8FE5" w:rsidR="00F71E31" w:rsidRPr="00F71E31" w:rsidRDefault="00F71E31" w:rsidP="00592BC6">
      <w:pPr>
        <w:jc w:val="both"/>
        <w:rPr>
          <w:rFonts w:ascii="Calibri" w:hAnsi="Calibri" w:cs="Calibri"/>
          <w:sz w:val="24"/>
          <w:szCs w:val="24"/>
        </w:rPr>
      </w:pPr>
      <w:r w:rsidRPr="00F71E31">
        <w:rPr>
          <w:rFonts w:ascii="Calibri" w:hAnsi="Calibri" w:cs="Calibri"/>
          <w:sz w:val="24"/>
          <w:szCs w:val="24"/>
        </w:rPr>
        <w:t xml:space="preserve">Już dziś portfel projektów morskiej energetyki wiatrowej w Polsce przekracza poziom 11,8 GW wskazany w projekcie </w:t>
      </w:r>
      <w:proofErr w:type="spellStart"/>
      <w:r w:rsidRPr="00F71E31">
        <w:rPr>
          <w:rFonts w:ascii="Calibri" w:hAnsi="Calibri" w:cs="Calibri"/>
          <w:sz w:val="24"/>
          <w:szCs w:val="24"/>
        </w:rPr>
        <w:t>KPEiK</w:t>
      </w:r>
      <w:proofErr w:type="spellEnd"/>
      <w:r w:rsidRPr="00F71E31">
        <w:rPr>
          <w:rFonts w:ascii="Calibri" w:hAnsi="Calibri" w:cs="Calibri"/>
          <w:sz w:val="24"/>
          <w:szCs w:val="24"/>
        </w:rPr>
        <w:t xml:space="preserve">. Obejmuje on 5,9 GW realizowane w I fazie oraz ok. 3,4 GW zakontraktowane w aukcji z 2025 r., a także kolejne obszary przygotowywane </w:t>
      </w:r>
      <w:r>
        <w:rPr>
          <w:rFonts w:ascii="Calibri" w:hAnsi="Calibri" w:cs="Calibri"/>
          <w:sz w:val="24"/>
          <w:szCs w:val="24"/>
        </w:rPr>
        <w:t>pod</w:t>
      </w:r>
      <w:r w:rsidRPr="00F71E31">
        <w:rPr>
          <w:rFonts w:ascii="Calibri" w:hAnsi="Calibri" w:cs="Calibri"/>
          <w:sz w:val="24"/>
          <w:szCs w:val="24"/>
        </w:rPr>
        <w:t xml:space="preserve"> przyszł</w:t>
      </w:r>
      <w:r>
        <w:rPr>
          <w:rFonts w:ascii="Calibri" w:hAnsi="Calibri" w:cs="Calibri"/>
          <w:sz w:val="24"/>
          <w:szCs w:val="24"/>
        </w:rPr>
        <w:t>e</w:t>
      </w:r>
      <w:r w:rsidRPr="00F71E31">
        <w:rPr>
          <w:rFonts w:ascii="Calibri" w:hAnsi="Calibri" w:cs="Calibri"/>
          <w:sz w:val="24"/>
          <w:szCs w:val="24"/>
        </w:rPr>
        <w:t xml:space="preserve"> aukcj</w:t>
      </w:r>
      <w:r>
        <w:rPr>
          <w:rFonts w:ascii="Calibri" w:hAnsi="Calibri" w:cs="Calibri"/>
          <w:sz w:val="24"/>
          <w:szCs w:val="24"/>
        </w:rPr>
        <w:t>e</w:t>
      </w:r>
      <w:r w:rsidRPr="00F71E31">
        <w:rPr>
          <w:rFonts w:ascii="Calibri" w:hAnsi="Calibri" w:cs="Calibri"/>
          <w:sz w:val="24"/>
          <w:szCs w:val="24"/>
        </w:rPr>
        <w:t xml:space="preserve">, których potencjał szacowany jest na kilka gigawatów. Jednocześnie rządowy harmonogram zakłada przeprowadzenie kolejnych aukcji na łącznie 8 GW w latach 2027–2031, co pokazuje, że faktyczne działania inwestycyjne wykraczają poza bardziej zachowawczy scenariusz zapisany w </w:t>
      </w:r>
      <w:proofErr w:type="spellStart"/>
      <w:r w:rsidRPr="00F71E31">
        <w:rPr>
          <w:rFonts w:ascii="Calibri" w:hAnsi="Calibri" w:cs="Calibri"/>
          <w:sz w:val="24"/>
          <w:szCs w:val="24"/>
        </w:rPr>
        <w:t>KPEiK</w:t>
      </w:r>
      <w:proofErr w:type="spellEnd"/>
      <w:r w:rsidRPr="00F71E31">
        <w:rPr>
          <w:rFonts w:ascii="Calibri" w:hAnsi="Calibri" w:cs="Calibri"/>
          <w:sz w:val="24"/>
          <w:szCs w:val="24"/>
        </w:rPr>
        <w:t>.</w:t>
      </w:r>
    </w:p>
    <w:p w14:paraId="6C77EDA1" w14:textId="5008F358" w:rsidR="00853AF4" w:rsidRDefault="00A91A58" w:rsidP="00592BC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8A34BE" w:rsidRPr="008A34BE">
        <w:rPr>
          <w:rFonts w:ascii="Calibri" w:hAnsi="Calibri" w:cs="Calibri"/>
          <w:sz w:val="24"/>
          <w:szCs w:val="24"/>
        </w:rPr>
        <w:t xml:space="preserve">ozytywne rozstrzygnięcie aukcji </w:t>
      </w:r>
      <w:proofErr w:type="spellStart"/>
      <w:r w:rsidR="008A34BE" w:rsidRPr="008A34BE">
        <w:rPr>
          <w:rFonts w:ascii="Calibri" w:hAnsi="Calibri" w:cs="Calibri"/>
          <w:sz w:val="24"/>
          <w:szCs w:val="24"/>
        </w:rPr>
        <w:t>offshore</w:t>
      </w:r>
      <w:proofErr w:type="spellEnd"/>
      <w:r w:rsidR="008A34BE" w:rsidRPr="008A34BE">
        <w:rPr>
          <w:rFonts w:ascii="Calibri" w:hAnsi="Calibri" w:cs="Calibri"/>
          <w:sz w:val="24"/>
          <w:szCs w:val="24"/>
        </w:rPr>
        <w:t xml:space="preserve"> w 2025 r. </w:t>
      </w:r>
      <w:r>
        <w:rPr>
          <w:rFonts w:ascii="Calibri" w:hAnsi="Calibri" w:cs="Calibri"/>
          <w:sz w:val="24"/>
          <w:szCs w:val="24"/>
        </w:rPr>
        <w:t>p</w:t>
      </w:r>
      <w:r w:rsidR="008A34BE" w:rsidRPr="008A34BE">
        <w:rPr>
          <w:rFonts w:ascii="Calibri" w:hAnsi="Calibri" w:cs="Calibri"/>
          <w:sz w:val="24"/>
          <w:szCs w:val="24"/>
        </w:rPr>
        <w:t>otwierdziło, że sektor ma realne podstawy</w:t>
      </w:r>
      <w:r w:rsidR="004362F7">
        <w:rPr>
          <w:rFonts w:ascii="Calibri" w:hAnsi="Calibri" w:cs="Calibri"/>
          <w:sz w:val="24"/>
          <w:szCs w:val="24"/>
        </w:rPr>
        <w:t xml:space="preserve"> i gotowość</w:t>
      </w:r>
      <w:r w:rsidR="008A34BE" w:rsidRPr="008A34BE">
        <w:rPr>
          <w:rFonts w:ascii="Calibri" w:hAnsi="Calibri" w:cs="Calibri"/>
          <w:sz w:val="24"/>
          <w:szCs w:val="24"/>
        </w:rPr>
        <w:t xml:space="preserve"> do dalszego rozwoju i stanowi ważny element zabezpieczenia systemu przed luką generacyjną. Bez nowych mocy wytwórczych Polska byłaby zmuszona do zwiększonego importu energii, co osłabiłoby konkurencyjność gospodarki i podniosło koszty dla odbiorców końcowych.</w:t>
      </w:r>
    </w:p>
    <w:p w14:paraId="4E028AEA" w14:textId="64C8A4F8" w:rsidR="00ED232F" w:rsidRDefault="00BB2059" w:rsidP="0062399C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933BEC">
        <w:rPr>
          <w:rFonts w:ascii="Calibri" w:hAnsi="Calibri" w:cs="Calibri"/>
          <w:i/>
          <w:iCs/>
          <w:sz w:val="24"/>
          <w:szCs w:val="24"/>
        </w:rPr>
        <w:t>–</w:t>
      </w:r>
      <w:r w:rsidR="00A55B5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2399C" w:rsidRPr="00BB2059">
        <w:rPr>
          <w:rFonts w:ascii="Calibri" w:hAnsi="Calibri" w:cs="Calibri"/>
          <w:i/>
          <w:iCs/>
          <w:sz w:val="24"/>
          <w:szCs w:val="24"/>
        </w:rPr>
        <w:t>W dłuższym horyzoncie morska energetyka wiatrowa odegra istotną rolę w obniżaniu i stabilizowaniu cen energii.</w:t>
      </w:r>
      <w:r w:rsidR="002608A2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608A2" w:rsidRPr="002608A2">
        <w:rPr>
          <w:rFonts w:ascii="Calibri" w:hAnsi="Calibri" w:cs="Calibri"/>
          <w:i/>
          <w:iCs/>
          <w:sz w:val="24"/>
          <w:szCs w:val="24"/>
        </w:rPr>
        <w:t xml:space="preserve">Każdy dodatkowy gigawat mocy zainstalowanej na morzu wypiera z rynku najdroższe źródła, które dziś często wyznaczają cenę krańcową, poprawiając </w:t>
      </w:r>
      <w:r w:rsidR="004362F7">
        <w:rPr>
          <w:rFonts w:ascii="Calibri" w:hAnsi="Calibri" w:cs="Calibri"/>
          <w:i/>
          <w:iCs/>
          <w:sz w:val="24"/>
          <w:szCs w:val="24"/>
        </w:rPr>
        <w:t xml:space="preserve">jednocześnie </w:t>
      </w:r>
      <w:r w:rsidR="002608A2" w:rsidRPr="002608A2">
        <w:rPr>
          <w:rFonts w:ascii="Calibri" w:hAnsi="Calibri" w:cs="Calibri"/>
          <w:i/>
          <w:iCs/>
          <w:sz w:val="24"/>
          <w:szCs w:val="24"/>
        </w:rPr>
        <w:t xml:space="preserve">konkurencyjność polskich </w:t>
      </w:r>
      <w:r w:rsidR="002460C4">
        <w:rPr>
          <w:rFonts w:ascii="Calibri" w:hAnsi="Calibri" w:cs="Calibri"/>
          <w:i/>
          <w:iCs/>
          <w:sz w:val="24"/>
          <w:szCs w:val="24"/>
        </w:rPr>
        <w:t>przedsiębiorstw</w:t>
      </w:r>
      <w:r w:rsidR="002460C4" w:rsidRPr="002608A2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608A2" w:rsidRPr="002608A2">
        <w:rPr>
          <w:rFonts w:ascii="Calibri" w:hAnsi="Calibri" w:cs="Calibri"/>
          <w:i/>
          <w:iCs/>
          <w:sz w:val="24"/>
          <w:szCs w:val="24"/>
        </w:rPr>
        <w:t>na rynkach międzynarodowych.</w:t>
      </w:r>
      <w:r w:rsidR="002608A2">
        <w:rPr>
          <w:rFonts w:ascii="Calibri" w:hAnsi="Calibri" w:cs="Calibri"/>
          <w:sz w:val="24"/>
          <w:szCs w:val="24"/>
        </w:rPr>
        <w:t xml:space="preserve"> </w:t>
      </w:r>
      <w:r w:rsidR="00ED232F" w:rsidRPr="00E94AF7">
        <w:rPr>
          <w:rFonts w:ascii="Calibri" w:hAnsi="Calibri" w:cs="Calibri"/>
          <w:sz w:val="24"/>
          <w:szCs w:val="24"/>
        </w:rPr>
        <w:t xml:space="preserve">- </w:t>
      </w:r>
      <w:r w:rsidR="00ED232F" w:rsidRPr="002C78DF">
        <w:rPr>
          <w:rFonts w:ascii="Calibri" w:hAnsi="Calibri" w:cs="Calibri"/>
          <w:sz w:val="24"/>
          <w:szCs w:val="24"/>
        </w:rPr>
        <w:t>podkreśla</w:t>
      </w:r>
      <w:r w:rsidR="00ED232F" w:rsidRPr="00E94AF7">
        <w:rPr>
          <w:rFonts w:ascii="Calibri" w:hAnsi="Calibri" w:cs="Calibri"/>
          <w:b/>
          <w:bCs/>
          <w:sz w:val="24"/>
          <w:szCs w:val="24"/>
        </w:rPr>
        <w:t xml:space="preserve"> Oliwia Mróz-Malik, Menedżer ds. morskiej energetyki wiatrowej, inwestycji i rozwoju w PSEW</w:t>
      </w:r>
      <w:r w:rsidR="00257F4A">
        <w:rPr>
          <w:rFonts w:ascii="Calibri" w:hAnsi="Calibri" w:cs="Calibri"/>
          <w:b/>
          <w:bCs/>
          <w:sz w:val="24"/>
          <w:szCs w:val="24"/>
        </w:rPr>
        <w:t>.</w:t>
      </w:r>
    </w:p>
    <w:p w14:paraId="5FA31FB9" w14:textId="7B966910" w:rsidR="00EB2869" w:rsidRPr="00EB2869" w:rsidRDefault="009A712F" w:rsidP="0062399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Koło zamachowe gospodarki</w:t>
      </w:r>
    </w:p>
    <w:p w14:paraId="7B597DD3" w14:textId="644FF13A" w:rsidR="009A712F" w:rsidRPr="009A712F" w:rsidRDefault="009A712F" w:rsidP="009A712F">
      <w:pPr>
        <w:jc w:val="both"/>
        <w:rPr>
          <w:rFonts w:ascii="Calibri" w:hAnsi="Calibri" w:cs="Calibri"/>
          <w:sz w:val="24"/>
          <w:szCs w:val="24"/>
        </w:rPr>
      </w:pPr>
      <w:r w:rsidRPr="009A712F">
        <w:rPr>
          <w:rFonts w:ascii="Calibri" w:hAnsi="Calibri" w:cs="Calibri"/>
          <w:sz w:val="24"/>
          <w:szCs w:val="24"/>
        </w:rPr>
        <w:t xml:space="preserve">Morska energetyka wiatrowa to jednocześnie ogromna szansa dla polskich firm. Szacuje się, że udział krajowych przedsiębiorstw w łańcuchu dostaw może przekroczyć 40%, a już dziś widać, że ten udział systematycznie rośnie. </w:t>
      </w:r>
      <w:r>
        <w:rPr>
          <w:rFonts w:ascii="Calibri" w:hAnsi="Calibri" w:cs="Calibri"/>
          <w:sz w:val="24"/>
          <w:szCs w:val="24"/>
        </w:rPr>
        <w:t>Do zrealizowanych inwestycji, takich jak g</w:t>
      </w:r>
      <w:r w:rsidRPr="009A712F">
        <w:rPr>
          <w:rFonts w:ascii="Calibri" w:hAnsi="Calibri" w:cs="Calibri"/>
          <w:sz w:val="24"/>
          <w:szCs w:val="24"/>
        </w:rPr>
        <w:t>dańsk</w:t>
      </w:r>
      <w:r>
        <w:rPr>
          <w:rFonts w:ascii="Calibri" w:hAnsi="Calibri" w:cs="Calibri"/>
          <w:sz w:val="24"/>
          <w:szCs w:val="24"/>
        </w:rPr>
        <w:t>a</w:t>
      </w:r>
      <w:r w:rsidRPr="009A712F">
        <w:rPr>
          <w:rFonts w:ascii="Calibri" w:hAnsi="Calibri" w:cs="Calibri"/>
          <w:sz w:val="24"/>
          <w:szCs w:val="24"/>
        </w:rPr>
        <w:t xml:space="preserve"> fabryka wież </w:t>
      </w:r>
      <w:proofErr w:type="spellStart"/>
      <w:r w:rsidRPr="009A712F">
        <w:rPr>
          <w:rFonts w:ascii="Calibri" w:hAnsi="Calibri" w:cs="Calibri"/>
          <w:sz w:val="24"/>
          <w:szCs w:val="24"/>
        </w:rPr>
        <w:t>Baltic</w:t>
      </w:r>
      <w:proofErr w:type="spellEnd"/>
      <w:r w:rsidRPr="009A712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A712F">
        <w:rPr>
          <w:rFonts w:ascii="Calibri" w:hAnsi="Calibri" w:cs="Calibri"/>
          <w:sz w:val="24"/>
          <w:szCs w:val="24"/>
        </w:rPr>
        <w:t>Towers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 w:rsidRPr="009A712F">
        <w:rPr>
          <w:rFonts w:ascii="Calibri" w:hAnsi="Calibri" w:cs="Calibri"/>
          <w:sz w:val="24"/>
          <w:szCs w:val="24"/>
        </w:rPr>
        <w:t xml:space="preserve">fabryka montażowa gondoli turbin morskich </w:t>
      </w:r>
      <w:proofErr w:type="spellStart"/>
      <w:r w:rsidRPr="009A712F">
        <w:rPr>
          <w:rFonts w:ascii="Calibri" w:hAnsi="Calibri" w:cs="Calibri"/>
          <w:sz w:val="24"/>
          <w:szCs w:val="24"/>
        </w:rPr>
        <w:t>Vestas</w:t>
      </w:r>
      <w:proofErr w:type="spellEnd"/>
      <w:r w:rsidRPr="009A712F">
        <w:rPr>
          <w:rFonts w:ascii="Calibri" w:hAnsi="Calibri" w:cs="Calibri"/>
          <w:sz w:val="24"/>
          <w:szCs w:val="24"/>
        </w:rPr>
        <w:t xml:space="preserve">, </w:t>
      </w:r>
      <w:r w:rsidR="00BA626B">
        <w:rPr>
          <w:rFonts w:ascii="Calibri" w:hAnsi="Calibri" w:cs="Calibri"/>
          <w:sz w:val="24"/>
          <w:szCs w:val="24"/>
        </w:rPr>
        <w:t>czy</w:t>
      </w:r>
      <w:r w:rsidRPr="009A712F">
        <w:rPr>
          <w:rFonts w:ascii="Calibri" w:hAnsi="Calibri" w:cs="Calibri"/>
          <w:sz w:val="24"/>
          <w:szCs w:val="24"/>
        </w:rPr>
        <w:t xml:space="preserve"> pierwszy etap portu instalacyjnego w Świnoujściu, </w:t>
      </w:r>
      <w:r w:rsidR="00BA626B">
        <w:rPr>
          <w:rFonts w:ascii="Calibri" w:hAnsi="Calibri" w:cs="Calibri"/>
          <w:sz w:val="24"/>
          <w:szCs w:val="24"/>
        </w:rPr>
        <w:t>dołączą wkrótce kolejne.</w:t>
      </w:r>
    </w:p>
    <w:p w14:paraId="333D13B2" w14:textId="5084CB11" w:rsidR="009A712F" w:rsidRPr="009A712F" w:rsidRDefault="009A712F" w:rsidP="009A712F">
      <w:pPr>
        <w:jc w:val="both"/>
        <w:rPr>
          <w:rFonts w:ascii="Calibri" w:hAnsi="Calibri" w:cs="Calibri"/>
          <w:sz w:val="24"/>
          <w:szCs w:val="24"/>
        </w:rPr>
      </w:pPr>
      <w:r w:rsidRPr="009A712F">
        <w:rPr>
          <w:rFonts w:ascii="Calibri" w:hAnsi="Calibri" w:cs="Calibri"/>
          <w:sz w:val="24"/>
          <w:szCs w:val="24"/>
        </w:rPr>
        <w:t xml:space="preserve">W realizacji są kolejne kluczowe </w:t>
      </w:r>
      <w:r w:rsidR="00BA626B">
        <w:rPr>
          <w:rFonts w:ascii="Calibri" w:hAnsi="Calibri" w:cs="Calibri"/>
          <w:sz w:val="24"/>
          <w:szCs w:val="24"/>
        </w:rPr>
        <w:t xml:space="preserve">dla </w:t>
      </w:r>
      <w:proofErr w:type="spellStart"/>
      <w:r w:rsidR="00BA626B" w:rsidRPr="00BA626B">
        <w:rPr>
          <w:rFonts w:ascii="Calibri" w:hAnsi="Calibri" w:cs="Calibri"/>
          <w:sz w:val="24"/>
          <w:szCs w:val="24"/>
        </w:rPr>
        <w:t>offshore</w:t>
      </w:r>
      <w:proofErr w:type="spellEnd"/>
      <w:r w:rsidR="00BA626B" w:rsidRPr="00BA626B">
        <w:rPr>
          <w:rFonts w:ascii="Calibri" w:hAnsi="Calibri" w:cs="Calibri"/>
          <w:sz w:val="24"/>
          <w:szCs w:val="24"/>
        </w:rPr>
        <w:t xml:space="preserve"> </w:t>
      </w:r>
      <w:r w:rsidR="002460C4">
        <w:rPr>
          <w:rFonts w:ascii="Calibri" w:hAnsi="Calibri" w:cs="Calibri"/>
          <w:sz w:val="24"/>
          <w:szCs w:val="24"/>
        </w:rPr>
        <w:t xml:space="preserve">wind </w:t>
      </w:r>
      <w:r w:rsidRPr="009A712F">
        <w:rPr>
          <w:rFonts w:ascii="Calibri" w:hAnsi="Calibri" w:cs="Calibri"/>
          <w:sz w:val="24"/>
          <w:szCs w:val="24"/>
        </w:rPr>
        <w:t xml:space="preserve">przedsięwzięcia: port instalacyjny w Gdańsku o wartości około 1,2 mld zł, fabryka wież </w:t>
      </w:r>
      <w:proofErr w:type="spellStart"/>
      <w:r w:rsidRPr="009A712F">
        <w:rPr>
          <w:rFonts w:ascii="Calibri" w:hAnsi="Calibri" w:cs="Calibri"/>
          <w:sz w:val="24"/>
          <w:szCs w:val="24"/>
        </w:rPr>
        <w:t>Windar</w:t>
      </w:r>
      <w:proofErr w:type="spellEnd"/>
      <w:r w:rsidRPr="009A712F">
        <w:rPr>
          <w:rFonts w:ascii="Calibri" w:hAnsi="Calibri" w:cs="Calibri"/>
          <w:sz w:val="24"/>
          <w:szCs w:val="24"/>
        </w:rPr>
        <w:t xml:space="preserve"> w Szczecinie za około 700 mln zł, która ma zapewnić 450 miejsc pracy, następne etapy rozbudowy portu w Świnoujściu oraz nowe bazy serwisowe w Łebie, Ustce i Władysławowie. To twarde dane pokazujące, że za pojęciem „</w:t>
      </w:r>
      <w:proofErr w:type="spellStart"/>
      <w:r w:rsidRPr="009A712F">
        <w:rPr>
          <w:rFonts w:ascii="Calibri" w:hAnsi="Calibri" w:cs="Calibri"/>
          <w:sz w:val="24"/>
          <w:szCs w:val="24"/>
        </w:rPr>
        <w:t>offshore</w:t>
      </w:r>
      <w:proofErr w:type="spellEnd"/>
      <w:r w:rsidRPr="009A712F">
        <w:rPr>
          <w:rFonts w:ascii="Calibri" w:hAnsi="Calibri" w:cs="Calibri"/>
          <w:sz w:val="24"/>
          <w:szCs w:val="24"/>
        </w:rPr>
        <w:t xml:space="preserve"> wind” stoją realne inwestycje przemysłowe, miejsca pracy, kontrakty dla lokalnych firm oraz nowoczesne kompetencje, które pozostaną w polskiej gospodarce na lata.</w:t>
      </w:r>
    </w:p>
    <w:p w14:paraId="36184FB8" w14:textId="2F64536E" w:rsidR="00EB2869" w:rsidRPr="00BA626B" w:rsidRDefault="00BA626B" w:rsidP="0062399C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933BEC">
        <w:rPr>
          <w:rFonts w:ascii="Calibri" w:hAnsi="Calibri" w:cs="Calibri"/>
          <w:i/>
          <w:iCs/>
          <w:sz w:val="24"/>
          <w:szCs w:val="24"/>
        </w:rPr>
        <w:t>–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BA626B">
        <w:rPr>
          <w:rFonts w:ascii="Calibri" w:hAnsi="Calibri" w:cs="Calibri"/>
          <w:i/>
          <w:iCs/>
          <w:sz w:val="24"/>
          <w:szCs w:val="24"/>
        </w:rPr>
        <w:t>Morska energetyka wiatrowa to dziś jeden z nielicznych projektów, w których ambicje energetyczne Polski bezpośrednio przekładają się na realne inwestycje przemysłowe</w:t>
      </w:r>
      <w:r w:rsidR="002460C4">
        <w:rPr>
          <w:rFonts w:ascii="Calibri" w:hAnsi="Calibri" w:cs="Calibri"/>
          <w:i/>
          <w:iCs/>
          <w:sz w:val="24"/>
          <w:szCs w:val="24"/>
        </w:rPr>
        <w:t xml:space="preserve"> i szereg korzyści społecznych i gospodarczych dla polskiej gospodarki</w:t>
      </w:r>
      <w:r w:rsidRPr="00BA626B">
        <w:rPr>
          <w:rFonts w:ascii="Calibri" w:hAnsi="Calibri" w:cs="Calibri"/>
          <w:i/>
          <w:iCs/>
          <w:sz w:val="24"/>
          <w:szCs w:val="24"/>
        </w:rPr>
        <w:t xml:space="preserve">. Setki miliardów złotych nakładów, dziesiątki miliardów wpływów do finansów publicznych i rosnący udział polskich </w:t>
      </w:r>
      <w:r w:rsidR="002460C4">
        <w:rPr>
          <w:rFonts w:ascii="Calibri" w:hAnsi="Calibri" w:cs="Calibri"/>
          <w:i/>
          <w:iCs/>
          <w:sz w:val="24"/>
          <w:szCs w:val="24"/>
        </w:rPr>
        <w:t>przedsiębiorstw</w:t>
      </w:r>
      <w:r w:rsidR="002460C4" w:rsidRPr="00BA626B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BA626B">
        <w:rPr>
          <w:rFonts w:ascii="Calibri" w:hAnsi="Calibri" w:cs="Calibri"/>
          <w:i/>
          <w:iCs/>
          <w:sz w:val="24"/>
          <w:szCs w:val="24"/>
        </w:rPr>
        <w:t xml:space="preserve">w łańcuchu dostaw pokazują, że </w:t>
      </w:r>
      <w:proofErr w:type="spellStart"/>
      <w:r w:rsidRPr="00BA626B">
        <w:rPr>
          <w:rFonts w:ascii="Calibri" w:hAnsi="Calibri" w:cs="Calibri"/>
          <w:i/>
          <w:iCs/>
          <w:sz w:val="24"/>
          <w:szCs w:val="24"/>
        </w:rPr>
        <w:t>offshore</w:t>
      </w:r>
      <w:proofErr w:type="spellEnd"/>
      <w:r w:rsidRPr="00BA626B">
        <w:rPr>
          <w:rFonts w:ascii="Calibri" w:hAnsi="Calibri" w:cs="Calibri"/>
          <w:i/>
          <w:iCs/>
          <w:sz w:val="24"/>
          <w:szCs w:val="24"/>
        </w:rPr>
        <w:t xml:space="preserve"> wind nie jest wizją, lecz trwałym fundamentem rozwoju gospodarczego, kompetencyjnego i technologicznego kraju.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33BEC">
        <w:rPr>
          <w:rFonts w:ascii="Calibri" w:hAnsi="Calibri" w:cs="Calibri"/>
          <w:b/>
          <w:bCs/>
          <w:sz w:val="24"/>
          <w:szCs w:val="24"/>
        </w:rPr>
        <w:t>–</w:t>
      </w:r>
      <w:r w:rsidRPr="00933BEC">
        <w:rPr>
          <w:rFonts w:ascii="Calibri" w:hAnsi="Calibri" w:cs="Calibri"/>
          <w:sz w:val="24"/>
          <w:szCs w:val="24"/>
        </w:rPr>
        <w:t xml:space="preserve"> </w:t>
      </w:r>
      <w:r w:rsidR="00A91A58">
        <w:rPr>
          <w:rFonts w:ascii="Calibri" w:hAnsi="Calibri" w:cs="Calibri"/>
          <w:sz w:val="24"/>
          <w:szCs w:val="24"/>
        </w:rPr>
        <w:t xml:space="preserve">dodaje </w:t>
      </w:r>
      <w:r w:rsidR="00A91A58" w:rsidRPr="00E94AF7">
        <w:rPr>
          <w:rFonts w:ascii="Calibri" w:hAnsi="Calibri" w:cs="Calibri"/>
          <w:b/>
          <w:bCs/>
          <w:sz w:val="24"/>
          <w:szCs w:val="24"/>
        </w:rPr>
        <w:t>Oliwia Mróz-Malik</w:t>
      </w:r>
      <w:r w:rsidR="00A55B55">
        <w:rPr>
          <w:rFonts w:ascii="Calibri" w:hAnsi="Calibri" w:cs="Calibri"/>
          <w:b/>
          <w:bCs/>
          <w:sz w:val="24"/>
          <w:szCs w:val="24"/>
        </w:rPr>
        <w:t>.</w:t>
      </w:r>
    </w:p>
    <w:p w14:paraId="196FBF52" w14:textId="3EDF0BDE" w:rsidR="00FA2BF1" w:rsidRPr="00F069C9" w:rsidRDefault="00FA2BF1" w:rsidP="00592BC6">
      <w:pPr>
        <w:jc w:val="both"/>
        <w:rPr>
          <w:rFonts w:ascii="Calibri" w:hAnsi="Calibri" w:cs="Calibri"/>
          <w:sz w:val="24"/>
          <w:szCs w:val="24"/>
        </w:rPr>
      </w:pPr>
      <w:r w:rsidRPr="00FA2BF1">
        <w:rPr>
          <w:rFonts w:ascii="Calibri" w:hAnsi="Calibri" w:cs="Calibri"/>
          <w:sz w:val="24"/>
          <w:szCs w:val="24"/>
        </w:rPr>
        <w:lastRenderedPageBreak/>
        <w:t>Jednocześnie, obok ogromnych inwestycji realizowanych w sektorze, coraz wyraźniej widocznym wyzwaniem staje się narastająca dezinformacja dotycząca morskiej energetyki wiatrowej. Nieprawdziwe przekazy koncentrują się m.in. wokół kwestii oddziaływania farm wiatrowych</w:t>
      </w:r>
      <w:r>
        <w:rPr>
          <w:rFonts w:ascii="Calibri" w:hAnsi="Calibri" w:cs="Calibri"/>
          <w:sz w:val="24"/>
          <w:szCs w:val="24"/>
        </w:rPr>
        <w:t xml:space="preserve">, </w:t>
      </w:r>
      <w:r w:rsidRPr="00FA2BF1">
        <w:rPr>
          <w:rFonts w:ascii="Calibri" w:hAnsi="Calibri" w:cs="Calibri"/>
          <w:sz w:val="24"/>
          <w:szCs w:val="24"/>
        </w:rPr>
        <w:t xml:space="preserve">kosztów inwestycji czy </w:t>
      </w:r>
      <w:r>
        <w:rPr>
          <w:rFonts w:ascii="Calibri" w:hAnsi="Calibri" w:cs="Calibri"/>
          <w:sz w:val="24"/>
          <w:szCs w:val="24"/>
        </w:rPr>
        <w:t>o</w:t>
      </w:r>
      <w:r w:rsidRPr="00FA2BF1">
        <w:rPr>
          <w:rFonts w:ascii="Calibri" w:hAnsi="Calibri" w:cs="Calibri"/>
          <w:sz w:val="24"/>
          <w:szCs w:val="24"/>
        </w:rPr>
        <w:t>płacalności</w:t>
      </w:r>
      <w:r>
        <w:rPr>
          <w:rFonts w:ascii="Calibri" w:hAnsi="Calibri" w:cs="Calibri"/>
          <w:sz w:val="24"/>
          <w:szCs w:val="24"/>
        </w:rPr>
        <w:t xml:space="preserve"> tej</w:t>
      </w:r>
      <w:r w:rsidRPr="00FA2BF1">
        <w:rPr>
          <w:rFonts w:ascii="Calibri" w:hAnsi="Calibri" w:cs="Calibri"/>
          <w:sz w:val="24"/>
          <w:szCs w:val="24"/>
        </w:rPr>
        <w:t xml:space="preserve"> technologii. W odpowiedzi na te wyzwania oraz w celu budowania rzetelnego społecznego zrozumienia dla rozwoju morskiej energetyki wiatrowej, Polskie Stowarzyszenie Energetyki Wiatrowej zainicjowało ogólnopolską kampanię edukacyjno-informacyjną. Projekt realizowany jest we współpracy z Fundacją ORLEN.</w:t>
      </w:r>
    </w:p>
    <w:p w14:paraId="38909E38" w14:textId="77777777" w:rsidR="00D74639" w:rsidRPr="00716F1B" w:rsidRDefault="00D74639" w:rsidP="00592BC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A484434" w14:textId="77777777" w:rsidR="00D74639" w:rsidRPr="00716F1B" w:rsidRDefault="00D74639" w:rsidP="00592BC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768C30" w14:textId="77777777" w:rsidR="00D74639" w:rsidRPr="00716F1B" w:rsidRDefault="00D74639" w:rsidP="00592BC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3E793F" w14:textId="77777777" w:rsidR="00D74639" w:rsidRPr="00716F1B" w:rsidRDefault="00D74639" w:rsidP="00592BC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4A91A6F" w14:textId="77777777" w:rsidR="002C4AC1" w:rsidRPr="00716F1B" w:rsidRDefault="002C4AC1" w:rsidP="00592BC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573EE6" w14:textId="77777777" w:rsidR="002C4AC1" w:rsidRPr="00716F1B" w:rsidRDefault="002C4AC1" w:rsidP="00592BC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A5A40EA" w14:textId="77777777" w:rsidR="00716F1B" w:rsidRPr="00716F1B" w:rsidRDefault="00716F1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716F1B" w:rsidRPr="00716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3F3"/>
    <w:multiLevelType w:val="multilevel"/>
    <w:tmpl w:val="42A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0128C"/>
    <w:multiLevelType w:val="multilevel"/>
    <w:tmpl w:val="4B5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111B1"/>
    <w:multiLevelType w:val="hybridMultilevel"/>
    <w:tmpl w:val="F3D49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7A47"/>
    <w:multiLevelType w:val="multilevel"/>
    <w:tmpl w:val="73D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95D9D"/>
    <w:multiLevelType w:val="multilevel"/>
    <w:tmpl w:val="3AA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01D29"/>
    <w:multiLevelType w:val="multilevel"/>
    <w:tmpl w:val="C0D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1425F"/>
    <w:multiLevelType w:val="multilevel"/>
    <w:tmpl w:val="D49E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25FE0"/>
    <w:multiLevelType w:val="hybridMultilevel"/>
    <w:tmpl w:val="BB30A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29712">
    <w:abstractNumId w:val="3"/>
  </w:num>
  <w:num w:numId="2" w16cid:durableId="770467249">
    <w:abstractNumId w:val="4"/>
  </w:num>
  <w:num w:numId="3" w16cid:durableId="1681393477">
    <w:abstractNumId w:val="1"/>
  </w:num>
  <w:num w:numId="4" w16cid:durableId="1730884573">
    <w:abstractNumId w:val="0"/>
  </w:num>
  <w:num w:numId="5" w16cid:durableId="227157823">
    <w:abstractNumId w:val="6"/>
  </w:num>
  <w:num w:numId="6" w16cid:durableId="225339798">
    <w:abstractNumId w:val="5"/>
  </w:num>
  <w:num w:numId="7" w16cid:durableId="1882665149">
    <w:abstractNumId w:val="2"/>
  </w:num>
  <w:num w:numId="8" w16cid:durableId="1492526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C6"/>
    <w:rsid w:val="00086583"/>
    <w:rsid w:val="00086763"/>
    <w:rsid w:val="000C4A04"/>
    <w:rsid w:val="000D60E1"/>
    <w:rsid w:val="0010054A"/>
    <w:rsid w:val="001E5282"/>
    <w:rsid w:val="002077D2"/>
    <w:rsid w:val="002172AD"/>
    <w:rsid w:val="002460C4"/>
    <w:rsid w:val="00257F4A"/>
    <w:rsid w:val="002608A2"/>
    <w:rsid w:val="00281DD3"/>
    <w:rsid w:val="002C4AC1"/>
    <w:rsid w:val="002C78DF"/>
    <w:rsid w:val="002D06AA"/>
    <w:rsid w:val="00344FB8"/>
    <w:rsid w:val="003611B9"/>
    <w:rsid w:val="0038180D"/>
    <w:rsid w:val="00385284"/>
    <w:rsid w:val="003C1EFC"/>
    <w:rsid w:val="003D77D5"/>
    <w:rsid w:val="003E1DED"/>
    <w:rsid w:val="003E69EC"/>
    <w:rsid w:val="003F1163"/>
    <w:rsid w:val="004362F7"/>
    <w:rsid w:val="00454834"/>
    <w:rsid w:val="004C7F51"/>
    <w:rsid w:val="004D3E51"/>
    <w:rsid w:val="004E329A"/>
    <w:rsid w:val="004E38BF"/>
    <w:rsid w:val="005430E3"/>
    <w:rsid w:val="00592BC6"/>
    <w:rsid w:val="005E497C"/>
    <w:rsid w:val="005E5B87"/>
    <w:rsid w:val="006104DB"/>
    <w:rsid w:val="0062399C"/>
    <w:rsid w:val="006300C4"/>
    <w:rsid w:val="006B400A"/>
    <w:rsid w:val="00716F1B"/>
    <w:rsid w:val="007628A0"/>
    <w:rsid w:val="007C311C"/>
    <w:rsid w:val="007C674B"/>
    <w:rsid w:val="007D2622"/>
    <w:rsid w:val="00853AF4"/>
    <w:rsid w:val="00893D76"/>
    <w:rsid w:val="008A34BE"/>
    <w:rsid w:val="008B4D8F"/>
    <w:rsid w:val="00933BEC"/>
    <w:rsid w:val="009A2BBA"/>
    <w:rsid w:val="009A4FE6"/>
    <w:rsid w:val="009A712F"/>
    <w:rsid w:val="00A06AA4"/>
    <w:rsid w:val="00A072AD"/>
    <w:rsid w:val="00A217F6"/>
    <w:rsid w:val="00A55B55"/>
    <w:rsid w:val="00A91A58"/>
    <w:rsid w:val="00AE6409"/>
    <w:rsid w:val="00AF6970"/>
    <w:rsid w:val="00B21589"/>
    <w:rsid w:val="00B830DF"/>
    <w:rsid w:val="00BA626B"/>
    <w:rsid w:val="00BB2059"/>
    <w:rsid w:val="00BF2418"/>
    <w:rsid w:val="00C27551"/>
    <w:rsid w:val="00C40C7D"/>
    <w:rsid w:val="00C479C9"/>
    <w:rsid w:val="00C55052"/>
    <w:rsid w:val="00C8355B"/>
    <w:rsid w:val="00C83C56"/>
    <w:rsid w:val="00CB3EC6"/>
    <w:rsid w:val="00D6676C"/>
    <w:rsid w:val="00D74639"/>
    <w:rsid w:val="00DF4862"/>
    <w:rsid w:val="00E13BF9"/>
    <w:rsid w:val="00E94AF7"/>
    <w:rsid w:val="00EB2869"/>
    <w:rsid w:val="00EC2B60"/>
    <w:rsid w:val="00ED232F"/>
    <w:rsid w:val="00F069C9"/>
    <w:rsid w:val="00F16EC3"/>
    <w:rsid w:val="00F71E31"/>
    <w:rsid w:val="00FA2BF1"/>
    <w:rsid w:val="00FA2C55"/>
    <w:rsid w:val="00FC1B2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43C0"/>
  <w15:chartTrackingRefBased/>
  <w15:docId w15:val="{4B74A997-32A7-41A0-9220-CD60AF5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B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B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B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B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BC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E49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6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9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BE01-1400-48BB-B810-5C81D232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KONIEC</dc:creator>
  <cp:keywords/>
  <dc:description/>
  <cp:lastModifiedBy>Daniel Gąsiorowski</cp:lastModifiedBy>
  <cp:revision>3</cp:revision>
  <dcterms:created xsi:type="dcterms:W3CDTF">2026-01-07T11:43:00Z</dcterms:created>
  <dcterms:modified xsi:type="dcterms:W3CDTF">2026-01-07T19:49:00Z</dcterms:modified>
</cp:coreProperties>
</file>