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ED4E" w14:textId="3BE483F1" w:rsidR="00F01DC2" w:rsidRPr="008C1599" w:rsidRDefault="00F01DC2" w:rsidP="008C1599">
      <w:pPr>
        <w:pStyle w:val="NoSpacing"/>
        <w:rPr>
          <w:rFonts w:ascii="Noto Sans" w:hAnsi="Noto Sans" w:cs="Noto Sans"/>
          <w:sz w:val="32"/>
          <w:szCs w:val="32"/>
        </w:rPr>
      </w:pPr>
      <w:r w:rsidRPr="008C1599">
        <w:rPr>
          <w:rFonts w:ascii="Noto Sans" w:hAnsi="Noto Sans" w:cs="Noto Sans"/>
          <w:sz w:val="32"/>
          <w:szCs w:val="32"/>
          <w:lang w:val="fr"/>
        </w:rPr>
        <w:t>Domino lance le codeur laser CO</w:t>
      </w:r>
      <w:r w:rsidR="00837F7F">
        <w:rPr>
          <w:rFonts w:ascii="Noto Sans" w:hAnsi="Noto Sans" w:cs="Noto Sans"/>
          <w:sz w:val="32"/>
          <w:szCs w:val="32"/>
          <w:lang w:val="fr"/>
        </w:rPr>
        <w:t>2</w:t>
      </w:r>
      <w:r w:rsidRPr="008C1599">
        <w:rPr>
          <w:rFonts w:ascii="Noto Sans" w:hAnsi="Noto Sans" w:cs="Noto Sans"/>
          <w:sz w:val="32"/>
          <w:szCs w:val="32"/>
          <w:lang w:val="fr"/>
        </w:rPr>
        <w:t xml:space="preserve"> Dx1060i 100W pour la fabrication de boissons à haute cadence </w:t>
      </w:r>
    </w:p>
    <w:p w14:paraId="751C97C1" w14:textId="439C620E" w:rsidR="00D63EE3" w:rsidRPr="00D63EE3" w:rsidRDefault="00D63EE3" w:rsidP="00D63EE3">
      <w:pPr>
        <w:spacing w:before="120" w:after="120" w:line="240" w:lineRule="auto"/>
        <w:rPr>
          <w:rFonts w:ascii="Noto Sans" w:hAnsi="Noto Sans" w:cs="Noto Sans"/>
          <w:b/>
          <w:bCs/>
          <w:sz w:val="22"/>
          <w:szCs w:val="22"/>
        </w:rPr>
      </w:pPr>
      <w:r>
        <w:rPr>
          <w:rFonts w:ascii="Noto Sans" w:hAnsi="Noto Sans" w:cs="Noto Sans"/>
          <w:b/>
          <w:bCs/>
          <w:sz w:val="22"/>
          <w:szCs w:val="22"/>
          <w:lang w:val="fr"/>
        </w:rPr>
        <w:t>Le nouveau laser haute puissance de Domino permet aux fabricants de coder des designs plus grands et plus complexes de manière claire et rapide sur le plastique, le verre et autres substrats difficiles utilisés dans l'industrie des boissons.</w:t>
      </w:r>
    </w:p>
    <w:p w14:paraId="2EB513BA" w14:textId="38B16400" w:rsidR="00D63EE3" w:rsidRPr="008C1599" w:rsidRDefault="00D63EE3" w:rsidP="00D63EE3">
      <w:pPr>
        <w:spacing w:before="120" w:after="120" w:line="240" w:lineRule="auto"/>
        <w:rPr>
          <w:rFonts w:ascii="Noto Sans" w:hAnsi="Noto Sans" w:cs="Noto Sans"/>
          <w:sz w:val="22"/>
          <w:szCs w:val="22"/>
          <w:lang w:val="fr"/>
        </w:rPr>
      </w:pPr>
      <w:hyperlink r:id="rId6" w:history="1">
        <w:r w:rsidRPr="00F63BB5">
          <w:rPr>
            <w:rStyle w:val="Hyperlink"/>
            <w:rFonts w:ascii="Noto Sans" w:hAnsi="Noto Sans" w:cs="Noto Sans"/>
            <w:sz w:val="22"/>
            <w:szCs w:val="22"/>
            <w:lang w:val="fr"/>
          </w:rPr>
          <w:t>Domino Printing Sciences</w:t>
        </w:r>
      </w:hyperlink>
      <w:r>
        <w:rPr>
          <w:rFonts w:ascii="Noto Sans" w:hAnsi="Noto Sans" w:cs="Noto Sans"/>
          <w:sz w:val="22"/>
          <w:szCs w:val="22"/>
          <w:lang w:val="fr"/>
        </w:rPr>
        <w:t xml:space="preserve"> (Domino), expert mondial en solutions d'impression de données variables avancées, a élargi son portefeuille de marquage laser avec le lancement du codeur laser CO</w:t>
      </w:r>
      <w:r w:rsidR="00837F7F">
        <w:rPr>
          <w:rFonts w:ascii="Noto Sans" w:hAnsi="Noto Sans" w:cs="Noto Sans"/>
          <w:sz w:val="22"/>
          <w:szCs w:val="22"/>
          <w:lang w:val="fr"/>
        </w:rPr>
        <w:t>2</w:t>
      </w:r>
      <w:r>
        <w:rPr>
          <w:rFonts w:ascii="Noto Sans" w:hAnsi="Noto Sans" w:cs="Noto Sans"/>
          <w:sz w:val="22"/>
          <w:szCs w:val="22"/>
          <w:lang w:val="fr"/>
        </w:rPr>
        <w:t xml:space="preserve"> </w:t>
      </w:r>
      <w:r>
        <w:rPr>
          <w:rFonts w:ascii="Noto Sans" w:hAnsi="Noto Sans" w:cs="Noto Sans"/>
          <w:b/>
          <w:bCs/>
          <w:sz w:val="22"/>
          <w:szCs w:val="22"/>
          <w:lang w:val="fr"/>
        </w:rPr>
        <w:t>Dx1060i.</w:t>
      </w:r>
      <w:r>
        <w:rPr>
          <w:rFonts w:ascii="Noto Sans" w:hAnsi="Noto Sans" w:cs="Noto Sans"/>
          <w:sz w:val="22"/>
          <w:szCs w:val="22"/>
          <w:lang w:val="fr"/>
        </w:rPr>
        <w:t xml:space="preserve"> Ce nouveau dispositif de marquage laser CO2 de 100 watts est conçu pour aider les fabricants de boissons à maintenir une production fluide tout en gérant des exigences de codage plus complexes. Conçu pour les environnements à grande vitesse, le </w:t>
      </w:r>
      <w:r>
        <w:rPr>
          <w:rFonts w:ascii="Noto Sans" w:hAnsi="Noto Sans" w:cs="Noto Sans"/>
          <w:b/>
          <w:bCs/>
          <w:sz w:val="22"/>
          <w:szCs w:val="22"/>
          <w:lang w:val="fr"/>
        </w:rPr>
        <w:t>Dx1060i</w:t>
      </w:r>
      <w:r>
        <w:rPr>
          <w:rFonts w:ascii="Noto Sans" w:hAnsi="Noto Sans" w:cs="Noto Sans"/>
          <w:sz w:val="22"/>
          <w:szCs w:val="22"/>
          <w:lang w:val="fr"/>
        </w:rPr>
        <w:t xml:space="preserve"> permet l'impression de codes nets et durables sur une gamme de matériaux d'emballage difficiles.</w:t>
      </w:r>
    </w:p>
    <w:p w14:paraId="2A2E60A1" w14:textId="3C07D259" w:rsidR="00D63EE3" w:rsidRPr="008C1599" w:rsidRDefault="0077347C" w:rsidP="00D63EE3">
      <w:pPr>
        <w:spacing w:before="120" w:after="120" w:line="240" w:lineRule="auto"/>
        <w:rPr>
          <w:rFonts w:ascii="Noto Sans" w:hAnsi="Noto Sans" w:cs="Noto Sans"/>
          <w:sz w:val="22"/>
          <w:szCs w:val="22"/>
          <w:lang w:val="es-ES"/>
        </w:rPr>
      </w:pPr>
      <w:r>
        <w:rPr>
          <w:rFonts w:ascii="Noto Sans" w:hAnsi="Noto Sans" w:cs="Noto Sans"/>
          <w:sz w:val="22"/>
          <w:szCs w:val="22"/>
          <w:lang w:val="fr"/>
        </w:rPr>
        <w:t xml:space="preserve">Les codes complexes, y compris les formats 2D conformes à la norme GS1, nécessitent une puissance plus élevée pour garantir une lisibilité constante à la vitesse. Les performances améliorées du codeur laser </w:t>
      </w:r>
      <w:r>
        <w:rPr>
          <w:rFonts w:ascii="Noto Sans" w:hAnsi="Noto Sans" w:cs="Noto Sans"/>
          <w:b/>
          <w:bCs/>
          <w:sz w:val="22"/>
          <w:szCs w:val="22"/>
          <w:lang w:val="fr"/>
        </w:rPr>
        <w:t>Dx1060i</w:t>
      </w:r>
      <w:r>
        <w:rPr>
          <w:rFonts w:ascii="Noto Sans" w:hAnsi="Noto Sans" w:cs="Noto Sans"/>
          <w:sz w:val="22"/>
          <w:szCs w:val="22"/>
          <w:lang w:val="fr"/>
        </w:rPr>
        <w:t xml:space="preserve"> permettent aux fabricants de marquer jusqu'à 90 000 bouteilles par heure, en conservant la clarté même sur des surfaces réfléchissantes ou complexes. Cela élimine les compromis habituels entre la vitesse et la qualité d'impression qui sont courants avec les systèmes de faible puissance.</w:t>
      </w:r>
    </w:p>
    <w:p w14:paraId="68B7CDC3" w14:textId="153ED630" w:rsidR="00D63EE3" w:rsidRPr="008C1599" w:rsidRDefault="00F8036A" w:rsidP="00D63EE3">
      <w:pPr>
        <w:spacing w:before="120" w:after="120" w:line="240" w:lineRule="auto"/>
        <w:rPr>
          <w:rFonts w:ascii="Noto Sans" w:hAnsi="Noto Sans" w:cs="Noto Sans"/>
          <w:sz w:val="22"/>
          <w:szCs w:val="22"/>
          <w:lang w:val="fr"/>
        </w:rPr>
      </w:pPr>
      <w:r>
        <w:rPr>
          <w:rFonts w:ascii="Noto Sans" w:hAnsi="Noto Sans" w:cs="Noto Sans"/>
          <w:sz w:val="22"/>
          <w:szCs w:val="22"/>
          <w:lang w:val="fr"/>
        </w:rPr>
        <w:t xml:space="preserve">Le </w:t>
      </w:r>
      <w:r>
        <w:rPr>
          <w:rFonts w:ascii="Noto Sans" w:hAnsi="Noto Sans" w:cs="Noto Sans"/>
          <w:b/>
          <w:bCs/>
          <w:sz w:val="22"/>
          <w:szCs w:val="22"/>
          <w:lang w:val="fr"/>
        </w:rPr>
        <w:t>Dx1060i</w:t>
      </w:r>
      <w:r>
        <w:rPr>
          <w:rFonts w:ascii="Noto Sans" w:hAnsi="Noto Sans" w:cs="Noto Sans"/>
          <w:sz w:val="22"/>
          <w:szCs w:val="22"/>
          <w:lang w:val="fr"/>
        </w:rPr>
        <w:t xml:space="preserve"> offre plus de 50 options de distribution de faisceau et une tête scanner rotative à 360º pour une intégration transparente dans les lignes de production existantes. Il se connecte facilement aux systèmes commerciaux et de production back-end existants, évitant ainsi les retards dus aux problèmes d'intégration. Des services facultatifs tels que l'interface </w:t>
      </w:r>
      <w:r>
        <w:rPr>
          <w:rFonts w:ascii="Noto Sans" w:hAnsi="Noto Sans" w:cs="Noto Sans"/>
          <w:b/>
          <w:bCs/>
          <w:sz w:val="22"/>
          <w:szCs w:val="22"/>
          <w:lang w:val="fr"/>
        </w:rPr>
        <w:t>Domino Cloud</w:t>
      </w:r>
      <w:r>
        <w:rPr>
          <w:rFonts w:ascii="Noto Sans" w:hAnsi="Noto Sans" w:cs="Noto Sans"/>
          <w:sz w:val="22"/>
          <w:szCs w:val="22"/>
          <w:lang w:val="fr"/>
        </w:rPr>
        <w:t xml:space="preserve">, l'automatisation du codage, le contrôle de la vision </w:t>
      </w:r>
      <w:r>
        <w:rPr>
          <w:rFonts w:ascii="Noto Sans" w:hAnsi="Noto Sans" w:cs="Noto Sans"/>
          <w:b/>
          <w:bCs/>
          <w:sz w:val="22"/>
          <w:szCs w:val="22"/>
          <w:lang w:val="fr"/>
        </w:rPr>
        <w:t>Série R</w:t>
      </w:r>
      <w:r>
        <w:rPr>
          <w:rFonts w:ascii="Noto Sans" w:hAnsi="Noto Sans" w:cs="Noto Sans"/>
          <w:sz w:val="22"/>
          <w:szCs w:val="22"/>
          <w:lang w:val="fr"/>
        </w:rPr>
        <w:t xml:space="preserve"> et la prise en charge </w:t>
      </w:r>
      <w:r>
        <w:rPr>
          <w:rFonts w:ascii="Noto Sans" w:hAnsi="Noto Sans" w:cs="Noto Sans"/>
          <w:b/>
          <w:bCs/>
          <w:sz w:val="22"/>
          <w:szCs w:val="22"/>
          <w:lang w:val="fr"/>
        </w:rPr>
        <w:t>de SafeGuard</w:t>
      </w:r>
      <w:r>
        <w:rPr>
          <w:rFonts w:ascii="Noto Sans" w:hAnsi="Noto Sans" w:cs="Noto Sans"/>
          <w:sz w:val="22"/>
          <w:szCs w:val="22"/>
          <w:lang w:val="fr"/>
        </w:rPr>
        <w:t>, y compris l'assistance à distance en réalité augmentée, offrent aux opérateurs des informations supplémentaires et contribuent à minimiser les temps d'arrêt.</w:t>
      </w:r>
    </w:p>
    <w:p w14:paraId="30428DB7" w14:textId="56E199EA" w:rsidR="000A4C45" w:rsidRPr="008C1599" w:rsidRDefault="000A4C45" w:rsidP="000A4C45">
      <w:pPr>
        <w:pStyle w:val="NoSpacing"/>
        <w:spacing w:before="120" w:after="120"/>
        <w:rPr>
          <w:rFonts w:ascii="Noto Sans" w:hAnsi="Noto Sans" w:cs="Noto Sans"/>
          <w:sz w:val="22"/>
          <w:lang w:val="es-ES"/>
        </w:rPr>
      </w:pPr>
      <w:r>
        <w:rPr>
          <w:rFonts w:ascii="Noto Sans" w:hAnsi="Noto Sans" w:cs="Noto Sans"/>
          <w:sz w:val="22"/>
          <w:lang w:val="fr"/>
        </w:rPr>
        <w:t xml:space="preserve">"Le </w:t>
      </w:r>
      <w:r>
        <w:rPr>
          <w:rFonts w:ascii="Noto Sans" w:hAnsi="Noto Sans" w:cs="Noto Sans"/>
          <w:b/>
          <w:bCs/>
          <w:sz w:val="22"/>
          <w:lang w:val="fr"/>
        </w:rPr>
        <w:t>Dx1060i</w:t>
      </w:r>
      <w:r>
        <w:rPr>
          <w:rFonts w:ascii="Noto Sans" w:hAnsi="Noto Sans" w:cs="Noto Sans"/>
          <w:sz w:val="22"/>
          <w:lang w:val="fr"/>
        </w:rPr>
        <w:t xml:space="preserve"> offre à nos clients la puissance et la flexibilité dont ils ont besoin pour que la production de boissons soit efficace", a déclaré Frauke Schroeder, Senior Product Manager - Laser, Domino. "Il prend en charge l'évolution des normes internationales, contribue à réduire les déchets et est conçu pour répondre aux futures exigences réglementaires, y compris la conformité GS1 et à la norme 21CFR Part11."</w:t>
      </w:r>
    </w:p>
    <w:p w14:paraId="4F737352" w14:textId="24192ABC" w:rsidR="000A4C45" w:rsidRPr="008C1599" w:rsidRDefault="000A4C45" w:rsidP="000A4C45">
      <w:pPr>
        <w:pStyle w:val="NoSpacing"/>
        <w:spacing w:before="120" w:after="120"/>
        <w:rPr>
          <w:rFonts w:ascii="Noto Sans" w:hAnsi="Noto Sans" w:cs="Noto Sans"/>
          <w:sz w:val="22"/>
          <w:lang w:val="fr"/>
        </w:rPr>
      </w:pPr>
      <w:r>
        <w:rPr>
          <w:rFonts w:ascii="Noto Sans" w:hAnsi="Noto Sans" w:cs="Noto Sans"/>
          <w:sz w:val="22"/>
          <w:lang w:val="fr"/>
        </w:rPr>
        <w:t xml:space="preserve">Le </w:t>
      </w:r>
      <w:r>
        <w:rPr>
          <w:rFonts w:ascii="Noto Sans" w:hAnsi="Noto Sans" w:cs="Noto Sans"/>
          <w:b/>
          <w:bCs/>
          <w:sz w:val="22"/>
          <w:lang w:val="fr"/>
        </w:rPr>
        <w:t>Dx1060i</w:t>
      </w:r>
      <w:r>
        <w:rPr>
          <w:rFonts w:ascii="Noto Sans" w:hAnsi="Noto Sans" w:cs="Noto Sans"/>
          <w:sz w:val="22"/>
          <w:lang w:val="fr"/>
        </w:rPr>
        <w:t xml:space="preserve"> est également adapté à des applications spécifiques, allant du marquage des codes 2D augmentés GS1 et à la sérialisation, jusqu'à l 'impression fine sur des bouchons de vin ou des surfaces décoratives en bois . Sa conception sans produits chimiques et économe en énergie soutient les objectifs de durabilité tout en maintenant des résultats de haute qualité à la vitesse.</w:t>
      </w:r>
    </w:p>
    <w:p w14:paraId="5B7446D1" w14:textId="5C486695" w:rsidR="000A4C45" w:rsidRPr="008C1599" w:rsidRDefault="000A4C45" w:rsidP="000A4C45">
      <w:pPr>
        <w:pStyle w:val="NoSpacing"/>
        <w:spacing w:before="120" w:after="120"/>
        <w:rPr>
          <w:rFonts w:ascii="Noto Sans" w:hAnsi="Noto Sans" w:cs="Noto Sans"/>
          <w:sz w:val="22"/>
          <w:lang w:val="fr"/>
        </w:rPr>
      </w:pPr>
      <w:r>
        <w:rPr>
          <w:rFonts w:ascii="Noto Sans" w:hAnsi="Noto Sans" w:cs="Noto Sans"/>
          <w:sz w:val="22"/>
          <w:lang w:val="fr"/>
        </w:rPr>
        <w:lastRenderedPageBreak/>
        <w:t xml:space="preserve">Issu de la Generation X de solutions marquage laser haute résolution développée par Domino, le </w:t>
      </w:r>
      <w:r>
        <w:rPr>
          <w:rFonts w:ascii="Noto Sans" w:hAnsi="Noto Sans" w:cs="Noto Sans"/>
          <w:b/>
          <w:bCs/>
          <w:sz w:val="22"/>
          <w:lang w:val="fr"/>
        </w:rPr>
        <w:t>Dx1060i</w:t>
      </w:r>
      <w:r>
        <w:rPr>
          <w:rFonts w:ascii="Noto Sans" w:hAnsi="Noto Sans" w:cs="Noto Sans"/>
          <w:sz w:val="22"/>
          <w:lang w:val="fr"/>
        </w:rPr>
        <w:t xml:space="preserve"> complète la gamme existante, en offrant davantage de puissance et des performances plus élevées pour les applications exigeantes. </w:t>
      </w:r>
    </w:p>
    <w:p w14:paraId="053395A9" w14:textId="6D18238D" w:rsidR="005B1F49" w:rsidRPr="005B1F49" w:rsidRDefault="000A4C45" w:rsidP="005B1F49">
      <w:pPr>
        <w:pStyle w:val="NoSpacing"/>
        <w:spacing w:before="120" w:after="120"/>
        <w:rPr>
          <w:rFonts w:ascii="Noto Sans" w:hAnsi="Noto Sans" w:cs="Noto Sans"/>
          <w:sz w:val="22"/>
        </w:rPr>
      </w:pPr>
      <w:r>
        <w:rPr>
          <w:rFonts w:ascii="Noto Sans" w:hAnsi="Noto Sans" w:cs="Noto Sans"/>
          <w:sz w:val="22"/>
          <w:lang w:val="fr"/>
        </w:rPr>
        <w:t xml:space="preserve">Pour plus d'informations sur l'imprimante laser </w:t>
      </w:r>
      <w:r>
        <w:rPr>
          <w:rFonts w:ascii="Noto Sans" w:hAnsi="Noto Sans" w:cs="Noto Sans"/>
          <w:b/>
          <w:bCs/>
          <w:sz w:val="22"/>
          <w:lang w:val="fr"/>
        </w:rPr>
        <w:t>Dx1060i</w:t>
      </w:r>
      <w:r>
        <w:rPr>
          <w:rFonts w:ascii="Noto Sans" w:hAnsi="Noto Sans" w:cs="Noto Sans"/>
          <w:sz w:val="22"/>
          <w:lang w:val="fr"/>
        </w:rPr>
        <w:t xml:space="preserve"> CO</w:t>
      </w:r>
      <w:r w:rsidR="00837F7F">
        <w:rPr>
          <w:rFonts w:ascii="Noto Sans" w:hAnsi="Noto Sans" w:cs="Noto Sans"/>
          <w:sz w:val="22"/>
          <w:lang w:val="fr"/>
        </w:rPr>
        <w:t>2</w:t>
      </w:r>
      <w:r>
        <w:rPr>
          <w:rFonts w:ascii="Noto Sans" w:hAnsi="Noto Sans" w:cs="Noto Sans"/>
          <w:sz w:val="22"/>
          <w:lang w:val="fr"/>
        </w:rPr>
        <w:t xml:space="preserve">, </w:t>
      </w:r>
      <w:hyperlink r:id="rId7" w:history="1">
        <w:r w:rsidR="00724136" w:rsidRPr="00724136">
          <w:rPr>
            <w:rStyle w:val="Hyperlink"/>
            <w:rFonts w:ascii="Noto Sans" w:hAnsi="Noto Sans" w:cs="Noto Sans"/>
            <w:sz w:val="22"/>
            <w:lang w:val="fr"/>
          </w:rPr>
          <w:t>consulter notre site internet</w:t>
        </w:r>
        <w:r w:rsidRPr="00724136">
          <w:rPr>
            <w:rStyle w:val="Hyperlink"/>
            <w:rFonts w:ascii="Noto Sans" w:hAnsi="Noto Sans" w:cs="Noto Sans"/>
            <w:sz w:val="22"/>
            <w:lang w:val="fr"/>
          </w:rPr>
          <w:t>.</w:t>
        </w:r>
      </w:hyperlink>
      <w:r>
        <w:rPr>
          <w:rFonts w:ascii="Noto Sans" w:hAnsi="Noto Sans" w:cs="Noto Sans"/>
          <w:sz w:val="22"/>
          <w:lang w:val="fr"/>
        </w:rPr>
        <w:t xml:space="preserve"> </w:t>
      </w:r>
    </w:p>
    <w:p w14:paraId="392809C1" w14:textId="27011C68" w:rsidR="005B1F49" w:rsidRPr="005B1F49" w:rsidRDefault="005B1F49" w:rsidP="005B1F49">
      <w:pPr>
        <w:pStyle w:val="NoSpacing"/>
        <w:spacing w:before="120" w:after="120"/>
        <w:rPr>
          <w:rFonts w:ascii="Noto Sans" w:hAnsi="Noto Sans" w:cs="Noto Sans"/>
          <w:sz w:val="22"/>
        </w:rPr>
      </w:pPr>
    </w:p>
    <w:p w14:paraId="5B794097" w14:textId="0D3D97C7" w:rsidR="005524DB" w:rsidRDefault="007214D8" w:rsidP="00517515">
      <w:pPr>
        <w:pStyle w:val="NoSpacing"/>
        <w:spacing w:before="120" w:after="120"/>
        <w:rPr>
          <w:rFonts w:ascii="Noto Sans" w:hAnsi="Noto Sans" w:cs="Noto Sans"/>
          <w:sz w:val="22"/>
          <w:lang w:val="fr"/>
        </w:rPr>
      </w:pPr>
      <w:r>
        <w:rPr>
          <w:rFonts w:ascii="Noto Sans" w:hAnsi="Noto Sans" w:cs="Noto Sans"/>
          <w:sz w:val="22"/>
          <w:lang w:val="fr"/>
        </w:rPr>
        <w:t>&lt;</w:t>
      </w:r>
      <w:r>
        <w:rPr>
          <w:rFonts w:ascii="Noto Sans" w:hAnsi="Noto Sans" w:cs="Noto Sans"/>
          <w:b/>
          <w:bCs/>
          <w:sz w:val="22"/>
          <w:lang w:val="fr"/>
        </w:rPr>
        <w:t>FIN</w:t>
      </w:r>
      <w:r>
        <w:rPr>
          <w:rFonts w:ascii="Noto Sans" w:hAnsi="Noto Sans" w:cs="Noto Sans"/>
          <w:sz w:val="22"/>
          <w:lang w:val="fr"/>
        </w:rPr>
        <w:t>&gt;</w:t>
      </w:r>
    </w:p>
    <w:p w14:paraId="7AB5394E" w14:textId="77777777" w:rsidR="008C1599" w:rsidRDefault="008C1599" w:rsidP="00517515">
      <w:pPr>
        <w:pStyle w:val="NoSpacing"/>
        <w:spacing w:before="120" w:after="120"/>
        <w:rPr>
          <w:rFonts w:ascii="Noto Sans" w:hAnsi="Noto Sans" w:cs="Noto Sans"/>
          <w:sz w:val="22"/>
          <w:lang w:val="fr"/>
        </w:rPr>
      </w:pPr>
    </w:p>
    <w:p w14:paraId="4628416F" w14:textId="11631618" w:rsidR="008C1599" w:rsidRPr="008C1599" w:rsidRDefault="008C1599" w:rsidP="00517515">
      <w:pPr>
        <w:pStyle w:val="NoSpacing"/>
        <w:spacing w:before="120" w:after="120"/>
        <w:rPr>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lastRenderedPageBreak/>
        <w:br/>
      </w:r>
      <w:bookmarkStart w:id="1" w:name="_Hlk61949672"/>
      <w:r w:rsidRPr="00E06028">
        <w:rPr>
          <w:rFonts w:ascii="Noto Sans" w:eastAsia="Gill Sans" w:hAnsi="Noto Sans" w:cs="Noto Sans"/>
          <w:b/>
          <w:sz w:val="20"/>
          <w:szCs w:val="20"/>
          <w:lang w:val="es-ES"/>
        </w:rPr>
        <w:br/>
      </w:r>
      <w:r w:rsidRPr="00E06028">
        <w:rPr>
          <w:rFonts w:ascii="Noto Sans" w:eastAsia="Gill Sans" w:hAnsi="Noto Sans" w:cs="Noto Sans"/>
          <w:b/>
          <w:bCs/>
          <w:sz w:val="20"/>
          <w:szCs w:val="20"/>
          <w:lang w:val="fr-FR"/>
        </w:rPr>
        <w:t>Notes à l'attention des rédacteurs :</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8"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9" w:history="1">
        <w:r w:rsidRPr="008C1599">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10" w:history="1">
        <w:r w:rsidRPr="00E06028">
          <w:rPr>
            <w:rStyle w:val="Hyperlink"/>
            <w:rFonts w:ascii="Noto Sans" w:hAnsi="Noto Sans" w:cs="Noto Sans"/>
            <w:sz w:val="20"/>
            <w:szCs w:val="20"/>
            <w:lang w:val="fr-FR"/>
          </w:rPr>
          <w:t>delphine.baudesson@domino-marquage.com</w:t>
        </w:r>
      </w:hyperlink>
    </w:p>
    <w:sectPr w:rsidR="008C1599" w:rsidRPr="008C1599" w:rsidSect="000F6D0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1A76" w14:textId="77777777" w:rsidR="00E646CA" w:rsidRDefault="00E646CA" w:rsidP="00785717">
      <w:pPr>
        <w:spacing w:line="240" w:lineRule="auto"/>
      </w:pPr>
      <w:r>
        <w:separator/>
      </w:r>
    </w:p>
  </w:endnote>
  <w:endnote w:type="continuationSeparator" w:id="0">
    <w:p w14:paraId="0811578C" w14:textId="77777777" w:rsidR="00E646CA" w:rsidRDefault="00E646CA"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6B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BF90" w14:textId="77777777" w:rsidR="00785717" w:rsidRDefault="000F6D00" w:rsidP="00785717">
    <w:pPr>
      <w:pStyle w:val="Footer"/>
    </w:pPr>
    <w:r>
      <w:rPr>
        <w:noProof/>
        <w:lang w:val="fr"/>
      </w:rPr>
      <w:drawing>
        <wp:anchor distT="0" distB="0" distL="114300" distR="114300" simplePos="0" relativeHeight="251659264" behindDoc="0" locked="0" layoutInCell="1" allowOverlap="1" wp14:anchorId="0522657B" wp14:editId="139BD5E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Pr>
        <w:noProof/>
        <w:lang w:val="fr"/>
      </w:rPr>
      <w:drawing>
        <wp:anchor distT="0" distB="0" distL="114300" distR="114300" simplePos="0" relativeHeight="251658240" behindDoc="1" locked="0" layoutInCell="1" allowOverlap="1" wp14:anchorId="5C6AF8C8" wp14:editId="0ED6EB06">
          <wp:simplePos x="0" y="0"/>
          <wp:positionH relativeFrom="page">
            <wp:posOffset>47625</wp:posOffset>
          </wp:positionH>
          <wp:positionV relativeFrom="page">
            <wp:posOffset>9247505</wp:posOffset>
          </wp:positionV>
          <wp:extent cx="7448550" cy="1259840"/>
          <wp:effectExtent l="0" t="0" r="0" b="0"/>
          <wp:wrapNone/>
          <wp:docPr id="1" name="Picture 1" descr="Une image contenant un cout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25A3"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928DF" w14:textId="77777777" w:rsidR="00E646CA" w:rsidRDefault="00E646CA" w:rsidP="00785717">
      <w:pPr>
        <w:spacing w:line="240" w:lineRule="auto"/>
      </w:pPr>
      <w:r>
        <w:separator/>
      </w:r>
    </w:p>
  </w:footnote>
  <w:footnote w:type="continuationSeparator" w:id="0">
    <w:p w14:paraId="7EFF386B" w14:textId="77777777" w:rsidR="00E646CA" w:rsidRDefault="00E646CA"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B7F0"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92FD" w14:textId="77777777" w:rsidR="000F6D00" w:rsidRDefault="002766D9">
    <w:pPr>
      <w:pStyle w:val="Header"/>
    </w:pPr>
    <w:r>
      <w:rPr>
        <w:noProof/>
        <w:lang w:val="fr"/>
      </w:rPr>
      <w:drawing>
        <wp:anchor distT="0" distB="0" distL="114300" distR="114300" simplePos="0" relativeHeight="251661312" behindDoc="0" locked="0" layoutInCell="1" allowOverlap="1" wp14:anchorId="1FC77178" wp14:editId="4158C24A">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nom de l’entrepr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8208"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C2"/>
    <w:rsid w:val="0002201E"/>
    <w:rsid w:val="00046163"/>
    <w:rsid w:val="000535EF"/>
    <w:rsid w:val="000630D8"/>
    <w:rsid w:val="00065E2A"/>
    <w:rsid w:val="00097406"/>
    <w:rsid w:val="000A4C45"/>
    <w:rsid w:val="000B4DE3"/>
    <w:rsid w:val="000F6D00"/>
    <w:rsid w:val="0012478A"/>
    <w:rsid w:val="001423C5"/>
    <w:rsid w:val="00156D2C"/>
    <w:rsid w:val="00161647"/>
    <w:rsid w:val="0017237E"/>
    <w:rsid w:val="001B1C1D"/>
    <w:rsid w:val="001D743C"/>
    <w:rsid w:val="002766D9"/>
    <w:rsid w:val="002F13F7"/>
    <w:rsid w:val="003243E4"/>
    <w:rsid w:val="00372E92"/>
    <w:rsid w:val="003943AE"/>
    <w:rsid w:val="003B04DD"/>
    <w:rsid w:val="00407F25"/>
    <w:rsid w:val="00427271"/>
    <w:rsid w:val="00432274"/>
    <w:rsid w:val="00461C3E"/>
    <w:rsid w:val="00496FD1"/>
    <w:rsid w:val="00497E2A"/>
    <w:rsid w:val="00517515"/>
    <w:rsid w:val="005272B1"/>
    <w:rsid w:val="005524DB"/>
    <w:rsid w:val="00557EBD"/>
    <w:rsid w:val="005741C7"/>
    <w:rsid w:val="005B1F49"/>
    <w:rsid w:val="005C0D2A"/>
    <w:rsid w:val="005F5B77"/>
    <w:rsid w:val="0061032E"/>
    <w:rsid w:val="00644087"/>
    <w:rsid w:val="00647055"/>
    <w:rsid w:val="00654FA3"/>
    <w:rsid w:val="00660F46"/>
    <w:rsid w:val="006757EB"/>
    <w:rsid w:val="006A1F61"/>
    <w:rsid w:val="007214D8"/>
    <w:rsid w:val="00724136"/>
    <w:rsid w:val="00733DFD"/>
    <w:rsid w:val="00751B98"/>
    <w:rsid w:val="0077347C"/>
    <w:rsid w:val="00780920"/>
    <w:rsid w:val="00785717"/>
    <w:rsid w:val="007D2C5A"/>
    <w:rsid w:val="007E525C"/>
    <w:rsid w:val="008220B7"/>
    <w:rsid w:val="00823B77"/>
    <w:rsid w:val="008263B2"/>
    <w:rsid w:val="00837F7F"/>
    <w:rsid w:val="008472AB"/>
    <w:rsid w:val="008856B6"/>
    <w:rsid w:val="008916A8"/>
    <w:rsid w:val="0089695B"/>
    <w:rsid w:val="008B6461"/>
    <w:rsid w:val="008C1599"/>
    <w:rsid w:val="008F1494"/>
    <w:rsid w:val="008F3E38"/>
    <w:rsid w:val="00931996"/>
    <w:rsid w:val="00950042"/>
    <w:rsid w:val="009A1716"/>
    <w:rsid w:val="009A1DEC"/>
    <w:rsid w:val="009B1602"/>
    <w:rsid w:val="009D6280"/>
    <w:rsid w:val="009E60F5"/>
    <w:rsid w:val="00A101E2"/>
    <w:rsid w:val="00A116BB"/>
    <w:rsid w:val="00A25DAF"/>
    <w:rsid w:val="00A34918"/>
    <w:rsid w:val="00A94186"/>
    <w:rsid w:val="00AA3A7C"/>
    <w:rsid w:val="00AB11DA"/>
    <w:rsid w:val="00AC73E9"/>
    <w:rsid w:val="00AD0CB8"/>
    <w:rsid w:val="00AD619C"/>
    <w:rsid w:val="00AE3E83"/>
    <w:rsid w:val="00AE6E5F"/>
    <w:rsid w:val="00B111C2"/>
    <w:rsid w:val="00B23C3C"/>
    <w:rsid w:val="00B31D56"/>
    <w:rsid w:val="00B3279B"/>
    <w:rsid w:val="00B51137"/>
    <w:rsid w:val="00B546C5"/>
    <w:rsid w:val="00B7347E"/>
    <w:rsid w:val="00BC7C15"/>
    <w:rsid w:val="00BE592A"/>
    <w:rsid w:val="00C063FE"/>
    <w:rsid w:val="00C206D7"/>
    <w:rsid w:val="00C30E48"/>
    <w:rsid w:val="00C44603"/>
    <w:rsid w:val="00C541FE"/>
    <w:rsid w:val="00CD09E1"/>
    <w:rsid w:val="00CD1CA9"/>
    <w:rsid w:val="00CF1AD5"/>
    <w:rsid w:val="00D034F9"/>
    <w:rsid w:val="00D262F5"/>
    <w:rsid w:val="00D602FB"/>
    <w:rsid w:val="00D63EE3"/>
    <w:rsid w:val="00DC4CB2"/>
    <w:rsid w:val="00DF56BF"/>
    <w:rsid w:val="00E00B50"/>
    <w:rsid w:val="00E03029"/>
    <w:rsid w:val="00E203D6"/>
    <w:rsid w:val="00E26E80"/>
    <w:rsid w:val="00E646CA"/>
    <w:rsid w:val="00E94FCF"/>
    <w:rsid w:val="00EA4198"/>
    <w:rsid w:val="00EC1BBC"/>
    <w:rsid w:val="00EC1C5A"/>
    <w:rsid w:val="00F01DC2"/>
    <w:rsid w:val="00F06040"/>
    <w:rsid w:val="00F63BB5"/>
    <w:rsid w:val="00F8036A"/>
    <w:rsid w:val="00F82F7D"/>
    <w:rsid w:val="00FA49A0"/>
    <w:rsid w:val="00FE0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052D3"/>
  <w15:chartTrackingRefBased/>
  <w15:docId w15:val="{2BBF08DC-7273-451D-BC97-B8475AFD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C2"/>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 w:type="character" w:styleId="CommentReference">
    <w:name w:val="annotation reference"/>
    <w:basedOn w:val="DefaultParagraphFont"/>
    <w:uiPriority w:val="99"/>
    <w:semiHidden/>
    <w:unhideWhenUsed/>
    <w:rsid w:val="00A101E2"/>
    <w:rPr>
      <w:sz w:val="16"/>
      <w:szCs w:val="16"/>
    </w:rPr>
  </w:style>
  <w:style w:type="paragraph" w:styleId="CommentText">
    <w:name w:val="annotation text"/>
    <w:basedOn w:val="Normal"/>
    <w:link w:val="CommentTextChar"/>
    <w:uiPriority w:val="99"/>
    <w:unhideWhenUsed/>
    <w:rsid w:val="00A101E2"/>
    <w:pPr>
      <w:spacing w:line="240" w:lineRule="auto"/>
    </w:pPr>
    <w:rPr>
      <w:sz w:val="20"/>
      <w:szCs w:val="20"/>
    </w:rPr>
  </w:style>
  <w:style w:type="character" w:customStyle="1" w:styleId="CommentTextChar">
    <w:name w:val="Comment Text Char"/>
    <w:basedOn w:val="DefaultParagraphFont"/>
    <w:link w:val="CommentText"/>
    <w:uiPriority w:val="99"/>
    <w:rsid w:val="00A101E2"/>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101E2"/>
    <w:rPr>
      <w:b/>
      <w:bCs/>
    </w:rPr>
  </w:style>
  <w:style w:type="character" w:customStyle="1" w:styleId="CommentSubjectChar">
    <w:name w:val="Comment Subject Char"/>
    <w:basedOn w:val="CommentTextChar"/>
    <w:link w:val="CommentSubject"/>
    <w:uiPriority w:val="99"/>
    <w:semiHidden/>
    <w:rsid w:val="00A101E2"/>
    <w:rPr>
      <w:b/>
      <w:bCs/>
      <w:kern w:val="2"/>
      <w:sz w:val="20"/>
      <w:szCs w:val="20"/>
      <w14:ligatures w14:val="standardContextual"/>
    </w:rPr>
  </w:style>
  <w:style w:type="paragraph" w:styleId="Revision">
    <w:name w:val="Revision"/>
    <w:hidden/>
    <w:uiPriority w:val="99"/>
    <w:semiHidden/>
    <w:rsid w:val="00733DFD"/>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omino-printing.com/fr-fr/products/laser?utm_medium=non-paid&amp;utm_source=onlinepublication&amp;utm_content=global-cm-pr-dx1060i%20co2%20launch-fr&amp;utm_campaign=2025-int-fr-global-pr-cm-fy25-q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domino-printing.com/fr-fr/news-and-events/news.aspx?utm_medium=non-paid&amp;utm_source=onlinepublication&amp;utm_content=global-cm-pr-dx1060i%20co2%20launch-fr&amp;utm_campaign=2025-int-fr-global-pr-cm-fy25-q3"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elphine.baudesson@domino-marquage.com" TargetMode="External"/><Relationship Id="rId4" Type="http://schemas.openxmlformats.org/officeDocument/2006/relationships/footnotes" Target="footnotes.xml"/><Relationship Id="rId9" Type="http://schemas.openxmlformats.org/officeDocument/2006/relationships/hyperlink" Target="mailto:Alex.Challinor@domino-uk.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8</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Alex Challinor</cp:lastModifiedBy>
  <cp:revision>5</cp:revision>
  <dcterms:created xsi:type="dcterms:W3CDTF">2025-10-24T10:07:00Z</dcterms:created>
  <dcterms:modified xsi:type="dcterms:W3CDTF">2025-11-11T16:57:00Z</dcterms:modified>
</cp:coreProperties>
</file>