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29.12.2025 r.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Burger King® otwiera 10. restaurację w Warszawie. W Galerii Wileńskiej czekają retro gry i darmowe Whoppery®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Już 8 stycznia Burger King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otworzy w Galerii Wileńskiej swoją 10. restaurację w stolicy. Marka, znana z kultowych Whopperów® i grillowania na ogniu, zaprosi gości do przestrzeni w kolejnym centrum handlowym w mieście. Z tej okazji przygotowano wyjątkowe atrakcje, takie jak darmowe burgery dla pierwszych 100 osób i strefa z retro automatami do gier z nagrodami.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Nowy lokal powstanie w Galerii Wileńskiej położonej przy ul. Targowej 72, w samym sercu Pragi-Północ. Dzięki połączeniu z Dworcem PKP Warszawa Wileńska i bliskości stacji metra M2 jest to jeden z najbardziej ruchliwych punktów w okolicy, z którego codziennie korzystają tysiące osób.  Restauracja będzie zlokalizowana na II poziomie w strefie food court, wzbogacając ofertę gastronomiczną centrum handlowego o popularną propozycję dla miłośników burgerów.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okazji otwarcia Burger King® przygotował dla gości strefę automatów z kultowymi grami, w której będzie można rywalizować o nagrody i poczuć klimat salonów arcade. To również doskonały moment, by spróbować słynnych burgerów grillowanych na prawdziwym ogniu – także w wersji plant-based – oraz innych różnorodnych pozycji z menu.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100 burgerów dla 100 pierwszych gości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Oficjalne otwarcie restauracji w Galerii Wileńskiej odbędzie się w czwartek 8 stycznia o godz. 10:00. Pierwsze 100 osób otrzyma darmowego Whoppera® – kultowego burgera marki, który zyskał sławę na całym świecie. Dla odwiedzających przygotowano także możliwość całodniowej zabawy na retro automatach do gier. 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Zależy nam, aby Burger King® był dostępny tam, gdzie są nasi goście. Na Pradze-Północ do tej pory nie mieliśmy lokalu, a wielu mieszkańców tej części Warszawy odwiedzało nasze restauracje w innych dzielnicach. Dlatego chcieliśmy pojawić się również tutaj, ułatwiając dostęp do oferty. To dziesiąta restauracja Burger King® w stolicy – cieszymy się, że od teraz będziemy bliżej mieszkańców tej części miasta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mówi Magdalena Michalak, Brand Manager Burger King®.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na polskim rynku działa nieprzerwanie od 2007 roku, gdzie sukcesywnie się rozwija i obecnie liczy 80 restauracji. W 2022 roku master franczyzobiorcą Burger King została firma Rex Concepts, która odpowiada za markę nie tylko w Polsce, ale także w Czechach oraz Rumunii. Rex Concepts koncentruje się na inwestycjach w nowoczesne technologie, rozbudowie sieci lokali oraz podnoszeniu standardów obsługi, co pozwala marce Burger King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odpowiadać na zmieniające się potrzeby klientów i umacniać swoją pozycję na lokalnym rynku.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9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+/9Zmm5g9iyl8qAYWG1a3rkUg==">CgMxLjA4AHIhMXN2a2xsSFl3bUhJNHUxWjFoUThTS2U4ZFZJRTdhb2Fi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