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9058" w14:textId="77777777" w:rsidR="00AC7945" w:rsidRPr="004B1640" w:rsidRDefault="00000000">
      <w:pPr>
        <w:rPr>
          <w:rFonts w:ascii="Aptos" w:hAnsi="Aptos"/>
        </w:rPr>
      </w:pPr>
      <w:r w:rsidRPr="004B1640">
        <w:rPr>
          <w:rFonts w:ascii="Aptos" w:hAnsi="Aptos"/>
          <w:b/>
        </w:rPr>
        <w:t>Freelancerzy, przedsiębiorcy i emeryci – kto może dostać kredyt hipoteczny w Hiszpanii</w:t>
      </w:r>
    </w:p>
    <w:p w14:paraId="20C463DA" w14:textId="77777777" w:rsidR="00AC7945" w:rsidRPr="004B1640" w:rsidRDefault="00000000">
      <w:pPr>
        <w:rPr>
          <w:rFonts w:ascii="Aptos" w:hAnsi="Aptos"/>
        </w:rPr>
      </w:pPr>
      <w:r w:rsidRPr="004B1640">
        <w:rPr>
          <w:rFonts w:ascii="Aptos" w:hAnsi="Aptos"/>
          <w:b/>
        </w:rPr>
        <w:t xml:space="preserve">LEAD: </w:t>
      </w:r>
      <w:r w:rsidRPr="004B1640">
        <w:rPr>
          <w:rFonts w:ascii="Aptos" w:hAnsi="Aptos"/>
        </w:rPr>
        <w:t>Hiszpańskie banki oferują kredyty hipoteczne nie tylko osobom zatrudnionym na etacie. Freelancerzy z trzyletnią historią dochodów, przedsiębiorcy ze stabilnym biznesem i emeryci z regularną emeryturą – wszyscy mogą uzyskać finansowanie. Kluczem jest odpowiednia dokumentacja i współpraca z doświadczonym brokerem.</w:t>
      </w:r>
    </w:p>
    <w:p>
      <w:r>
        <w:t>– Proces kredytowy w Hiszpanii różni się od polskiego, co budzi u klientów wiele pytań. Dlatego kierujemy ich do sprawdzonych specjalistów, którzy znają specyfikę dokumentacji wymaganej przez hiszpańskie banki – mówi Joanna Ossowska-Rodziewicz, współwłaścicielka biura nieruchomości By-Bright.</w:t>
      </w:r>
    </w:p>
    <w:p w14:paraId="29375A8B" w14:textId="77777777" w:rsidR="00AC7945" w:rsidRPr="004B1640" w:rsidRDefault="00000000">
      <w:pPr>
        <w:rPr>
          <w:rFonts w:ascii="Aptos" w:hAnsi="Aptos"/>
        </w:rPr>
      </w:pPr>
      <w:r w:rsidRPr="004B1640">
        <w:rPr>
          <w:rFonts w:ascii="Aptos" w:hAnsi="Aptos"/>
        </w:rPr>
        <w:t>Ze względu na specyfikę kredytowania nierezydentów, hiszpańskie banki wymagają szczegółowej dokumentacji i dowodu stabilności finansowej. Wymagania różnią się w zależności od profilu zawodowego, ale żaden nie jest automatycznie dyskwalifikujący.</w:t>
      </w:r>
    </w:p>
    <w:p w14:paraId="4B9950C0" w14:textId="77777777" w:rsidR="00AC7945" w:rsidRPr="004B1640" w:rsidRDefault="00000000">
      <w:pPr>
        <w:pStyle w:val="Nagwek2"/>
        <w:rPr>
          <w:rFonts w:ascii="Aptos" w:hAnsi="Aptos"/>
          <w:color w:val="auto"/>
          <w:sz w:val="22"/>
          <w:szCs w:val="22"/>
        </w:rPr>
      </w:pPr>
      <w:r w:rsidRPr="004B1640">
        <w:rPr>
          <w:rFonts w:ascii="Aptos" w:hAnsi="Aptos"/>
          <w:color w:val="auto"/>
          <w:sz w:val="22"/>
          <w:szCs w:val="22"/>
        </w:rPr>
        <w:t>Freelancerzy – minimum 3 lata historii</w:t>
      </w:r>
    </w:p>
    <w:p w14:paraId="53BBAFD0" w14:textId="77777777" w:rsidR="00AC7945" w:rsidRPr="004B1640" w:rsidRDefault="00000000">
      <w:pPr>
        <w:rPr>
          <w:rFonts w:ascii="Aptos" w:hAnsi="Aptos"/>
        </w:rPr>
      </w:pPr>
      <w:r w:rsidRPr="004B1640">
        <w:rPr>
          <w:rFonts w:ascii="Aptos" w:hAnsi="Aptos"/>
        </w:rPr>
        <w:t>– Freelancerów, na przykład z branży IT, prosimy o minimum 3 lata historii dochodów – wyjaśnia Marc Elliott, broker kredytów hipotecznych z 20-letnim doświadczeniem na rynku hiszpańskim, założyciel Fluent Finance Abroad. – Banki chcą zobaczyć profesjonalistę z ugruntowaną pozycją, nie początkującego.</w:t>
      </w:r>
    </w:p>
    <w:p w14:paraId="6254A523" w14:textId="77777777" w:rsidR="00AC7945" w:rsidRPr="004B1640" w:rsidRDefault="00000000">
      <w:pPr>
        <w:rPr>
          <w:rFonts w:ascii="Aptos" w:hAnsi="Aptos"/>
        </w:rPr>
      </w:pPr>
      <w:r w:rsidRPr="004B1640">
        <w:rPr>
          <w:rFonts w:ascii="Aptos" w:hAnsi="Aptos"/>
        </w:rPr>
        <w:t>Ciągłość kariery jest istotniejsza niż forma prawna zatrudnienia. Freelancer z dwudziestoletnim stażem, zmieniający tylko klientów, jest mniej ryzykowny niż etatowiec przeskakujący co dwa lata między pracodawcami i branżami.</w:t>
      </w:r>
    </w:p>
    <w:p w14:paraId="6450231A" w14:textId="77777777" w:rsidR="00AC7945" w:rsidRPr="004B1640" w:rsidRDefault="00000000">
      <w:pPr>
        <w:pStyle w:val="Nagwek2"/>
        <w:rPr>
          <w:rFonts w:ascii="Aptos" w:hAnsi="Aptos"/>
          <w:color w:val="auto"/>
          <w:sz w:val="22"/>
          <w:szCs w:val="22"/>
        </w:rPr>
      </w:pPr>
      <w:r w:rsidRPr="004B1640">
        <w:rPr>
          <w:rFonts w:ascii="Aptos" w:hAnsi="Aptos"/>
          <w:color w:val="auto"/>
          <w:sz w:val="22"/>
          <w:szCs w:val="22"/>
        </w:rPr>
        <w:t>Przedsiębiorcy – trzy filary oceny</w:t>
      </w:r>
    </w:p>
    <w:p w14:paraId="715F9228" w14:textId="77777777" w:rsidR="00AC7945" w:rsidRPr="004B1640" w:rsidRDefault="00000000">
      <w:pPr>
        <w:rPr>
          <w:rFonts w:ascii="Aptos" w:hAnsi="Aptos"/>
        </w:rPr>
      </w:pPr>
      <w:r w:rsidRPr="004B1640">
        <w:rPr>
          <w:rFonts w:ascii="Aptos" w:hAnsi="Aptos"/>
        </w:rPr>
        <w:t>Banki koncentrują się na trzech aspektach: stabilności przedsiębiorstwa (minimum trzy lata działalności), regularności wypłat dla właściciela oraz kondycji finansowej firmy.</w:t>
      </w:r>
    </w:p>
    <w:p w14:paraId="7A76F014" w14:textId="77777777" w:rsidR="00AC7945" w:rsidRPr="004B1640" w:rsidRDefault="00000000">
      <w:pPr>
        <w:rPr>
          <w:rFonts w:ascii="Aptos" w:hAnsi="Aptos"/>
        </w:rPr>
      </w:pPr>
      <w:r w:rsidRPr="004B1640">
        <w:rPr>
          <w:rFonts w:ascii="Aptos" w:hAnsi="Aptos"/>
        </w:rPr>
        <w:t>– Potrzebujemy jasnej dokumentacji dochodów właściciela z firmy oraz dowodu, że firma jest stabilna finansowo – mówi Elliott. – Jeśli dokumentacja jest czytelna, przedsiębiorcy mają takie same szanse jak osoby na etacie.</w:t>
      </w:r>
    </w:p>
    <w:p w14:paraId="3FE530AB" w14:textId="77777777" w:rsidR="00AC7945" w:rsidRPr="004B1640" w:rsidRDefault="00000000">
      <w:pPr>
        <w:rPr>
          <w:rFonts w:ascii="Aptos" w:hAnsi="Aptos"/>
        </w:rPr>
      </w:pPr>
      <w:r w:rsidRPr="004B1640">
        <w:rPr>
          <w:rFonts w:ascii="Aptos" w:hAnsi="Aptos"/>
        </w:rPr>
        <w:t>Jednoosobowa działalność gospodarcza, powszechna w Polsce, nie stanowi problemu – banki traktują ją jak freelancing. Polski przedsiębiorca prowadzący jednoosobową działalność może być dla hiszpańskiego banku niejasny, dlatego rola brokera polega na przedstawieniu sytuacji w sposób czytelny dla instytucji finansowej.</w:t>
      </w:r>
    </w:p>
    <w:p w14:paraId="5688DE45" w14:textId="77777777" w:rsidR="00AC7945" w:rsidRPr="004B1640" w:rsidRDefault="00000000">
      <w:pPr>
        <w:pStyle w:val="Nagwek2"/>
        <w:rPr>
          <w:rFonts w:ascii="Aptos" w:hAnsi="Aptos"/>
          <w:color w:val="auto"/>
          <w:sz w:val="22"/>
          <w:szCs w:val="22"/>
        </w:rPr>
      </w:pPr>
      <w:r w:rsidRPr="004B1640">
        <w:rPr>
          <w:rFonts w:ascii="Aptos" w:hAnsi="Aptos"/>
          <w:color w:val="auto"/>
          <w:sz w:val="22"/>
          <w:szCs w:val="22"/>
        </w:rPr>
        <w:t>Emeryci – elastyczne kryteria wiekowe</w:t>
      </w:r>
    </w:p>
    <w:p w14:paraId="5BC3E836" w14:textId="77777777" w:rsidR="00AC7945" w:rsidRPr="004B1640" w:rsidRDefault="00000000">
      <w:pPr>
        <w:rPr>
          <w:rFonts w:ascii="Aptos" w:hAnsi="Aptos"/>
        </w:rPr>
      </w:pPr>
      <w:r w:rsidRPr="004B1640">
        <w:rPr>
          <w:rFonts w:ascii="Aptos" w:hAnsi="Aptos"/>
        </w:rPr>
        <w:t>W Hiszpanii górna granica wieku przy spłacie kredytu dla rezydentów może wynosić 80 lat, dla nierezydentów około 75 lat. 60-letni wnioskodawca może bez problemu uzyskać kredyt na 15 lat.</w:t>
      </w:r>
    </w:p>
    <w:p w14:paraId="05B05615" w14:textId="77777777" w:rsidR="00AC7945" w:rsidRPr="004B1640" w:rsidRDefault="00000000">
      <w:pPr>
        <w:rPr>
          <w:rFonts w:ascii="Aptos" w:hAnsi="Aptos"/>
        </w:rPr>
      </w:pPr>
      <w:r w:rsidRPr="004B1640">
        <w:rPr>
          <w:rFonts w:ascii="Aptos" w:hAnsi="Aptos"/>
        </w:rPr>
        <w:t>– Możemy wprowadzić do wniosku dzieci klienta jako współkredytobiorców – wyjaśnia Elliott. – Jeśli rodzice mają 65–69 lat, ale dziecko ma stabilną pracę z wysokimi dochodami, możemy wydłużyć okres kredytowania z 10 do 20 lat.</w:t>
      </w:r>
    </w:p>
    <w:p w14:paraId="58E31DC6" w14:textId="77777777" w:rsidR="00AC7945" w:rsidRPr="004B1640" w:rsidRDefault="00000000">
      <w:pPr>
        <w:rPr>
          <w:rFonts w:ascii="Aptos" w:hAnsi="Aptos"/>
        </w:rPr>
      </w:pPr>
      <w:r w:rsidRPr="004B1640">
        <w:rPr>
          <w:rFonts w:ascii="Aptos" w:hAnsi="Aptos"/>
        </w:rPr>
        <w:lastRenderedPageBreak/>
        <w:t>Banki akceptują różne źródła dochodów emerytalnych: emeryturę ZUS, wypłaty z funduszy emerytalnych, dochody z portfela inwestycyjnego.</w:t>
      </w:r>
    </w:p>
    <w:p>
      <w:r>
        <w:t>– Współpracujemy ze specjalistami, którzy potrafią przedstawić hiszpańskim bankom sytuację klientów w różnym wieku i o różnych profilach zawodowych. To zwiększa szanse powodzenia nawet w przypadkach, które mogą wydawać się nietypowe – wyjaśnia Joanna Ossowska-Rodziewicz, współwłaścicielka biura nieruchomości By-Bright.</w:t>
      </w:r>
    </w:p>
    <w:p w14:paraId="1BFA0CF9" w14:textId="77777777" w:rsidR="00AC7945" w:rsidRPr="004B1640" w:rsidRDefault="00000000">
      <w:pPr>
        <w:pStyle w:val="Nagwek2"/>
        <w:rPr>
          <w:rFonts w:ascii="Aptos" w:hAnsi="Aptos"/>
          <w:color w:val="auto"/>
          <w:sz w:val="22"/>
          <w:szCs w:val="22"/>
        </w:rPr>
      </w:pPr>
      <w:r w:rsidRPr="004B1640">
        <w:rPr>
          <w:rFonts w:ascii="Aptos" w:hAnsi="Aptos"/>
          <w:color w:val="auto"/>
          <w:sz w:val="22"/>
          <w:szCs w:val="22"/>
        </w:rPr>
        <w:t>Klienci z krótszą historią działalności</w:t>
      </w:r>
    </w:p>
    <w:p w14:paraId="62D07057" w14:textId="77777777" w:rsidR="00AC7945" w:rsidRPr="004B1640" w:rsidRDefault="00000000">
      <w:pPr>
        <w:rPr>
          <w:rFonts w:ascii="Aptos" w:hAnsi="Aptos"/>
        </w:rPr>
      </w:pPr>
      <w:r w:rsidRPr="004B1640">
        <w:rPr>
          <w:rFonts w:ascii="Aptos" w:hAnsi="Aptos"/>
        </w:rPr>
        <w:t>– Jeśli klient założył biznes 12 miesięcy temu, może mieć wyzwanie w uzyskaniu standardowych warunków – przyznaje Elliott. – Ale to nie oznacza automatycznej odmowy. Prowadzimy szczegółową analizę każdego przypadku.</w:t>
      </w:r>
    </w:p>
    <w:p w14:paraId="7172A92C" w14:textId="77777777" w:rsidR="00AC7945" w:rsidRPr="004B1640" w:rsidRDefault="00000000">
      <w:pPr>
        <w:rPr>
          <w:rFonts w:ascii="Aptos" w:hAnsi="Aptos"/>
        </w:rPr>
      </w:pPr>
      <w:r w:rsidRPr="004B1640">
        <w:rPr>
          <w:rFonts w:ascii="Aptos" w:hAnsi="Aptos"/>
        </w:rPr>
        <w:t>Dla klientów z krótszą historią działalności broker może zaproponować finansowanie na 50–60 proc. wartości nieruchomości zamiast standardowych 70 proc. To wymaga dostosowania oczekiwań, ale otwiera możliwość zakupu nawet dla osób, które niedawno rozpoczęły samodzielną działalność – pod warunkiem, że wcześniej pracowały w tej samej branży i mogą wykazać ciągłość kompetencji.</w:t>
      </w:r>
    </w:p>
    <w:p w14:paraId="56D0E895" w14:textId="77777777" w:rsidR="00AC7945" w:rsidRPr="004B1640" w:rsidRDefault="00000000">
      <w:pPr>
        <w:rPr>
          <w:rFonts w:ascii="Aptos" w:hAnsi="Aptos"/>
        </w:rPr>
      </w:pPr>
      <w:r w:rsidRPr="004B1640">
        <w:rPr>
          <w:rFonts w:ascii="Aptos" w:hAnsi="Aptos"/>
        </w:rPr>
        <w:t>– Kluczowe jest odpowiednie przygotowanie dokumentacji i realistyczne oczekiwania – podkreśla Elliott. – Współpraca z brokerem rozumiejącym polskie i hiszpańskie realia zwiększa szanse na sukces, nawet w przypadkach, które mogą wydawać się nietypowe.</w:t>
      </w:r>
    </w:p>
    <w:p w14:paraId="27776FAD" w14:textId="77777777" w:rsidR="00AC7945" w:rsidRPr="004B1640" w:rsidRDefault="00AC7945">
      <w:pPr>
        <w:rPr>
          <w:rFonts w:ascii="Aptos" w:hAnsi="Aptos"/>
        </w:rPr>
      </w:pPr>
    </w:p>
    <w:p w14:paraId="2C0407A1" w14:textId="77777777" w:rsidR="00AC7945" w:rsidRPr="004B1640" w:rsidRDefault="00000000">
      <w:pPr>
        <w:rPr>
          <w:rFonts w:ascii="Aptos" w:hAnsi="Aptos"/>
        </w:rPr>
      </w:pPr>
      <w:r w:rsidRPr="004B1640">
        <w:rPr>
          <w:rFonts w:ascii="Aptos" w:hAnsi="Aptos"/>
          <w:b/>
        </w:rPr>
        <w:t>O ekspertach:</w:t>
      </w:r>
    </w:p>
    <w:p w14:paraId="31A585C7" w14:textId="77777777" w:rsidR="00AC7945" w:rsidRPr="004B1640" w:rsidRDefault="00000000">
      <w:pPr>
        <w:rPr>
          <w:rFonts w:ascii="Aptos" w:hAnsi="Aptos"/>
        </w:rPr>
      </w:pPr>
      <w:r w:rsidRPr="004B1640">
        <w:rPr>
          <w:rFonts w:ascii="Aptos" w:hAnsi="Aptos"/>
          <w:i/>
        </w:rPr>
        <w:t>Bright Real Estate</w:t>
      </w:r>
      <w:r w:rsidRPr="004B1640">
        <w:rPr>
          <w:rFonts w:ascii="Aptos" w:hAnsi="Aptos"/>
        </w:rPr>
        <w:t xml:space="preserve"> to agencja nieruchomości specjalizująca się w kompleksowej obsłudze polskich klientów na rynku andaluzyjskim, ze szczególnym uwzględnieniem Costa del Sol. Firma oferuje pełne wsparcie w procesie zakupu, w tym pomoc w uzyskaniu finansowania przez współpracę z weryfikowanymi brokerami hipotecznymi.</w:t>
      </w:r>
    </w:p>
    <w:p w14:paraId="3609F86A" w14:textId="77777777" w:rsidR="00AC7945" w:rsidRPr="004B1640" w:rsidRDefault="00000000">
      <w:pPr>
        <w:rPr>
          <w:rFonts w:ascii="Aptos" w:hAnsi="Aptos"/>
        </w:rPr>
      </w:pPr>
      <w:r w:rsidRPr="004B1640">
        <w:rPr>
          <w:rFonts w:ascii="Aptos" w:hAnsi="Aptos"/>
          <w:i/>
        </w:rPr>
        <w:t>Marc Elliott</w:t>
      </w:r>
      <w:r w:rsidRPr="004B1640">
        <w:rPr>
          <w:rFonts w:ascii="Aptos" w:hAnsi="Aptos"/>
        </w:rPr>
        <w:t xml:space="preserve"> prowadzi Fluent Finance Abroad, firmę brokerską z 98 proc. wskaźnikiem sukcesu w pozyskiwaniu kredytów hipotecznych dla zagranicznych nabywców w Hiszpanii. Współpracuje z wszystkimi głównymi hiszpańskimi bankami oferującymi finansowanie dla osób zarabiających w walutach innych niż euro.</w:t>
      </w:r>
    </w:p>
    <w:sectPr w:rsidR="00AC7945" w:rsidRPr="004B164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1365790709">
    <w:abstractNumId w:val="8"/>
  </w:num>
  <w:num w:numId="2" w16cid:durableId="241256840">
    <w:abstractNumId w:val="6"/>
  </w:num>
  <w:num w:numId="3" w16cid:durableId="757022892">
    <w:abstractNumId w:val="5"/>
  </w:num>
  <w:num w:numId="4" w16cid:durableId="1634629520">
    <w:abstractNumId w:val="4"/>
  </w:num>
  <w:num w:numId="5" w16cid:durableId="221137552">
    <w:abstractNumId w:val="7"/>
  </w:num>
  <w:num w:numId="6" w16cid:durableId="1508640899">
    <w:abstractNumId w:val="3"/>
  </w:num>
  <w:num w:numId="7" w16cid:durableId="1735548913">
    <w:abstractNumId w:val="2"/>
  </w:num>
  <w:num w:numId="8" w16cid:durableId="2110613199">
    <w:abstractNumId w:val="1"/>
  </w:num>
  <w:num w:numId="9" w16cid:durableId="136224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B6109"/>
    <w:rsid w:val="004B1640"/>
    <w:rsid w:val="00AA1D8D"/>
    <w:rsid w:val="00AC7945"/>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FA536"/>
  <w14:defaultImageDpi w14:val="300"/>
  <w15:docId w15:val="{91C63B15-9211-436C-A0E2-5DF31AF2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Piotr Zabłocki</cp:lastModifiedBy>
  <cp:revision>2</cp:revision>
  <dcterms:created xsi:type="dcterms:W3CDTF">2013-12-23T23:15:00Z</dcterms:created>
  <dcterms:modified xsi:type="dcterms:W3CDTF">2025-11-04T12:51:00Z</dcterms:modified>
  <cp:category/>
</cp:coreProperties>
</file>