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441EB" w14:textId="69832DC5" w:rsidR="00C6498E" w:rsidRDefault="00C6498E" w:rsidP="00C6498E">
      <w:pPr>
        <w:rPr>
          <w:bCs/>
        </w:rPr>
      </w:pPr>
      <w:r w:rsidRPr="00C6498E">
        <w:rPr>
          <w:bCs/>
        </w:rPr>
        <w:t>Informacja prasowa</w:t>
      </w:r>
    </w:p>
    <w:p w14:paraId="1F620B0A" w14:textId="529BFA78" w:rsidR="00C6498E" w:rsidRPr="00C6498E" w:rsidRDefault="00C6498E" w:rsidP="00C6498E">
      <w:pPr>
        <w:jc w:val="right"/>
        <w:rPr>
          <w:bCs/>
        </w:rPr>
      </w:pPr>
      <w:r w:rsidRPr="00C6498E">
        <w:rPr>
          <w:bCs/>
        </w:rPr>
        <w:t xml:space="preserve">Warszawa, </w:t>
      </w:r>
      <w:r w:rsidR="00E931E7">
        <w:rPr>
          <w:bCs/>
        </w:rPr>
        <w:t>23</w:t>
      </w:r>
      <w:r w:rsidR="00FB33AC">
        <w:rPr>
          <w:bCs/>
        </w:rPr>
        <w:t>.</w:t>
      </w:r>
      <w:r w:rsidR="00A04C98">
        <w:rPr>
          <w:bCs/>
        </w:rPr>
        <w:t>12</w:t>
      </w:r>
      <w:r w:rsidRPr="00C6498E">
        <w:rPr>
          <w:bCs/>
        </w:rPr>
        <w:t>.202</w:t>
      </w:r>
      <w:r w:rsidR="008A7F15">
        <w:rPr>
          <w:bCs/>
        </w:rPr>
        <w:t>5</w:t>
      </w:r>
      <w:r>
        <w:rPr>
          <w:bCs/>
        </w:rPr>
        <w:t xml:space="preserve"> r. </w:t>
      </w:r>
    </w:p>
    <w:p w14:paraId="2EFE895A" w14:textId="209E1C2F" w:rsidR="00D448FD" w:rsidRPr="00C6498E" w:rsidRDefault="00A04C98" w:rsidP="0029518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Jaki napój stanie na </w:t>
      </w:r>
      <w:r w:rsidR="0027748C">
        <w:rPr>
          <w:b/>
          <w:sz w:val="32"/>
          <w:szCs w:val="32"/>
        </w:rPr>
        <w:t>świątecznym</w:t>
      </w:r>
      <w:r w:rsidR="005E5A65">
        <w:rPr>
          <w:b/>
          <w:sz w:val="32"/>
          <w:szCs w:val="32"/>
        </w:rPr>
        <w:t xml:space="preserve"> stole</w:t>
      </w:r>
      <w:r>
        <w:rPr>
          <w:b/>
          <w:sz w:val="32"/>
          <w:szCs w:val="32"/>
        </w:rPr>
        <w:t xml:space="preserve">? eLeader sprawdził ekspozycję </w:t>
      </w:r>
    </w:p>
    <w:p w14:paraId="22654E23" w14:textId="021B185E" w:rsidR="002077A1" w:rsidRDefault="002077A1" w:rsidP="002077A1">
      <w:pPr>
        <w:jc w:val="both"/>
        <w:rPr>
          <w:b/>
        </w:rPr>
      </w:pPr>
      <w:r w:rsidRPr="002077A1">
        <w:rPr>
          <w:b/>
        </w:rPr>
        <w:t>Tymbark czy Hortex? Coca</w:t>
      </w:r>
      <w:r w:rsidR="007A130F">
        <w:rPr>
          <w:b/>
        </w:rPr>
        <w:t>-</w:t>
      </w:r>
      <w:r w:rsidRPr="002077A1">
        <w:rPr>
          <w:b/>
        </w:rPr>
        <w:t xml:space="preserve">Cola czy Pepsi? </w:t>
      </w:r>
      <w:r w:rsidR="007513FB" w:rsidRPr="002077A1">
        <w:rPr>
          <w:b/>
        </w:rPr>
        <w:t xml:space="preserve">W okresie przedświątecznego pośpiechu konsumenci najczęściej sięgają po to, co jest najlepiej widoczne na półce. </w:t>
      </w:r>
      <w:r w:rsidRPr="002077A1">
        <w:rPr>
          <w:b/>
        </w:rPr>
        <w:t>Aby sprawdzić, które napoje zdominują świąteczne stoły, eLeader — firma technologiczna oferująca narzędzia do automatyzacji handlu w terenie — przeanalizował</w:t>
      </w:r>
      <w:r w:rsidR="002405FC">
        <w:rPr>
          <w:b/>
        </w:rPr>
        <w:t>a</w:t>
      </w:r>
      <w:r w:rsidRPr="002077A1">
        <w:rPr>
          <w:b/>
        </w:rPr>
        <w:t xml:space="preserve"> ekspozycję produktów w sklepach. </w:t>
      </w:r>
      <w:r w:rsidR="00185D0D">
        <w:rPr>
          <w:b/>
        </w:rPr>
        <w:t>Badanie</w:t>
      </w:r>
      <w:r w:rsidRPr="002077A1">
        <w:rPr>
          <w:b/>
        </w:rPr>
        <w:t xml:space="preserve"> pokazuje, że w obu kategoriach — soków i napojów gazowanych — wyraźnie dominują dwie marki</w:t>
      </w:r>
      <w:r>
        <w:rPr>
          <w:b/>
        </w:rPr>
        <w:t>. Jednak</w:t>
      </w:r>
      <w:r w:rsidRPr="002077A1">
        <w:rPr>
          <w:b/>
        </w:rPr>
        <w:t xml:space="preserve"> nie wszystkie sieci sklepów postawiły na liderów.</w:t>
      </w:r>
    </w:p>
    <w:p w14:paraId="17AC175C" w14:textId="5D1E4EFF" w:rsidR="002077A1" w:rsidRDefault="007513FB" w:rsidP="007513FB">
      <w:pPr>
        <w:jc w:val="both"/>
        <w:rPr>
          <w:bCs/>
        </w:rPr>
      </w:pPr>
      <w:r w:rsidRPr="007513FB">
        <w:rPr>
          <w:bCs/>
        </w:rPr>
        <w:t xml:space="preserve">Przedświąteczne zakupy to czas, kiedy liczy się każda chwila, a wybory konsumentów często zależą od tego, co najbardziej rzuca się w oczy na sklepowej półce. Soki i napoje gazowane pojawiają się w niemal każdym koszyku, a w okresie świątecznym stają się ważnym </w:t>
      </w:r>
      <w:r w:rsidR="007A130F">
        <w:rPr>
          <w:bCs/>
        </w:rPr>
        <w:t>elementem spotkań przy stole</w:t>
      </w:r>
      <w:r w:rsidRPr="007513FB">
        <w:rPr>
          <w:bCs/>
        </w:rPr>
        <w:t>. Z badania przeprowadzonego przez eLeader wynika, że w kategorii napojów gazowanych dominują Coca</w:t>
      </w:r>
      <w:r w:rsidR="007A130F">
        <w:rPr>
          <w:bCs/>
        </w:rPr>
        <w:t>-</w:t>
      </w:r>
      <w:r w:rsidRPr="007513FB">
        <w:rPr>
          <w:bCs/>
        </w:rPr>
        <w:t xml:space="preserve">Cola i Pepsi, które wspólnie zajmują </w:t>
      </w:r>
      <w:r w:rsidR="007A130F">
        <w:rPr>
          <w:bCs/>
        </w:rPr>
        <w:t>ponad</w:t>
      </w:r>
      <w:r w:rsidR="007A130F" w:rsidRPr="007513FB">
        <w:rPr>
          <w:bCs/>
        </w:rPr>
        <w:t xml:space="preserve"> </w:t>
      </w:r>
      <w:r w:rsidRPr="007513FB">
        <w:rPr>
          <w:bCs/>
        </w:rPr>
        <w:t>37</w:t>
      </w:r>
      <w:r w:rsidR="0001601C">
        <w:rPr>
          <w:bCs/>
        </w:rPr>
        <w:t xml:space="preserve"> proc.</w:t>
      </w:r>
      <w:r w:rsidRPr="007513FB">
        <w:rPr>
          <w:bCs/>
        </w:rPr>
        <w:t xml:space="preserve"> ekspozycji. Wśród soków najwięcej miejsca na półkach zajmują Tymbark i Hortex, łącznie </w:t>
      </w:r>
      <w:r w:rsidR="007A130F">
        <w:rPr>
          <w:bCs/>
        </w:rPr>
        <w:t xml:space="preserve">z </w:t>
      </w:r>
      <w:r w:rsidRPr="007513FB">
        <w:rPr>
          <w:bCs/>
        </w:rPr>
        <w:t>niemal 40</w:t>
      </w:r>
      <w:r w:rsidR="0001601C">
        <w:rPr>
          <w:bCs/>
        </w:rPr>
        <w:t xml:space="preserve"> proc.</w:t>
      </w:r>
      <w:r w:rsidRPr="007513FB">
        <w:rPr>
          <w:bCs/>
        </w:rPr>
        <w:t xml:space="preserve"> ekspozycji. Nie wszystkie sieci postawiły </w:t>
      </w:r>
      <w:r w:rsidR="007A130F" w:rsidRPr="007513FB">
        <w:rPr>
          <w:bCs/>
        </w:rPr>
        <w:t xml:space="preserve">jednak </w:t>
      </w:r>
      <w:r w:rsidRPr="007513FB">
        <w:rPr>
          <w:bCs/>
        </w:rPr>
        <w:t>na liderów</w:t>
      </w:r>
      <w:r w:rsidR="005E6BD6">
        <w:rPr>
          <w:bCs/>
        </w:rPr>
        <w:t>. W</w:t>
      </w:r>
      <w:r w:rsidR="005E6BD6" w:rsidRPr="005E6BD6">
        <w:rPr>
          <w:bCs/>
        </w:rPr>
        <w:t xml:space="preserve"> sieciach dyskontowych</w:t>
      </w:r>
      <w:r w:rsidR="007A130F" w:rsidRPr="007513FB">
        <w:rPr>
          <w:bCs/>
        </w:rPr>
        <w:t xml:space="preserve"> </w:t>
      </w:r>
      <w:r w:rsidRPr="007513FB">
        <w:rPr>
          <w:bCs/>
        </w:rPr>
        <w:t xml:space="preserve">takich jak Aldi, Biedronka, Lidl czy Netto </w:t>
      </w:r>
      <w:r w:rsidR="000656F9" w:rsidRPr="005E6BD6">
        <w:rPr>
          <w:bCs/>
        </w:rPr>
        <w:t>dominują marki własne</w:t>
      </w:r>
      <w:r w:rsidRPr="007513FB">
        <w:rPr>
          <w:bCs/>
        </w:rPr>
        <w:t>.</w:t>
      </w:r>
    </w:p>
    <w:p w14:paraId="30C2A25D" w14:textId="77777777" w:rsidR="006B5316" w:rsidRDefault="000B5DEA" w:rsidP="006B5316">
      <w:pPr>
        <w:jc w:val="both"/>
      </w:pPr>
      <w:r w:rsidRPr="0090238F">
        <w:t>–</w:t>
      </w:r>
      <w:r>
        <w:t xml:space="preserve"> </w:t>
      </w:r>
      <w:r w:rsidRPr="000B5DEA">
        <w:rPr>
          <w:bCs/>
          <w:i/>
          <w:iCs/>
        </w:rPr>
        <w:t xml:space="preserve">Okres przedświąteczny to czas, kiedy decyzje zakupowe często podejmowane są pod wpływem </w:t>
      </w:r>
      <w:r w:rsidR="007A130F">
        <w:rPr>
          <w:bCs/>
          <w:i/>
          <w:iCs/>
        </w:rPr>
        <w:t xml:space="preserve">impulsu, na który mocno wpływają bodźce </w:t>
      </w:r>
      <w:r w:rsidRPr="000B5DEA">
        <w:rPr>
          <w:bCs/>
          <w:i/>
          <w:iCs/>
        </w:rPr>
        <w:t>wizualn</w:t>
      </w:r>
      <w:r w:rsidR="007A130F">
        <w:rPr>
          <w:bCs/>
          <w:i/>
          <w:iCs/>
        </w:rPr>
        <w:t>e</w:t>
      </w:r>
      <w:r w:rsidRPr="000B5DEA">
        <w:rPr>
          <w:bCs/>
          <w:i/>
          <w:iCs/>
        </w:rPr>
        <w:t>. Strategiczne rozmieszczenie produktów na półkach ma więc kluczowe znaczenie — odpowiednia ekspozycja może przyciągnąć uwagę konsumentów i zwiększyć szanse na wybór danej marki.</w:t>
      </w:r>
      <w:r w:rsidR="0001601C">
        <w:rPr>
          <w:bCs/>
          <w:i/>
          <w:iCs/>
        </w:rPr>
        <w:t xml:space="preserve"> </w:t>
      </w:r>
      <w:r w:rsidR="00E931E7" w:rsidRPr="00E931E7">
        <w:rPr>
          <w:bCs/>
          <w:i/>
          <w:iCs/>
        </w:rPr>
        <w:t>Analiza ekspozycji pokazuje, że skuteczne zarządzanie kategorią nie polega wyłącznie na wzmacnianiu pojedynczych marek, ale na takim zaprojektowaniu półki, aby odpowiadała ona na różne potrzeby konsumentów: cenowe, funkcjonalne i jakościowe. Z tego punktu widzenia półka jest wspólną przestrzenią decyzji sieci, producentów i klientów</w:t>
      </w:r>
      <w:r>
        <w:rPr>
          <w:bCs/>
          <w:i/>
          <w:iCs/>
        </w:rPr>
        <w:t xml:space="preserve"> </w:t>
      </w:r>
      <w:r w:rsidRPr="0090238F">
        <w:t xml:space="preserve">– </w:t>
      </w:r>
      <w:r w:rsidR="006B5316" w:rsidRPr="006B5316">
        <w:t>mówi Paweł Majsiej, Chief of Shelf Recognition AI w eLeader.</w:t>
      </w:r>
    </w:p>
    <w:p w14:paraId="360F7042" w14:textId="363099EF" w:rsidR="00EC5ADD" w:rsidRPr="00EC5ADD" w:rsidRDefault="00EC5ADD" w:rsidP="00EC5ADD">
      <w:pPr>
        <w:jc w:val="both"/>
        <w:rPr>
          <w:lang w:val="en-US"/>
        </w:rPr>
      </w:pPr>
      <w:r w:rsidRPr="00EC5ADD">
        <w:rPr>
          <w:noProof/>
          <w:lang w:val="en-US"/>
        </w:rPr>
        <w:drawing>
          <wp:inline distT="0" distB="0" distL="0" distR="0" wp14:anchorId="198FA090" wp14:editId="38658744">
            <wp:extent cx="5353936" cy="3000375"/>
            <wp:effectExtent l="0" t="0" r="0" b="0"/>
            <wp:docPr id="175201877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72" cy="30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C71C" w14:textId="6BFE0472" w:rsidR="00E931E7" w:rsidRPr="00EC5ADD" w:rsidRDefault="00EC5ADD" w:rsidP="00EC5ADD">
      <w:pPr>
        <w:jc w:val="both"/>
        <w:rPr>
          <w:i/>
          <w:iCs/>
          <w:sz w:val="20"/>
          <w:szCs w:val="20"/>
        </w:rPr>
      </w:pPr>
      <w:r w:rsidRPr="00EC5ADD">
        <w:rPr>
          <w:i/>
          <w:iCs/>
          <w:sz w:val="20"/>
          <w:szCs w:val="20"/>
        </w:rPr>
        <w:t>Adobe Stock, świąteczna ekspozycja</w:t>
      </w:r>
    </w:p>
    <w:p w14:paraId="6ACFA69E" w14:textId="7EACB44D" w:rsidR="00B518FE" w:rsidRPr="00922670" w:rsidRDefault="009070C9" w:rsidP="00704E46">
      <w:pPr>
        <w:jc w:val="both"/>
        <w:rPr>
          <w:b/>
        </w:rPr>
      </w:pPr>
      <w:r>
        <w:rPr>
          <w:b/>
        </w:rPr>
        <w:lastRenderedPageBreak/>
        <w:t>Coca</w:t>
      </w:r>
      <w:r w:rsidR="003C2549">
        <w:rPr>
          <w:b/>
        </w:rPr>
        <w:t>-</w:t>
      </w:r>
      <w:r>
        <w:rPr>
          <w:b/>
        </w:rPr>
        <w:t xml:space="preserve">Cola czy Pepsi? </w:t>
      </w:r>
    </w:p>
    <w:p w14:paraId="3E3FEBBE" w14:textId="21A9CEB6" w:rsidR="003B67D3" w:rsidRDefault="003B67D3" w:rsidP="003B67D3">
      <w:pPr>
        <w:jc w:val="both"/>
      </w:pPr>
      <w:r>
        <w:t xml:space="preserve">Coca-Cola i Pepsi są szczególnie aktywne marketingowo w okresie świątecznym, intensywnie rywalizując o miejsce na bożonarodzeniowym stole. Obie marki </w:t>
      </w:r>
      <w:r w:rsidR="0001601C">
        <w:t xml:space="preserve">są też jednymi z najbardziej </w:t>
      </w:r>
      <w:r>
        <w:t>widocznych na sklepowych półkach. Tak</w:t>
      </w:r>
      <w:r w:rsidR="00E64ED8">
        <w:t>,</w:t>
      </w:r>
      <w:r>
        <w:t xml:space="preserve"> jak w ubiegłym roku, Coca</w:t>
      </w:r>
      <w:r w:rsidR="00E64ED8">
        <w:t>-</w:t>
      </w:r>
      <w:r>
        <w:t>Cola wciąż zajmuje więcej przestrzeni ekspozycyjnej — aż 21,4 proc. udziałów, podczas gdy Pepsi ma 15,7 proc. Jednak w tym roku różnice między tymi markami się pogłębiły: Coca</w:t>
      </w:r>
      <w:r w:rsidR="00E64ED8">
        <w:t>-</w:t>
      </w:r>
      <w:r>
        <w:t>Cola zwiększyła swój udział o 1 punkt procentowy w stosunku do poprzedniego roku, podczas gdy Pepsi straciła podobną wartość. Wśród innych wyróżniających się marek w kategorii napojów gazowanych znajdują się m.in. Schweppes, Fanta i Hellena, jednak żadna z nich nie zajmuje więcej niż 7 proc. półek. Co ciekawe, w niektórych sieciach Coca</w:t>
      </w:r>
      <w:r w:rsidR="00897E8A">
        <w:t>-</w:t>
      </w:r>
      <w:r>
        <w:t>Cola i Pepsi nie dominują: w Aldi największą część ekspozycji zajmuje River, w Dino – Hellena, a w Lidlu – F</w:t>
      </w:r>
      <w:r w:rsidR="00553ED5">
        <w:t>r</w:t>
      </w:r>
      <w:r>
        <w:t>eeway.</w:t>
      </w:r>
    </w:p>
    <w:p w14:paraId="4B4FB69A" w14:textId="77777777" w:rsidR="00EC5ADD" w:rsidRPr="009070C9" w:rsidRDefault="00EC5ADD" w:rsidP="00EC5ADD">
      <w:pPr>
        <w:jc w:val="both"/>
      </w:pPr>
      <w:r>
        <w:rPr>
          <w:noProof/>
        </w:rPr>
        <w:drawing>
          <wp:inline distT="0" distB="0" distL="0" distR="0" wp14:anchorId="13007CAF" wp14:editId="14BC009F">
            <wp:extent cx="5210175" cy="2929000"/>
            <wp:effectExtent l="0" t="0" r="0" b="5080"/>
            <wp:docPr id="77250980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77" cy="29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0C9">
        <w:rPr>
          <w:noProof/>
        </w:rPr>
        <w:t xml:space="preserve"> </w:t>
      </w:r>
    </w:p>
    <w:p w14:paraId="52E58C99" w14:textId="0B708C56" w:rsidR="00EC5ADD" w:rsidRPr="00EC5ADD" w:rsidRDefault="00EC5ADD" w:rsidP="00EC5ADD">
      <w:pPr>
        <w:jc w:val="both"/>
        <w:rPr>
          <w:i/>
          <w:iCs/>
          <w:sz w:val="20"/>
          <w:szCs w:val="20"/>
        </w:rPr>
      </w:pPr>
      <w:r w:rsidRPr="00043EE1">
        <w:rPr>
          <w:i/>
          <w:iCs/>
          <w:sz w:val="20"/>
          <w:szCs w:val="20"/>
        </w:rPr>
        <w:t xml:space="preserve">eLeader, Udziały w </w:t>
      </w:r>
      <w:r>
        <w:rPr>
          <w:i/>
          <w:iCs/>
          <w:sz w:val="20"/>
          <w:szCs w:val="20"/>
        </w:rPr>
        <w:t xml:space="preserve">sklepowej ekspozycji </w:t>
      </w:r>
      <w:r w:rsidRPr="00043EE1">
        <w:rPr>
          <w:i/>
          <w:iCs/>
          <w:sz w:val="20"/>
          <w:szCs w:val="20"/>
        </w:rPr>
        <w:t xml:space="preserve">w kategorii </w:t>
      </w:r>
      <w:r>
        <w:rPr>
          <w:i/>
          <w:iCs/>
          <w:sz w:val="20"/>
          <w:szCs w:val="20"/>
        </w:rPr>
        <w:t xml:space="preserve">napojów gazowanych oraz soków, napojów, nektarów owocowych, październik-listopad 2025 roku </w:t>
      </w:r>
    </w:p>
    <w:p w14:paraId="4B423E87" w14:textId="48AD32EF" w:rsidR="009070C9" w:rsidRPr="009070C9" w:rsidRDefault="009070C9" w:rsidP="005E6BD6">
      <w:pPr>
        <w:jc w:val="both"/>
        <w:rPr>
          <w:i/>
          <w:iCs/>
        </w:rPr>
      </w:pPr>
      <w:r w:rsidRPr="0090238F">
        <w:t xml:space="preserve">– </w:t>
      </w:r>
      <w:r w:rsidR="007042A2" w:rsidRPr="007042A2">
        <w:rPr>
          <w:i/>
          <w:iCs/>
        </w:rPr>
        <w:t>Coca</w:t>
      </w:r>
      <w:r w:rsidR="00897E8A">
        <w:rPr>
          <w:i/>
          <w:iCs/>
        </w:rPr>
        <w:t>-</w:t>
      </w:r>
      <w:r w:rsidR="007042A2" w:rsidRPr="007042A2">
        <w:rPr>
          <w:i/>
          <w:iCs/>
        </w:rPr>
        <w:t xml:space="preserve">Cola i Pepsi utrzymują silną pozycję na półkach, jednak nawet niewielkie zmiany w udziale ekspozycji mogą mieć duże znaczenie. </w:t>
      </w:r>
      <w:r w:rsidR="00E931E7" w:rsidRPr="00E931E7">
        <w:rPr>
          <w:i/>
          <w:iCs/>
        </w:rPr>
        <w:t xml:space="preserve">Rynek FMCG jest dynamiczny, dlatego zarządzanie kategorią wymaga ciągłego monitorowania zarówno danych sprzedażowych, jak i danych półkowych, takich jak asortyment czy liczba facingów. Dopiero połączenie tych informacji pozwala producentom i sieciom podejmować racjonalne decyzje dotyczące ekspozycji i działań promocyjnych, opartych na realnych zachowaniach konsumentów </w:t>
      </w:r>
      <w:r w:rsidRPr="0090238F">
        <w:t xml:space="preserve">– </w:t>
      </w:r>
      <w:r w:rsidR="006B5316" w:rsidRPr="006B5316">
        <w:t>mówi Paweł Majsiej, Chief of Shelf Recognition AI w eLeader.</w:t>
      </w:r>
    </w:p>
    <w:p w14:paraId="23A35433" w14:textId="1DAB9DD4" w:rsidR="00CD72CE" w:rsidRPr="00922670" w:rsidRDefault="009070C9" w:rsidP="00CD72CE">
      <w:pPr>
        <w:jc w:val="both"/>
        <w:rPr>
          <w:b/>
        </w:rPr>
      </w:pPr>
      <w:r>
        <w:rPr>
          <w:b/>
        </w:rPr>
        <w:t xml:space="preserve">Napój na świąteczny stół </w:t>
      </w:r>
    </w:p>
    <w:p w14:paraId="4CD8E686" w14:textId="4C023D37" w:rsidR="00BA7C84" w:rsidRPr="00BA7C84" w:rsidRDefault="00BA7C84" w:rsidP="00BA7C84">
      <w:pPr>
        <w:jc w:val="both"/>
        <w:rPr>
          <w:bCs/>
        </w:rPr>
      </w:pPr>
      <w:r w:rsidRPr="00BA7C84">
        <w:rPr>
          <w:bCs/>
        </w:rPr>
        <w:t>eLeader przeanalizował</w:t>
      </w:r>
      <w:r>
        <w:rPr>
          <w:bCs/>
        </w:rPr>
        <w:t xml:space="preserve"> także</w:t>
      </w:r>
      <w:r w:rsidRPr="00BA7C84">
        <w:rPr>
          <w:bCs/>
        </w:rPr>
        <w:t xml:space="preserve"> kategorię napojów, soków i nektarów owocowych. Z badania wynika, że jest ona jeszcze bardziej zdominowana przez dwóch głównych liderów</w:t>
      </w:r>
      <w:r w:rsidR="00497579">
        <w:rPr>
          <w:bCs/>
        </w:rPr>
        <w:t>,</w:t>
      </w:r>
      <w:r w:rsidRPr="00BA7C84">
        <w:rPr>
          <w:bCs/>
        </w:rPr>
        <w:t xml:space="preserve"> niż półka z napojami gazowanymi. Tymbark i Hortex wspólnie zajmują </w:t>
      </w:r>
      <w:r w:rsidR="00497579">
        <w:rPr>
          <w:bCs/>
        </w:rPr>
        <w:t>niemal 40</w:t>
      </w:r>
      <w:r w:rsidRPr="00BA7C84">
        <w:rPr>
          <w:bCs/>
        </w:rPr>
        <w:t xml:space="preserve"> proc. ekspozycji – przy czym sam Tymbark ma 23,3 proc., a Hortex 16,2 proc.</w:t>
      </w:r>
      <w:r w:rsidR="0001601C">
        <w:rPr>
          <w:bCs/>
        </w:rPr>
        <w:t xml:space="preserve"> udziału na półce.</w:t>
      </w:r>
      <w:r w:rsidRPr="00BA7C84">
        <w:rPr>
          <w:bCs/>
        </w:rPr>
        <w:t xml:space="preserve"> W porównaniu do ubiegłego roku udział Hortexu </w:t>
      </w:r>
      <w:r w:rsidR="001B366C">
        <w:rPr>
          <w:bCs/>
        </w:rPr>
        <w:t>spadł</w:t>
      </w:r>
      <w:r w:rsidRPr="00BA7C84">
        <w:rPr>
          <w:bCs/>
        </w:rPr>
        <w:t xml:space="preserve"> </w:t>
      </w:r>
      <w:r w:rsidR="0001601C">
        <w:rPr>
          <w:bCs/>
        </w:rPr>
        <w:t>o 0</w:t>
      </w:r>
      <w:r w:rsidRPr="00BA7C84">
        <w:rPr>
          <w:bCs/>
        </w:rPr>
        <w:t>,</w:t>
      </w:r>
      <w:r w:rsidR="0001601C">
        <w:rPr>
          <w:bCs/>
        </w:rPr>
        <w:t>2</w:t>
      </w:r>
      <w:r w:rsidRPr="00BA7C84">
        <w:rPr>
          <w:bCs/>
        </w:rPr>
        <w:t xml:space="preserve"> punktu procentowego</w:t>
      </w:r>
      <w:r w:rsidR="001B366C">
        <w:rPr>
          <w:bCs/>
        </w:rPr>
        <w:t>.</w:t>
      </w:r>
      <w:r w:rsidRPr="00BA7C84">
        <w:rPr>
          <w:bCs/>
        </w:rPr>
        <w:t xml:space="preserve"> Tymbark</w:t>
      </w:r>
      <w:r w:rsidR="001B366C">
        <w:rPr>
          <w:bCs/>
        </w:rPr>
        <w:t xml:space="preserve"> także</w:t>
      </w:r>
      <w:r w:rsidRPr="00BA7C84">
        <w:rPr>
          <w:bCs/>
        </w:rPr>
        <w:t xml:space="preserve"> odnotował spadek</w:t>
      </w:r>
      <w:r w:rsidR="001B366C">
        <w:rPr>
          <w:bCs/>
        </w:rPr>
        <w:t>, ale</w:t>
      </w:r>
      <w:r w:rsidRPr="00BA7C84">
        <w:rPr>
          <w:bCs/>
        </w:rPr>
        <w:t xml:space="preserve"> o ponad 1 punkt procentowy.</w:t>
      </w:r>
    </w:p>
    <w:p w14:paraId="19EEA042" w14:textId="521B739D" w:rsidR="007042A2" w:rsidRDefault="00BA7C84" w:rsidP="00BA7C84">
      <w:pPr>
        <w:jc w:val="both"/>
        <w:rPr>
          <w:bCs/>
        </w:rPr>
      </w:pPr>
      <w:r w:rsidRPr="00BA7C84">
        <w:rPr>
          <w:bCs/>
        </w:rPr>
        <w:t xml:space="preserve">Na półce wyróżniają się również marki Kubuś (7,4 proc.) oraz Fortuna (3,8 proc.). </w:t>
      </w:r>
      <w:r w:rsidR="0001601C">
        <w:rPr>
          <w:bCs/>
        </w:rPr>
        <w:t>W</w:t>
      </w:r>
      <w:r w:rsidRPr="00BA7C84">
        <w:rPr>
          <w:bCs/>
        </w:rPr>
        <w:t xml:space="preserve"> tej kategorii liderzy </w:t>
      </w:r>
      <w:r w:rsidR="0001601C">
        <w:rPr>
          <w:bCs/>
        </w:rPr>
        <w:t xml:space="preserve">także </w:t>
      </w:r>
      <w:r w:rsidRPr="00BA7C84">
        <w:rPr>
          <w:bCs/>
        </w:rPr>
        <w:t xml:space="preserve">nie dominują we wszystkich sieciach – aż w czterech z dziesięciu badanych sklepów większą część </w:t>
      </w:r>
      <w:r w:rsidRPr="00BA7C84">
        <w:rPr>
          <w:bCs/>
        </w:rPr>
        <w:lastRenderedPageBreak/>
        <w:t xml:space="preserve">ekspozycji zajmują </w:t>
      </w:r>
      <w:r w:rsidR="001B366C">
        <w:rPr>
          <w:bCs/>
        </w:rPr>
        <w:t>marki własne</w:t>
      </w:r>
      <w:r w:rsidRPr="00BA7C84">
        <w:rPr>
          <w:bCs/>
        </w:rPr>
        <w:t>. Ponad połowę półek w Aldi zajmuje Rio Doro, w Biedronce – Riviva, a w Lidlu – Solevita. Z kolei w Netto ponad jedną piątą przestrzeni ekspozycyjnej zajmuje Krystalia.</w:t>
      </w:r>
    </w:p>
    <w:p w14:paraId="6986B92D" w14:textId="3896A637" w:rsidR="00F64AF5" w:rsidRPr="00B22539" w:rsidRDefault="00F64AF5" w:rsidP="000656F9">
      <w:pPr>
        <w:jc w:val="both"/>
        <w:rPr>
          <w:bCs/>
        </w:rPr>
      </w:pPr>
      <w:r w:rsidRPr="0090238F">
        <w:t>–</w:t>
      </w:r>
      <w:r w:rsidR="00D31E8F">
        <w:t xml:space="preserve"> </w:t>
      </w:r>
      <w:r w:rsidR="00E931E7" w:rsidRPr="00E931E7">
        <w:rPr>
          <w:bCs/>
          <w:i/>
          <w:iCs/>
        </w:rPr>
        <w:t xml:space="preserve">W dyskontach półka jest zwykle bardziej uproszczona i oparta na markach własnych oraz wybranych liderach producenckich, natomiast sklepy typu proximity oferują szerszy wybór marek producentów. Widać to m.in. w kategoriach napojów gazowanych oraz soków, napojów i nektarów, gdzie istotną rolę odgrywają takie marki jak Coca-Cola, Pepsi, Tymbark czy Hortex. Dla części konsumentów przywiązanie do znanych marek producenckich pozostaje ważnym czynnikiem wyboru, dlatego regularna półka jest często wzmacniana ekspozycjami dodatkowymi, które zwiększają widoczność tych brandów </w:t>
      </w:r>
      <w:r w:rsidRPr="0090238F">
        <w:t xml:space="preserve">– </w:t>
      </w:r>
      <w:r w:rsidR="006B5316" w:rsidRPr="006B5316">
        <w:t>mówi Paweł Majsiej, Chief of Shelf Recognition AI w eLeader.</w:t>
      </w:r>
    </w:p>
    <w:p w14:paraId="3A7CB141" w14:textId="0746684B" w:rsidR="004E4399" w:rsidRPr="004E4399" w:rsidRDefault="00D7732B" w:rsidP="00D90D02">
      <w:pPr>
        <w:jc w:val="both"/>
        <w:rPr>
          <w:i/>
        </w:rPr>
      </w:pPr>
      <w:r>
        <w:rPr>
          <w:bCs/>
        </w:rPr>
        <w:t>Analizę wykonano na podstawie danych z 1</w:t>
      </w:r>
      <w:r w:rsidR="0001601C">
        <w:rPr>
          <w:bCs/>
        </w:rPr>
        <w:t>0</w:t>
      </w:r>
      <w:r>
        <w:rPr>
          <w:bCs/>
        </w:rPr>
        <w:t xml:space="preserve"> sieci</w:t>
      </w:r>
      <w:r w:rsidR="004C474D">
        <w:rPr>
          <w:bCs/>
        </w:rPr>
        <w:t xml:space="preserve"> sklepów</w:t>
      </w:r>
      <w:r>
        <w:rPr>
          <w:bCs/>
        </w:rPr>
        <w:t xml:space="preserve">. </w:t>
      </w:r>
      <w:r w:rsidR="001B366C">
        <w:rPr>
          <w:bCs/>
        </w:rPr>
        <w:t>Do przeprowadzenia badania</w:t>
      </w:r>
      <w:r w:rsidR="00B6566A">
        <w:rPr>
          <w:bCs/>
        </w:rPr>
        <w:t xml:space="preserve"> użyto</w:t>
      </w:r>
      <w:r w:rsidR="00D90D02">
        <w:rPr>
          <w:bCs/>
        </w:rPr>
        <w:t xml:space="preserve"> technologii Shelf Recognition AI, która umożliwia </w:t>
      </w:r>
      <w:r w:rsidR="00B6566A">
        <w:rPr>
          <w:bCs/>
        </w:rPr>
        <w:t xml:space="preserve">producentom </w:t>
      </w:r>
      <w:r w:rsidR="00CC499C">
        <w:rPr>
          <w:bCs/>
        </w:rPr>
        <w:t>automatyczną analizę ekspozycji jedynie za pomocą zdjęcia sklepowej półki wykonanego smartfonem.</w:t>
      </w:r>
      <w:r w:rsidR="004C474D">
        <w:rPr>
          <w:bCs/>
        </w:rPr>
        <w:t xml:space="preserve"> </w:t>
      </w:r>
      <w:r w:rsidR="00CC499C">
        <w:rPr>
          <w:bCs/>
        </w:rPr>
        <w:t xml:space="preserve">Możliwości narzędzia przedstawiają także poprzednie raporty marki, w których przeanalizowano ekspozycję piw i napojów energetyzujących. Więcej informacji o narzędziu i </w:t>
      </w:r>
      <w:r w:rsidR="00B6566A">
        <w:rPr>
          <w:bCs/>
        </w:rPr>
        <w:t>pozostałych raportach ekspozycji</w:t>
      </w:r>
      <w:r w:rsidR="00CC499C">
        <w:rPr>
          <w:bCs/>
        </w:rPr>
        <w:t xml:space="preserve"> można znaleźć na stronie eLeader.  </w:t>
      </w:r>
    </w:p>
    <w:p w14:paraId="229603F0" w14:textId="53914E24" w:rsidR="00D17096" w:rsidRDefault="00D17096" w:rsidP="00D17096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eLeader</w:t>
      </w:r>
      <w:r>
        <w:rPr>
          <w:sz w:val="18"/>
          <w:szCs w:val="18"/>
        </w:rPr>
        <w:t xml:space="preserve"> to </w:t>
      </w:r>
      <w:r w:rsidR="00993CC8">
        <w:rPr>
          <w:sz w:val="18"/>
          <w:szCs w:val="18"/>
        </w:rPr>
        <w:t>spółka technologiczna</w:t>
      </w:r>
      <w:r>
        <w:rPr>
          <w:sz w:val="18"/>
          <w:szCs w:val="18"/>
        </w:rPr>
        <w:t xml:space="preserve"> specjalizująca się w dostarczaniu narzędzi wspierających realizację strategii sprzedażowej w terenie. Opracowuje mobilne systemy SFA/FFM ze sztuczną inteligencją usprawniającą m.in. pozycjonowanie produktów na półkach oraz zarządzanie zamówieniami, audytami i reklamacjami. eLeader funkcjonuje od 2000 roku. Od tego czasu rozwiązania firmy zostały doceni</w:t>
      </w:r>
      <w:r w:rsidR="008249C0">
        <w:rPr>
          <w:sz w:val="18"/>
          <w:szCs w:val="18"/>
        </w:rPr>
        <w:t>o</w:t>
      </w:r>
      <w:r>
        <w:rPr>
          <w:sz w:val="18"/>
          <w:szCs w:val="18"/>
        </w:rPr>
        <w:t>ne przez globalne ośrodki analityczne, m.in. Gartner, POI i wdrożone przez międzynarodowe koncerny w ponad 80 krajach. Wśród klientów marki są takie firmy jak Frosta</w:t>
      </w:r>
      <w:r w:rsidR="003273B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czy Danone. W swoich działaniach eLeader stawia na partnerstwo oraz szerokie możliwości dostosowania się do klienta i zmian. Tworzy nowoczesne i niezawodne systemy, spełniające indywidualne potrzeby firm. Więcej informacji na temat firmy na: </w:t>
      </w:r>
      <w:hyperlink r:id="rId10" w:history="1">
        <w:r>
          <w:rPr>
            <w:rStyle w:val="Hipercze"/>
            <w:sz w:val="18"/>
            <w:szCs w:val="18"/>
          </w:rPr>
          <w:t>https://www.eleader.biz</w:t>
        </w:r>
      </w:hyperlink>
      <w:r>
        <w:rPr>
          <w:sz w:val="18"/>
          <w:szCs w:val="18"/>
        </w:rPr>
        <w:t xml:space="preserve"> </w:t>
      </w:r>
    </w:p>
    <w:p w14:paraId="09E0458E" w14:textId="77777777" w:rsidR="00CC499C" w:rsidRDefault="00CC499C" w:rsidP="00CC499C">
      <w:pPr>
        <w:pStyle w:val="NormalnyWeb"/>
        <w:spacing w:before="0" w:beforeAutospacing="0" w:after="0" w:afterAutospacing="0"/>
        <w:jc w:val="both"/>
        <w:rPr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  <w:shd w:val="clear" w:color="auto" w:fill="FFFFFF"/>
        </w:rPr>
        <w:t>Kontakt dla mediów:</w:t>
      </w:r>
    </w:p>
    <w:p w14:paraId="7BD8FCC6" w14:textId="77777777" w:rsidR="00CC499C" w:rsidRDefault="00CC499C" w:rsidP="00CC499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Joanna Kuciel</w:t>
      </w:r>
    </w:p>
    <w:p w14:paraId="4E662DDE" w14:textId="77777777" w:rsidR="00CC499C" w:rsidRDefault="00CC499C" w:rsidP="00CC499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e-mail: </w:t>
      </w:r>
      <w:hyperlink r:id="rId11" w:history="1">
        <w:r>
          <w:rPr>
            <w:rStyle w:val="Hipercze"/>
            <w:color w:val="0563C1"/>
            <w:sz w:val="18"/>
            <w:szCs w:val="18"/>
          </w:rPr>
          <w:t>joanna.kuciel@goodonepr.pl</w:t>
        </w:r>
      </w:hyperlink>
    </w:p>
    <w:p w14:paraId="2B4BBD59" w14:textId="00280F89" w:rsidR="005E6305" w:rsidRDefault="00CC499C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Tel.: </w:t>
      </w:r>
      <w:r>
        <w:rPr>
          <w:sz w:val="18"/>
          <w:szCs w:val="18"/>
          <w:highlight w:val="white"/>
          <w:lang w:val="en-US"/>
        </w:rPr>
        <w:t>+48</w:t>
      </w:r>
      <w:r>
        <w:rPr>
          <w:b/>
          <w:sz w:val="18"/>
          <w:szCs w:val="18"/>
          <w:highlight w:val="white"/>
          <w:lang w:val="en-US"/>
        </w:rPr>
        <w:t> </w:t>
      </w:r>
      <w:r>
        <w:rPr>
          <w:sz w:val="18"/>
          <w:szCs w:val="18"/>
          <w:highlight w:val="white"/>
          <w:lang w:val="en-US"/>
        </w:rPr>
        <w:t>796 996</w:t>
      </w:r>
      <w:r w:rsidR="00893E91">
        <w:rPr>
          <w:sz w:val="18"/>
          <w:szCs w:val="18"/>
          <w:highlight w:val="white"/>
          <w:lang w:val="en-US"/>
        </w:rPr>
        <w:t> </w:t>
      </w:r>
      <w:r>
        <w:rPr>
          <w:sz w:val="18"/>
          <w:szCs w:val="18"/>
          <w:highlight w:val="white"/>
          <w:lang w:val="en-US"/>
        </w:rPr>
        <w:t>272</w:t>
      </w:r>
    </w:p>
    <w:p w14:paraId="3F27D196" w14:textId="77777777" w:rsidR="00893E91" w:rsidRPr="00C6498E" w:rsidRDefault="00893E91">
      <w:pPr>
        <w:rPr>
          <w:lang w:val="en-US"/>
        </w:rPr>
      </w:pPr>
    </w:p>
    <w:sectPr w:rsidR="00893E91" w:rsidRPr="00C6498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2C3F7" w14:textId="77777777" w:rsidR="00F72C38" w:rsidRDefault="00F72C38" w:rsidP="00086FB7">
      <w:pPr>
        <w:spacing w:after="0" w:line="240" w:lineRule="auto"/>
      </w:pPr>
      <w:r>
        <w:separator/>
      </w:r>
    </w:p>
  </w:endnote>
  <w:endnote w:type="continuationSeparator" w:id="0">
    <w:p w14:paraId="5879AAD4" w14:textId="77777777" w:rsidR="00F72C38" w:rsidRDefault="00F72C38" w:rsidP="00086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C8C73" w14:textId="77777777" w:rsidR="00F72C38" w:rsidRDefault="00F72C38" w:rsidP="00086FB7">
      <w:pPr>
        <w:spacing w:after="0" w:line="240" w:lineRule="auto"/>
      </w:pPr>
      <w:r>
        <w:separator/>
      </w:r>
    </w:p>
  </w:footnote>
  <w:footnote w:type="continuationSeparator" w:id="0">
    <w:p w14:paraId="4B563354" w14:textId="77777777" w:rsidR="00F72C38" w:rsidRDefault="00F72C38" w:rsidP="00086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47EF4" w14:textId="09D30109" w:rsidR="00086FB7" w:rsidRDefault="00D170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EDB652C" wp14:editId="37B076FC">
          <wp:simplePos x="0" y="0"/>
          <wp:positionH relativeFrom="column">
            <wp:posOffset>-619125</wp:posOffset>
          </wp:positionH>
          <wp:positionV relativeFrom="paragraph">
            <wp:posOffset>-457835</wp:posOffset>
          </wp:positionV>
          <wp:extent cx="5744210" cy="1055370"/>
          <wp:effectExtent l="0" t="0" r="0" b="0"/>
          <wp:wrapNone/>
          <wp:docPr id="2" name="Obraz 2" descr="dokument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umenty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421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64C44"/>
    <w:multiLevelType w:val="hybridMultilevel"/>
    <w:tmpl w:val="2042D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C0B1D"/>
    <w:multiLevelType w:val="hybridMultilevel"/>
    <w:tmpl w:val="89E48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322BF"/>
    <w:multiLevelType w:val="hybridMultilevel"/>
    <w:tmpl w:val="40403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65E3E"/>
    <w:multiLevelType w:val="hybridMultilevel"/>
    <w:tmpl w:val="6F28A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1668E"/>
    <w:multiLevelType w:val="hybridMultilevel"/>
    <w:tmpl w:val="33A6D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DF13FA"/>
    <w:multiLevelType w:val="hybridMultilevel"/>
    <w:tmpl w:val="0B1ED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397503">
    <w:abstractNumId w:val="0"/>
  </w:num>
  <w:num w:numId="2" w16cid:durableId="1084306137">
    <w:abstractNumId w:val="1"/>
  </w:num>
  <w:num w:numId="3" w16cid:durableId="2076317171">
    <w:abstractNumId w:val="4"/>
  </w:num>
  <w:num w:numId="4" w16cid:durableId="1227954716">
    <w:abstractNumId w:val="5"/>
  </w:num>
  <w:num w:numId="5" w16cid:durableId="1513758715">
    <w:abstractNumId w:val="2"/>
  </w:num>
  <w:num w:numId="6" w16cid:durableId="10366631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KwMLawMDI3NzE2MzBX0lEKTi0uzszPAykwrgUAO+hZ+ywAAAA="/>
  </w:docVars>
  <w:rsids>
    <w:rsidRoot w:val="00693272"/>
    <w:rsid w:val="00000717"/>
    <w:rsid w:val="000012CD"/>
    <w:rsid w:val="000022DA"/>
    <w:rsid w:val="0001601C"/>
    <w:rsid w:val="00022A0D"/>
    <w:rsid w:val="000332CA"/>
    <w:rsid w:val="00034636"/>
    <w:rsid w:val="00043EE1"/>
    <w:rsid w:val="00044C4A"/>
    <w:rsid w:val="0005226E"/>
    <w:rsid w:val="00053960"/>
    <w:rsid w:val="0006443B"/>
    <w:rsid w:val="000656F9"/>
    <w:rsid w:val="00071746"/>
    <w:rsid w:val="00072614"/>
    <w:rsid w:val="000734A6"/>
    <w:rsid w:val="000749A0"/>
    <w:rsid w:val="000851C7"/>
    <w:rsid w:val="000865D3"/>
    <w:rsid w:val="00086FB7"/>
    <w:rsid w:val="00092CF1"/>
    <w:rsid w:val="000933D5"/>
    <w:rsid w:val="00097CD7"/>
    <w:rsid w:val="000B08AF"/>
    <w:rsid w:val="000B1A1F"/>
    <w:rsid w:val="000B5DEA"/>
    <w:rsid w:val="000B7433"/>
    <w:rsid w:val="000C4B47"/>
    <w:rsid w:val="000D0D82"/>
    <w:rsid w:val="000E4C0F"/>
    <w:rsid w:val="000E6813"/>
    <w:rsid w:val="000F0E56"/>
    <w:rsid w:val="000F2461"/>
    <w:rsid w:val="000F42F3"/>
    <w:rsid w:val="00100509"/>
    <w:rsid w:val="0010409C"/>
    <w:rsid w:val="001073FE"/>
    <w:rsid w:val="001129FC"/>
    <w:rsid w:val="00120B80"/>
    <w:rsid w:val="00120E21"/>
    <w:rsid w:val="001270E2"/>
    <w:rsid w:val="00131502"/>
    <w:rsid w:val="00132714"/>
    <w:rsid w:val="001522BE"/>
    <w:rsid w:val="00152F00"/>
    <w:rsid w:val="001569A1"/>
    <w:rsid w:val="00157B3F"/>
    <w:rsid w:val="00170478"/>
    <w:rsid w:val="0017099D"/>
    <w:rsid w:val="00171724"/>
    <w:rsid w:val="00175874"/>
    <w:rsid w:val="00177654"/>
    <w:rsid w:val="00185955"/>
    <w:rsid w:val="00185D0D"/>
    <w:rsid w:val="001875BB"/>
    <w:rsid w:val="00194402"/>
    <w:rsid w:val="00196589"/>
    <w:rsid w:val="00196741"/>
    <w:rsid w:val="001A177F"/>
    <w:rsid w:val="001A1AA6"/>
    <w:rsid w:val="001A670F"/>
    <w:rsid w:val="001B076A"/>
    <w:rsid w:val="001B366C"/>
    <w:rsid w:val="001B4EE4"/>
    <w:rsid w:val="001B63FD"/>
    <w:rsid w:val="001B728E"/>
    <w:rsid w:val="001C2842"/>
    <w:rsid w:val="001C645C"/>
    <w:rsid w:val="001D3E0D"/>
    <w:rsid w:val="001D71AE"/>
    <w:rsid w:val="001E58DA"/>
    <w:rsid w:val="001F31D8"/>
    <w:rsid w:val="001F428F"/>
    <w:rsid w:val="001F6776"/>
    <w:rsid w:val="002077A1"/>
    <w:rsid w:val="0021152C"/>
    <w:rsid w:val="002142B3"/>
    <w:rsid w:val="00216CCC"/>
    <w:rsid w:val="00227D7D"/>
    <w:rsid w:val="00231823"/>
    <w:rsid w:val="002405FC"/>
    <w:rsid w:val="00246082"/>
    <w:rsid w:val="00247A4B"/>
    <w:rsid w:val="002531B3"/>
    <w:rsid w:val="002574CF"/>
    <w:rsid w:val="00260C5E"/>
    <w:rsid w:val="002639BC"/>
    <w:rsid w:val="0026500D"/>
    <w:rsid w:val="00265C99"/>
    <w:rsid w:val="0027233B"/>
    <w:rsid w:val="00274930"/>
    <w:rsid w:val="0027748C"/>
    <w:rsid w:val="00280F45"/>
    <w:rsid w:val="002813AD"/>
    <w:rsid w:val="002927BA"/>
    <w:rsid w:val="0029518B"/>
    <w:rsid w:val="002956CD"/>
    <w:rsid w:val="00295948"/>
    <w:rsid w:val="00296FD1"/>
    <w:rsid w:val="002A38F4"/>
    <w:rsid w:val="002C2D5E"/>
    <w:rsid w:val="002D0416"/>
    <w:rsid w:val="002D1B49"/>
    <w:rsid w:val="002D1C95"/>
    <w:rsid w:val="002D36B8"/>
    <w:rsid w:val="002D6C0B"/>
    <w:rsid w:val="002F18F8"/>
    <w:rsid w:val="003005A0"/>
    <w:rsid w:val="00302020"/>
    <w:rsid w:val="003021AA"/>
    <w:rsid w:val="00303D9C"/>
    <w:rsid w:val="0031504A"/>
    <w:rsid w:val="0032049B"/>
    <w:rsid w:val="00324575"/>
    <w:rsid w:val="003273B1"/>
    <w:rsid w:val="00330727"/>
    <w:rsid w:val="00346C73"/>
    <w:rsid w:val="00352A12"/>
    <w:rsid w:val="00356EFE"/>
    <w:rsid w:val="00370DAC"/>
    <w:rsid w:val="0037499C"/>
    <w:rsid w:val="00375AC6"/>
    <w:rsid w:val="0038031F"/>
    <w:rsid w:val="003808E3"/>
    <w:rsid w:val="0038282A"/>
    <w:rsid w:val="00382C83"/>
    <w:rsid w:val="00384594"/>
    <w:rsid w:val="00386A2E"/>
    <w:rsid w:val="003943FD"/>
    <w:rsid w:val="0039796D"/>
    <w:rsid w:val="003A0458"/>
    <w:rsid w:val="003A24C8"/>
    <w:rsid w:val="003A4B8B"/>
    <w:rsid w:val="003B67D3"/>
    <w:rsid w:val="003B7D3B"/>
    <w:rsid w:val="003C2549"/>
    <w:rsid w:val="003C3AA8"/>
    <w:rsid w:val="003D28C2"/>
    <w:rsid w:val="003D7044"/>
    <w:rsid w:val="003D73BC"/>
    <w:rsid w:val="003E4845"/>
    <w:rsid w:val="003F0D61"/>
    <w:rsid w:val="00401E86"/>
    <w:rsid w:val="00403065"/>
    <w:rsid w:val="004108BF"/>
    <w:rsid w:val="00414CF9"/>
    <w:rsid w:val="00416DCA"/>
    <w:rsid w:val="004170C8"/>
    <w:rsid w:val="004176BF"/>
    <w:rsid w:val="004252C3"/>
    <w:rsid w:val="004313E1"/>
    <w:rsid w:val="0043417C"/>
    <w:rsid w:val="00434AC4"/>
    <w:rsid w:val="00434B7A"/>
    <w:rsid w:val="00435F66"/>
    <w:rsid w:val="00446D9E"/>
    <w:rsid w:val="00447769"/>
    <w:rsid w:val="004500B1"/>
    <w:rsid w:val="00456D29"/>
    <w:rsid w:val="004604C5"/>
    <w:rsid w:val="00462A78"/>
    <w:rsid w:val="00465BF9"/>
    <w:rsid w:val="0046716F"/>
    <w:rsid w:val="00475098"/>
    <w:rsid w:val="0047526F"/>
    <w:rsid w:val="0048011D"/>
    <w:rsid w:val="00484A50"/>
    <w:rsid w:val="00486C4E"/>
    <w:rsid w:val="00495E55"/>
    <w:rsid w:val="004960F3"/>
    <w:rsid w:val="00497579"/>
    <w:rsid w:val="004C3311"/>
    <w:rsid w:val="004C4592"/>
    <w:rsid w:val="004C474D"/>
    <w:rsid w:val="004C7F31"/>
    <w:rsid w:val="004D4418"/>
    <w:rsid w:val="004E4399"/>
    <w:rsid w:val="004E7298"/>
    <w:rsid w:val="004F086F"/>
    <w:rsid w:val="004F1413"/>
    <w:rsid w:val="004F6B51"/>
    <w:rsid w:val="00500B63"/>
    <w:rsid w:val="0050172D"/>
    <w:rsid w:val="00503E64"/>
    <w:rsid w:val="0051176B"/>
    <w:rsid w:val="00516931"/>
    <w:rsid w:val="0052482C"/>
    <w:rsid w:val="005306A4"/>
    <w:rsid w:val="00535417"/>
    <w:rsid w:val="00545649"/>
    <w:rsid w:val="005457BB"/>
    <w:rsid w:val="00547A60"/>
    <w:rsid w:val="00550330"/>
    <w:rsid w:val="0055087C"/>
    <w:rsid w:val="00551B06"/>
    <w:rsid w:val="00553ED5"/>
    <w:rsid w:val="00561EF2"/>
    <w:rsid w:val="0056622F"/>
    <w:rsid w:val="00572C05"/>
    <w:rsid w:val="0057306E"/>
    <w:rsid w:val="005802D4"/>
    <w:rsid w:val="00586C00"/>
    <w:rsid w:val="00591AAB"/>
    <w:rsid w:val="005A06CE"/>
    <w:rsid w:val="005C17B6"/>
    <w:rsid w:val="005C18AC"/>
    <w:rsid w:val="005C2E8E"/>
    <w:rsid w:val="005C6838"/>
    <w:rsid w:val="005C77F2"/>
    <w:rsid w:val="005E5A65"/>
    <w:rsid w:val="005E6305"/>
    <w:rsid w:val="005E6BD6"/>
    <w:rsid w:val="00600C69"/>
    <w:rsid w:val="00607FF2"/>
    <w:rsid w:val="00612D85"/>
    <w:rsid w:val="00620E7E"/>
    <w:rsid w:val="006212F8"/>
    <w:rsid w:val="00625C1F"/>
    <w:rsid w:val="00635E23"/>
    <w:rsid w:val="00650A9F"/>
    <w:rsid w:val="006530C8"/>
    <w:rsid w:val="00653714"/>
    <w:rsid w:val="00673DF9"/>
    <w:rsid w:val="0067756A"/>
    <w:rsid w:val="00680504"/>
    <w:rsid w:val="00693272"/>
    <w:rsid w:val="00693602"/>
    <w:rsid w:val="006A3594"/>
    <w:rsid w:val="006B4C8C"/>
    <w:rsid w:val="006B5316"/>
    <w:rsid w:val="006B5564"/>
    <w:rsid w:val="006C011B"/>
    <w:rsid w:val="006C0D2D"/>
    <w:rsid w:val="006C1031"/>
    <w:rsid w:val="006D31F7"/>
    <w:rsid w:val="006D71DC"/>
    <w:rsid w:val="006E06DF"/>
    <w:rsid w:val="006E2197"/>
    <w:rsid w:val="00703756"/>
    <w:rsid w:val="007042A2"/>
    <w:rsid w:val="00704A4A"/>
    <w:rsid w:val="00704E46"/>
    <w:rsid w:val="007173EE"/>
    <w:rsid w:val="007224B4"/>
    <w:rsid w:val="00725650"/>
    <w:rsid w:val="00730CDA"/>
    <w:rsid w:val="00740BD1"/>
    <w:rsid w:val="007479F0"/>
    <w:rsid w:val="007513FB"/>
    <w:rsid w:val="00754A3D"/>
    <w:rsid w:val="00761362"/>
    <w:rsid w:val="00771719"/>
    <w:rsid w:val="007734EE"/>
    <w:rsid w:val="00773591"/>
    <w:rsid w:val="00774246"/>
    <w:rsid w:val="0078710C"/>
    <w:rsid w:val="007902F0"/>
    <w:rsid w:val="00790EB9"/>
    <w:rsid w:val="00793147"/>
    <w:rsid w:val="00793AD2"/>
    <w:rsid w:val="007A130F"/>
    <w:rsid w:val="007A1A7E"/>
    <w:rsid w:val="007A7F68"/>
    <w:rsid w:val="007B38AD"/>
    <w:rsid w:val="007B7F5C"/>
    <w:rsid w:val="007C482E"/>
    <w:rsid w:val="007E2F46"/>
    <w:rsid w:val="007E3FA2"/>
    <w:rsid w:val="007E47B1"/>
    <w:rsid w:val="007E4AE5"/>
    <w:rsid w:val="007E7948"/>
    <w:rsid w:val="007F79E3"/>
    <w:rsid w:val="00804166"/>
    <w:rsid w:val="00804B5E"/>
    <w:rsid w:val="008134C0"/>
    <w:rsid w:val="00813C69"/>
    <w:rsid w:val="00814C52"/>
    <w:rsid w:val="00822BF7"/>
    <w:rsid w:val="00822E27"/>
    <w:rsid w:val="008249C0"/>
    <w:rsid w:val="00825F28"/>
    <w:rsid w:val="00834979"/>
    <w:rsid w:val="00842287"/>
    <w:rsid w:val="0084561D"/>
    <w:rsid w:val="00846AD8"/>
    <w:rsid w:val="00852DAE"/>
    <w:rsid w:val="00861ACD"/>
    <w:rsid w:val="008641C1"/>
    <w:rsid w:val="00865673"/>
    <w:rsid w:val="0086642A"/>
    <w:rsid w:val="00867A15"/>
    <w:rsid w:val="00872815"/>
    <w:rsid w:val="00880266"/>
    <w:rsid w:val="00884DAB"/>
    <w:rsid w:val="00886E80"/>
    <w:rsid w:val="0089381E"/>
    <w:rsid w:val="00893E91"/>
    <w:rsid w:val="00897E8A"/>
    <w:rsid w:val="008A035C"/>
    <w:rsid w:val="008A2A6B"/>
    <w:rsid w:val="008A2DE7"/>
    <w:rsid w:val="008A57FA"/>
    <w:rsid w:val="008A7F15"/>
    <w:rsid w:val="008B4380"/>
    <w:rsid w:val="008C6DB1"/>
    <w:rsid w:val="008D371E"/>
    <w:rsid w:val="008D61B3"/>
    <w:rsid w:val="008E03D4"/>
    <w:rsid w:val="008F0160"/>
    <w:rsid w:val="008F5BAA"/>
    <w:rsid w:val="008F6F2C"/>
    <w:rsid w:val="0090238F"/>
    <w:rsid w:val="009070C9"/>
    <w:rsid w:val="009075B9"/>
    <w:rsid w:val="00911716"/>
    <w:rsid w:val="00922670"/>
    <w:rsid w:val="0092765A"/>
    <w:rsid w:val="00932A6E"/>
    <w:rsid w:val="00932D3B"/>
    <w:rsid w:val="00937A6F"/>
    <w:rsid w:val="009474EA"/>
    <w:rsid w:val="0095753B"/>
    <w:rsid w:val="00963FB1"/>
    <w:rsid w:val="00964704"/>
    <w:rsid w:val="009715F5"/>
    <w:rsid w:val="00977E01"/>
    <w:rsid w:val="00993CC8"/>
    <w:rsid w:val="009952B5"/>
    <w:rsid w:val="009B0BC2"/>
    <w:rsid w:val="009C1171"/>
    <w:rsid w:val="009C2A7A"/>
    <w:rsid w:val="009D4544"/>
    <w:rsid w:val="009F0907"/>
    <w:rsid w:val="00A02236"/>
    <w:rsid w:val="00A03135"/>
    <w:rsid w:val="00A0402B"/>
    <w:rsid w:val="00A04C98"/>
    <w:rsid w:val="00A10210"/>
    <w:rsid w:val="00A10DE3"/>
    <w:rsid w:val="00A17956"/>
    <w:rsid w:val="00A21186"/>
    <w:rsid w:val="00A31B1E"/>
    <w:rsid w:val="00A33949"/>
    <w:rsid w:val="00A35D3C"/>
    <w:rsid w:val="00A4293C"/>
    <w:rsid w:val="00A446FA"/>
    <w:rsid w:val="00A52B7C"/>
    <w:rsid w:val="00A57154"/>
    <w:rsid w:val="00A658CA"/>
    <w:rsid w:val="00A82AD5"/>
    <w:rsid w:val="00A84209"/>
    <w:rsid w:val="00A94952"/>
    <w:rsid w:val="00A9753A"/>
    <w:rsid w:val="00AA09D0"/>
    <w:rsid w:val="00AA0D80"/>
    <w:rsid w:val="00AA52A0"/>
    <w:rsid w:val="00AA76F6"/>
    <w:rsid w:val="00AB2AFA"/>
    <w:rsid w:val="00AC454C"/>
    <w:rsid w:val="00AD2317"/>
    <w:rsid w:val="00AD3E20"/>
    <w:rsid w:val="00AD4606"/>
    <w:rsid w:val="00AE38DF"/>
    <w:rsid w:val="00AE46A1"/>
    <w:rsid w:val="00AE7504"/>
    <w:rsid w:val="00AF011F"/>
    <w:rsid w:val="00AF2484"/>
    <w:rsid w:val="00AF4E70"/>
    <w:rsid w:val="00AF55E3"/>
    <w:rsid w:val="00B02037"/>
    <w:rsid w:val="00B05DA3"/>
    <w:rsid w:val="00B07B8E"/>
    <w:rsid w:val="00B11808"/>
    <w:rsid w:val="00B1237F"/>
    <w:rsid w:val="00B163A5"/>
    <w:rsid w:val="00B170B3"/>
    <w:rsid w:val="00B22539"/>
    <w:rsid w:val="00B2255B"/>
    <w:rsid w:val="00B3015F"/>
    <w:rsid w:val="00B36DE3"/>
    <w:rsid w:val="00B40E4C"/>
    <w:rsid w:val="00B40E57"/>
    <w:rsid w:val="00B441DF"/>
    <w:rsid w:val="00B51853"/>
    <w:rsid w:val="00B518FE"/>
    <w:rsid w:val="00B51F83"/>
    <w:rsid w:val="00B61F5E"/>
    <w:rsid w:val="00B623BA"/>
    <w:rsid w:val="00B6566A"/>
    <w:rsid w:val="00B67579"/>
    <w:rsid w:val="00B76E42"/>
    <w:rsid w:val="00B80BBE"/>
    <w:rsid w:val="00B8177A"/>
    <w:rsid w:val="00B875DF"/>
    <w:rsid w:val="00B9409E"/>
    <w:rsid w:val="00BA01CD"/>
    <w:rsid w:val="00BA4EF4"/>
    <w:rsid w:val="00BA66D2"/>
    <w:rsid w:val="00BA69DE"/>
    <w:rsid w:val="00BA7C84"/>
    <w:rsid w:val="00BB1DAE"/>
    <w:rsid w:val="00BB6AF4"/>
    <w:rsid w:val="00BB738E"/>
    <w:rsid w:val="00BC76A4"/>
    <w:rsid w:val="00BD0AA8"/>
    <w:rsid w:val="00BD2945"/>
    <w:rsid w:val="00BD51D3"/>
    <w:rsid w:val="00BD5DB4"/>
    <w:rsid w:val="00BE5706"/>
    <w:rsid w:val="00BE6273"/>
    <w:rsid w:val="00BF5745"/>
    <w:rsid w:val="00BF6718"/>
    <w:rsid w:val="00C03AC3"/>
    <w:rsid w:val="00C056A0"/>
    <w:rsid w:val="00C07B94"/>
    <w:rsid w:val="00C172A5"/>
    <w:rsid w:val="00C273C3"/>
    <w:rsid w:val="00C36089"/>
    <w:rsid w:val="00C45B87"/>
    <w:rsid w:val="00C46BC0"/>
    <w:rsid w:val="00C518BF"/>
    <w:rsid w:val="00C6498E"/>
    <w:rsid w:val="00C70D82"/>
    <w:rsid w:val="00C75EC3"/>
    <w:rsid w:val="00C96027"/>
    <w:rsid w:val="00CA6089"/>
    <w:rsid w:val="00CB3F1D"/>
    <w:rsid w:val="00CB5C45"/>
    <w:rsid w:val="00CC020F"/>
    <w:rsid w:val="00CC499C"/>
    <w:rsid w:val="00CD04BE"/>
    <w:rsid w:val="00CD72CE"/>
    <w:rsid w:val="00CE447C"/>
    <w:rsid w:val="00CF0AF2"/>
    <w:rsid w:val="00CF5335"/>
    <w:rsid w:val="00CF7446"/>
    <w:rsid w:val="00D01CDB"/>
    <w:rsid w:val="00D05B38"/>
    <w:rsid w:val="00D17096"/>
    <w:rsid w:val="00D174D5"/>
    <w:rsid w:val="00D20263"/>
    <w:rsid w:val="00D255C1"/>
    <w:rsid w:val="00D27875"/>
    <w:rsid w:val="00D31E8F"/>
    <w:rsid w:val="00D356E5"/>
    <w:rsid w:val="00D434B1"/>
    <w:rsid w:val="00D448FD"/>
    <w:rsid w:val="00D46F59"/>
    <w:rsid w:val="00D50000"/>
    <w:rsid w:val="00D5075D"/>
    <w:rsid w:val="00D50B92"/>
    <w:rsid w:val="00D56192"/>
    <w:rsid w:val="00D678A5"/>
    <w:rsid w:val="00D70676"/>
    <w:rsid w:val="00D74CF1"/>
    <w:rsid w:val="00D7732B"/>
    <w:rsid w:val="00D77C66"/>
    <w:rsid w:val="00D8187A"/>
    <w:rsid w:val="00D87A6B"/>
    <w:rsid w:val="00D90D02"/>
    <w:rsid w:val="00D935A1"/>
    <w:rsid w:val="00DA2FDC"/>
    <w:rsid w:val="00DA5D00"/>
    <w:rsid w:val="00DC257F"/>
    <w:rsid w:val="00DD4F84"/>
    <w:rsid w:val="00DD739B"/>
    <w:rsid w:val="00DE0003"/>
    <w:rsid w:val="00DE0548"/>
    <w:rsid w:val="00DE1124"/>
    <w:rsid w:val="00DE4BCC"/>
    <w:rsid w:val="00E14C13"/>
    <w:rsid w:val="00E243D4"/>
    <w:rsid w:val="00E24CCA"/>
    <w:rsid w:val="00E250C3"/>
    <w:rsid w:val="00E27529"/>
    <w:rsid w:val="00E32882"/>
    <w:rsid w:val="00E4019C"/>
    <w:rsid w:val="00E54AB7"/>
    <w:rsid w:val="00E64ED8"/>
    <w:rsid w:val="00E931E7"/>
    <w:rsid w:val="00E978D6"/>
    <w:rsid w:val="00E97BC6"/>
    <w:rsid w:val="00EA011D"/>
    <w:rsid w:val="00EA06F5"/>
    <w:rsid w:val="00EA3626"/>
    <w:rsid w:val="00EA5D47"/>
    <w:rsid w:val="00EA700E"/>
    <w:rsid w:val="00EB1E54"/>
    <w:rsid w:val="00EB722E"/>
    <w:rsid w:val="00EC4022"/>
    <w:rsid w:val="00EC48D1"/>
    <w:rsid w:val="00EC5ADD"/>
    <w:rsid w:val="00ED0FFA"/>
    <w:rsid w:val="00EE2F5B"/>
    <w:rsid w:val="00EE3984"/>
    <w:rsid w:val="00EF23DB"/>
    <w:rsid w:val="00EF677E"/>
    <w:rsid w:val="00F16913"/>
    <w:rsid w:val="00F247DD"/>
    <w:rsid w:val="00F254F1"/>
    <w:rsid w:val="00F30269"/>
    <w:rsid w:val="00F411E9"/>
    <w:rsid w:val="00F43A97"/>
    <w:rsid w:val="00F515C8"/>
    <w:rsid w:val="00F553B7"/>
    <w:rsid w:val="00F55807"/>
    <w:rsid w:val="00F57553"/>
    <w:rsid w:val="00F64AF5"/>
    <w:rsid w:val="00F667FE"/>
    <w:rsid w:val="00F71C68"/>
    <w:rsid w:val="00F72A43"/>
    <w:rsid w:val="00F72C38"/>
    <w:rsid w:val="00F80450"/>
    <w:rsid w:val="00F857A6"/>
    <w:rsid w:val="00F85818"/>
    <w:rsid w:val="00F95ED0"/>
    <w:rsid w:val="00FA2F75"/>
    <w:rsid w:val="00FB0EA5"/>
    <w:rsid w:val="00FB1646"/>
    <w:rsid w:val="00FB33AC"/>
    <w:rsid w:val="00FB58A6"/>
    <w:rsid w:val="00FC17DC"/>
    <w:rsid w:val="00FC45B8"/>
    <w:rsid w:val="00FC471B"/>
    <w:rsid w:val="00FC699A"/>
    <w:rsid w:val="00FC74D7"/>
    <w:rsid w:val="00FD13EF"/>
    <w:rsid w:val="00FE49E8"/>
    <w:rsid w:val="00FE724E"/>
    <w:rsid w:val="00FF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C35FF"/>
  <w15:chartTrackingRefBased/>
  <w15:docId w15:val="{9A926833-83CC-435B-B94C-F2659BEBE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A7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022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2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2D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22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22D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411E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EE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86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6FB7"/>
  </w:style>
  <w:style w:type="paragraph" w:styleId="Stopka">
    <w:name w:val="footer"/>
    <w:basedOn w:val="Normalny"/>
    <w:link w:val="StopkaZnak"/>
    <w:uiPriority w:val="99"/>
    <w:unhideWhenUsed/>
    <w:rsid w:val="00086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6FB7"/>
  </w:style>
  <w:style w:type="character" w:styleId="Hipercze">
    <w:name w:val="Hyperlink"/>
    <w:basedOn w:val="Domylnaczcionkaakapitu"/>
    <w:uiPriority w:val="99"/>
    <w:unhideWhenUsed/>
    <w:rsid w:val="00D1709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17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09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099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099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5B3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5B3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5B38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15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4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anna.kuciel@goodonepr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leader.bi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00B90-1BDC-4D8D-948A-4D488C4E0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PR2024</dc:creator>
  <cp:keywords/>
  <dc:description/>
  <cp:lastModifiedBy>Joanna Kuciel</cp:lastModifiedBy>
  <cp:revision>4</cp:revision>
  <dcterms:created xsi:type="dcterms:W3CDTF">2025-12-23T10:36:00Z</dcterms:created>
  <dcterms:modified xsi:type="dcterms:W3CDTF">2025-12-23T11:05:00Z</dcterms:modified>
</cp:coreProperties>
</file>