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EE9B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8"/>
          <w:szCs w:val="28"/>
          <w:lang w:val="pt-BR"/>
        </w:rPr>
      </w:pPr>
      <w:r w:rsidRPr="00160726">
        <w:rPr>
          <w:rFonts w:ascii="Noto Sans" w:eastAsia="Times New Roman" w:hAnsi="Noto Sans" w:cs="Noto Sans"/>
          <w:b/>
          <w:bCs/>
          <w:sz w:val="28"/>
          <w:szCs w:val="28"/>
          <w:lang w:val="pt-PT"/>
        </w:rPr>
        <w:t>Fluxos de trabalho mais inteligentes para fabricantes: Desbloquear a agilidade na impressão de tiragens curtas de etiquetas</w:t>
      </w:r>
    </w:p>
    <w:p w14:paraId="10B8AAD2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i/>
          <w:iCs/>
          <w:sz w:val="22"/>
          <w:lang w:val="pt-BR"/>
        </w:rPr>
      </w:pPr>
      <w:r w:rsidRPr="00160726">
        <w:rPr>
          <w:rFonts w:ascii="Noto Sans" w:eastAsia="Times New Roman" w:hAnsi="Noto Sans" w:cs="Noto Sans"/>
          <w:i/>
          <w:iCs/>
          <w:sz w:val="22"/>
          <w:lang w:val="pt-PT"/>
        </w:rPr>
        <w:t xml:space="preserve">A procura pela impressão de tiragens curtas de etiquetas está a aumentar. As tendências do mercado, como a personalização, regionalização, e-commerce e sustentabilidade, obrigam os fabricantes a adotar modelos operacionais mais ágeis. Cerca de um quarto (23%) dos inquiridos no </w:t>
      </w:r>
      <w:hyperlink r:id="rId6" w:history="1">
        <w:r w:rsidRPr="00160726">
          <w:rPr>
            <w:rFonts w:ascii="Noto Sans" w:eastAsia="Times New Roman" w:hAnsi="Noto Sans" w:cs="Noto Sans"/>
            <w:i/>
            <w:iCs/>
            <w:color w:val="0000EE"/>
            <w:sz w:val="22"/>
            <w:u w:val="single"/>
            <w:lang w:val="pt-PT"/>
          </w:rPr>
          <w:t>inquérito europeu aos fabricantes FINAT RADAR 28-2025</w:t>
        </w:r>
      </w:hyperlink>
      <w:r w:rsidRPr="00160726">
        <w:rPr>
          <w:rFonts w:ascii="Noto Sans" w:eastAsia="Times New Roman" w:hAnsi="Noto Sans" w:cs="Noto Sans"/>
          <w:i/>
          <w:iCs/>
          <w:sz w:val="22"/>
          <w:lang w:val="pt-PT"/>
        </w:rPr>
        <w:t xml:space="preserve"> considera que a flexibilidade nas tiragens curtas e a retenção de clientes são essenciais para o sucesso futuro.</w:t>
      </w:r>
    </w:p>
    <w:p w14:paraId="177DED18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i/>
          <w:iCs/>
          <w:sz w:val="22"/>
          <w:lang w:val="pt-PT"/>
        </w:rPr>
        <w:t>Sarah Ervin, Digital Printing Technical Product Manager, da Domino Printing Sciences, explora como os fabricantes podem acompanhar o ritmo e a complexidade destas exigências, salientando que os fluxos de trabalho digitais mais inteligentes são fundamentais para se manterem ágeis e competitivos.</w:t>
      </w:r>
    </w:p>
    <w:p w14:paraId="54FD6B0A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b/>
          <w:bCs/>
          <w:sz w:val="22"/>
          <w:lang w:val="pt-PT"/>
        </w:rPr>
        <w:t xml:space="preserve">A transição para a impressão de tiragens curtas de etiquetas </w:t>
      </w:r>
    </w:p>
    <w:p w14:paraId="190036C0" w14:textId="501CD800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O mercado das tiragens curtas de etiquetas está a crescer rapidamente e, a nível global, as empresas valorizam cada vez mais a flexibilidade e a agilidade proporcionadas por pequenos lotes de impressão. Como resultado, as empresas procuram melhorar a diferenciação da sua carteira de produtos para apoiar variações regionais de língua e regulamentação, bem como para responder às exigências dos modelos de negócio de e-commerce. Além disso, as marcas pretendem explorar campanhas sazonais e promocionais inovadoras </w:t>
      </w:r>
      <w:hyperlink r:id="rId7" w:history="1">
        <w:r w:rsidRPr="00160726">
          <w:rPr>
            <w:rFonts w:ascii="Noto Sans" w:eastAsia="Times New Roman" w:hAnsi="Noto Sans" w:cs="Noto Sans"/>
            <w:color w:val="0000EE"/>
            <w:sz w:val="22"/>
            <w:u w:val="single"/>
            <w:lang w:val="pt-PT"/>
          </w:rPr>
          <w:t>para aumentar o envolvimento dos clientes</w:t>
        </w:r>
      </w:hyperlink>
      <w:r w:rsidRPr="00160726">
        <w:rPr>
          <w:rFonts w:ascii="Noto Sans" w:eastAsia="Times New Roman" w:hAnsi="Noto Sans" w:cs="Noto Sans"/>
          <w:sz w:val="22"/>
          <w:lang w:val="pt-PT"/>
        </w:rPr>
        <w:t xml:space="preserve">, como as campanhas </w:t>
      </w:r>
      <w:hyperlink r:id="rId8" w:history="1">
        <w:r w:rsidRPr="00160726">
          <w:rPr>
            <w:rFonts w:ascii="Noto Sans" w:eastAsia="Times New Roman" w:hAnsi="Noto Sans" w:cs="Noto Sans"/>
            <w:color w:val="0000EE"/>
            <w:sz w:val="22"/>
            <w:u w:val="single"/>
            <w:lang w:val="pt-PT"/>
          </w:rPr>
          <w:t>Pick your Pepper</w:t>
        </w:r>
      </w:hyperlink>
      <w:r w:rsidRPr="00160726">
        <w:rPr>
          <w:rFonts w:ascii="Noto Sans" w:eastAsia="Times New Roman" w:hAnsi="Noto Sans" w:cs="Noto Sans"/>
          <w:sz w:val="22"/>
          <w:lang w:val="pt-PT"/>
        </w:rPr>
        <w:t xml:space="preserve"> da Dr Pepper e </w:t>
      </w:r>
      <w:hyperlink r:id="rId9" w:history="1">
        <w:r w:rsidRPr="00160726">
          <w:rPr>
            <w:rFonts w:ascii="Noto Sans" w:eastAsia="Times New Roman" w:hAnsi="Noto Sans" w:cs="Noto Sans"/>
            <w:color w:val="0000EE"/>
            <w:sz w:val="22"/>
            <w:u w:val="single"/>
            <w:lang w:val="pt-PT"/>
          </w:rPr>
          <w:t>emojis</w:t>
        </w:r>
      </w:hyperlink>
      <w:r w:rsidRPr="00160726">
        <w:rPr>
          <w:rFonts w:ascii="Noto Sans" w:eastAsia="Times New Roman" w:hAnsi="Noto Sans" w:cs="Noto Sans"/>
          <w:sz w:val="22"/>
          <w:lang w:val="pt-PT"/>
        </w:rPr>
        <w:t xml:space="preserve"> da Pepsi. Por fim, há um entusiasmo crescente em relação ao poder dos concursos com códigos QR e dos </w:t>
      </w:r>
      <w:hyperlink r:id="rId10" w:history="1">
        <w:r w:rsidRPr="00160726">
          <w:rPr>
            <w:rFonts w:ascii="Noto Sans" w:eastAsia="Times New Roman" w:hAnsi="Noto Sans" w:cs="Noto Sans"/>
            <w:color w:val="0000FF"/>
            <w:sz w:val="22"/>
            <w:u w:val="single"/>
            <w:lang w:val="pt-PT"/>
          </w:rPr>
          <w:t>códigos 2D baseados nos padrões da GS1</w:t>
        </w:r>
      </w:hyperlink>
      <w:r w:rsidRPr="00160726">
        <w:rPr>
          <w:rFonts w:ascii="Noto Sans" w:eastAsia="Times New Roman" w:hAnsi="Noto Sans" w:cs="Noto Sans"/>
          <w:sz w:val="22"/>
          <w:lang w:val="pt-PT"/>
        </w:rPr>
        <w:t xml:space="preserve"> para proporcionar melhores perceções dos consumidores.</w:t>
      </w:r>
    </w:p>
    <w:p w14:paraId="38412E9B" w14:textId="09664AA5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Consequentemente, a produção de várias unidades de manutenção de stock em volumes mais pequenos e frequentes está a substituir rapidamente as tradicionais tiragens a granel. Para os fabricantes e as marcas, esta mudança apoia o esforço para reduzir o stock como parte das estratégias de sustentabilidade: diminuir o armazenamento em massa de substratos e etiquetas impressas para ajudar a </w:t>
      </w:r>
      <w:hyperlink r:id="rId11" w:history="1">
        <w:r w:rsidRPr="00160726">
          <w:rPr>
            <w:rFonts w:ascii="Noto Sans" w:eastAsia="Times New Roman" w:hAnsi="Noto Sans" w:cs="Noto Sans"/>
            <w:color w:val="0000EE"/>
            <w:sz w:val="22"/>
            <w:u w:val="single"/>
            <w:lang w:val="pt-PT"/>
          </w:rPr>
          <w:t>minimizar o desperdício</w:t>
        </w:r>
      </w:hyperlink>
      <w:r w:rsidRPr="00160726">
        <w:rPr>
          <w:rFonts w:ascii="Noto Sans" w:eastAsia="Times New Roman" w:hAnsi="Noto Sans" w:cs="Noto Sans"/>
          <w:sz w:val="22"/>
          <w:lang w:val="pt-PT"/>
        </w:rPr>
        <w:t xml:space="preserve"> resultante da obsolescência. </w:t>
      </w:r>
    </w:p>
    <w:p w14:paraId="37A5B565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b/>
          <w:bCs/>
          <w:sz w:val="22"/>
          <w:lang w:val="pt-PT"/>
        </w:rPr>
        <w:t>Limitações dos fluxos de trabalho analógicos tradicionais</w:t>
      </w:r>
    </w:p>
    <w:p w14:paraId="6B2CA94C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>Embora as vantagens sejam convincentes, as exigências da produção de tiragens curtas de etiquetas são complexas. Os fabricantes têm de responder mais rapidamente e processar pedidos mais frequentes de trabalhos com volumes inferiores de etiquetas, uma exigência que conduz inevitavelmente a estrangulamentos na produção. A configuração manual, para assegurar a precisão da cor e o registo da impressão, é morosa e pode resultar num desperdício significativo de material antes de atingir a qualidade de produção desejada. E, claro, a configuração e os testes corretos dependem de mão de obra qualificada, minimizando o risco de erros dispendiosos que perturbam a produção e prejudicam a rentabilidade.</w:t>
      </w:r>
    </w:p>
    <w:p w14:paraId="2B67BEFF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Mesmo com encomendas repetidas que requerem configuração manual extensiva, tentar adotar a impressão de tiragens curtas de etiquetas utilizando tecnologia analógica cria desafios que prejudicam a produtividade e a rentabilidade. </w:t>
      </w:r>
    </w:p>
    <w:p w14:paraId="4617162D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>Os fabricantes reconhecem cada vez mais que a flexibilidade e a agilidade permitidas pelas impressoras digitais são fundamentais para prosperar no panorama moderno da produção de etiquetas, mas investir na tecnologia é apenas o ponto de partida: é também vital criar fluxos de trabalho eficazes para maximizar a eficiência.</w:t>
      </w:r>
    </w:p>
    <w:p w14:paraId="7EBA9882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b/>
          <w:bCs/>
          <w:sz w:val="22"/>
          <w:lang w:val="pt-PT"/>
        </w:rPr>
        <w:t>Como os fluxos de trabalho digitais impulsionam o sucesso das tiragens curtas</w:t>
      </w:r>
    </w:p>
    <w:p w14:paraId="57799D19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Trabalhar com um fornecedor de impressão digital para compreender a melhor forma de repensar e adaptar os processos e fluxos de trabalho de produção de etiquetas pode ser a chave para acelerar o sucesso da adoção digital e otimizar a utilização da impressora. Os fluxos de trabalho digitais podem resolver muitos desafios operacionais ao simplificar os processos e reduzir o risco de erros. Por exemplo, a capacidade de aceder a definições pré-configuradas para os materiais mais utilizados reduz significativamente o desperdício de suportes durante a configuração, além de proporcionar uma poupança média de 30 minutos por trabalho ao utilizar uma plataforma digital em comparação com uma analógica. </w:t>
      </w:r>
    </w:p>
    <w:p w14:paraId="6F8CBB3F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Além disso, em vez de preparar cada ficheiro individualmente para impressão, os fluxos de trabalho de pré-impressão modernos utilizam hot folders, permitindo aos operadores importar a arte final e automatizar tarefas repetitivas. Estas predefinições permitem uma gestão de cores melhorada, executar layouts "montagem/imposição" e adicionar marcas de acabamento, eliminando a necessidade de ajustes manuais e assegurando a repetibilidade, enquanto o RIP de alta velocidade permite que os trabalhos cheguem rapidamente à impressora. </w:t>
      </w:r>
    </w:p>
    <w:p w14:paraId="04F840B3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Os fluxos de trabalho digitais também incluem capacidades de gestão de ficheiros que permitem o arquivamento e a recuperação de trabalhos recorrentes dos clientes. Isto permite a repetição exatas de encomendas com um esforço mínimo de reposição do stock de cliente. </w:t>
      </w:r>
    </w:p>
    <w:p w14:paraId="42D6BA37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>A simplificação das tarefas de pré-impressão com ferramentas inteligentes como estas permite uma rápida execução dos trabalhos de impressão, maximizando o tempo de produção. Ao adotar fluxos de trabalho digitais, os fabricantes podem limitar o número de pontos de contacto humanos, acelerar os processos e reduzir o risco de erros dispendiosos.</w:t>
      </w:r>
    </w:p>
    <w:p w14:paraId="42B2A9BF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b/>
          <w:bCs/>
          <w:sz w:val="22"/>
          <w:lang w:val="pt-PT"/>
        </w:rPr>
        <w:t>Adotar uma mentalidade digital para ganhar vantagem competitiva</w:t>
      </w:r>
    </w:p>
    <w:p w14:paraId="5B26CF17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>Para beneficiar plenamente da velocidade, agilidade e eficiência que a impressão digital oferece, bem como maximizar o retorno do seu investimento digital, muitos fabricantes precisam de sair da sua zona de conforto e desafiar as práticas analógicas estabelecidas. Ao adotar a tecnologia e os fluxos de trabalho de impressão digital, os fabricantes podem responder às oportunidades de produção de tiragens curtas de etiquetas de forma atempada e rentável. Reduzir os prazos de entrega para alterações de artes finais de meses para dias permite às marcas serem mais reativas às tendências emergentes e melhorar continuamente as suas promoções de embalagens ao longo do tempo.</w:t>
      </w:r>
    </w:p>
    <w:p w14:paraId="7AE382DD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>A adoção de fluxos de trabalho digitais tem um impacto positivo nas operações diárias. Um modelo ágil e eficiente para a produção de</w:t>
      </w:r>
      <w:r w:rsidRPr="00160726">
        <w:rPr>
          <w:rFonts w:ascii="Noto Sans" w:eastAsia="Times New Roman" w:hAnsi="Noto Sans" w:cs="Noto Sans"/>
          <w:i/>
          <w:iCs/>
          <w:sz w:val="22"/>
          <w:lang w:val="pt-PT"/>
        </w:rPr>
        <w:t xml:space="preserve"> tiragens curtas de etiquetas </w:t>
      </w:r>
      <w:r w:rsidRPr="00160726">
        <w:rPr>
          <w:rFonts w:ascii="Noto Sans" w:eastAsia="Times New Roman" w:hAnsi="Noto Sans" w:cs="Noto Sans"/>
          <w:sz w:val="22"/>
          <w:lang w:val="pt-PT"/>
        </w:rPr>
        <w:t>permite à equipa de vendas, por exemplo, responder rapidamente às exigências dos clientes e obter uma vantagem na conquista de novos negócios. Os objetivos de sustentabilidade podem ser otimizados através de processos digitais eficazes que reduzem o desperdício. A configuração digital fácil também permite resolver a escassez de competências através da integração rápida de novos operadores, que já não precisam de competências específicas da indústria de impressão.</w:t>
      </w:r>
    </w:p>
    <w:p w14:paraId="05204C81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>Com a adoção de uma mentalidade digital, os fabricantes podem evoluir continuamente, não só otimizando as operações, mas também obtendo uma maior vantagem competitiva. A produção pode ser otimizada ao nível do trabalho e da tiragem, frequentemente de forma automática. Agrupar várias unidades de manutenção de stock, até de clientes diferentes, no mesmo substrato e matrizes para imprimir uma única tiragem num só rolo maximiza a eficiência. Cortar e rebobinar etiquetas em lotes também reduz o tempo de acabamento, reforçando a agilidade necessária para tiragens curtas. Os fluxos de trabalho digitais também podem ser integrados em sistemas MIS, importando ficheiros ou exportando dados de produção para análise.</w:t>
      </w:r>
    </w:p>
    <w:p w14:paraId="432399D9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b/>
          <w:bCs/>
          <w:sz w:val="22"/>
          <w:lang w:val="pt-PT"/>
        </w:rPr>
        <w:t>Conclusão: A transformação digital é fundamental</w:t>
      </w:r>
    </w:p>
    <w:p w14:paraId="47D20162" w14:textId="6F082DA2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A impressão de tiragens curtas de etiquetas não veio apenas para ficar, está a </w:t>
      </w:r>
      <w:hyperlink r:id="rId12" w:history="1">
        <w:r w:rsidRPr="00160726">
          <w:rPr>
            <w:rFonts w:ascii="Noto Sans" w:eastAsia="Times New Roman" w:hAnsi="Noto Sans" w:cs="Noto Sans"/>
            <w:color w:val="0000FF"/>
            <w:sz w:val="22"/>
            <w:u w:val="single"/>
            <w:lang w:val="pt-PT"/>
          </w:rPr>
          <w:t>transformar radicalmente o panorama das embalagens</w:t>
        </w:r>
      </w:hyperlink>
      <w:r w:rsidRPr="00160726">
        <w:rPr>
          <w:rFonts w:ascii="Noto Sans" w:eastAsia="Times New Roman" w:hAnsi="Noto Sans" w:cs="Noto Sans"/>
          <w:sz w:val="22"/>
          <w:lang w:val="pt-PT"/>
        </w:rPr>
        <w:t>. Permite que as marcas explorem inovações no design com alterações frequentes na arte final, adotando a personalização com códigos 2D para aumentar o envolvimento do consumidor e assegurar a conformidade com as exigências regulamentares.</w:t>
      </w:r>
    </w:p>
    <w:p w14:paraId="5E8BE77D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Para aproveitar as oportunidades da impressão de tiragens curtas de etiquetas, os fabricantes devem implementar fluxos de trabalho mais inteligentes e ágeis que proporcionem ganhos claros: maior eficiência, redução do desperdício e resposta mais rápida às necessidades dos clientes das marcas, apoiando a inovação nas embalagens. </w:t>
      </w:r>
    </w:p>
    <w:p w14:paraId="383C8CEA" w14:textId="17273653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 xml:space="preserve">A verdadeira transformação digital deve abranger todas as operações do fabricante, não só para satisfazer as exigências dos clientes e de sustentabilidade de forma económica, mas também para criar uma vantagem competitiva. O sucesso da impressão de tiragens curtas de etiquetas implica mais do que investir em tecnologia de impressão digital: é fundamental estabelecer parceria com um fornecedor de impressão digital que possa </w:t>
      </w:r>
      <w:hyperlink r:id="rId13" w:history="1">
        <w:r w:rsidRPr="00160726">
          <w:rPr>
            <w:rFonts w:ascii="Noto Sans" w:eastAsia="Times New Roman" w:hAnsi="Noto Sans" w:cs="Noto Sans"/>
            <w:color w:val="0000EE"/>
            <w:sz w:val="22"/>
            <w:u w:val="single"/>
            <w:lang w:val="pt-PT"/>
          </w:rPr>
          <w:t>apoiar os fabricantes</w:t>
        </w:r>
      </w:hyperlink>
      <w:r w:rsidRPr="00160726">
        <w:rPr>
          <w:rFonts w:ascii="Noto Sans" w:eastAsia="Times New Roman" w:hAnsi="Noto Sans" w:cs="Noto Sans"/>
          <w:sz w:val="22"/>
          <w:lang w:val="pt-PT"/>
        </w:rPr>
        <w:t xml:space="preserve"> durante a transição para uma nova mentalidade digital. </w:t>
      </w:r>
    </w:p>
    <w:p w14:paraId="05F6B312" w14:textId="77777777" w:rsidR="00160726" w:rsidRPr="00160726" w:rsidRDefault="00160726" w:rsidP="00160726">
      <w:pPr>
        <w:spacing w:before="120" w:after="120" w:line="240" w:lineRule="auto"/>
        <w:rPr>
          <w:rFonts w:ascii="Noto Sans" w:eastAsia="Times New Roman" w:hAnsi="Noto Sans" w:cs="Noto Sans"/>
          <w:sz w:val="22"/>
          <w:lang w:val="pt-BR"/>
        </w:rPr>
      </w:pPr>
      <w:r w:rsidRPr="00160726">
        <w:rPr>
          <w:rFonts w:ascii="Noto Sans" w:eastAsia="Times New Roman" w:hAnsi="Noto Sans" w:cs="Noto Sans"/>
          <w:sz w:val="22"/>
          <w:lang w:val="pt-PT"/>
        </w:rPr>
        <w:t>FIM</w:t>
      </w:r>
    </w:p>
    <w:p w14:paraId="29B953BD" w14:textId="33E2689A" w:rsidR="006C6C7C" w:rsidRPr="00FC465F" w:rsidRDefault="00D66051" w:rsidP="006C6C7C">
      <w:pPr>
        <w:spacing w:line="240" w:lineRule="auto"/>
        <w:rPr>
          <w:lang w:val="pt-BR"/>
        </w:rPr>
      </w:pPr>
      <w:r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Isenção de responsabilidade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Tintas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informações que se encontram no presente documento não devem substituir a realização dos testes adequados às suas circunstâncias e usos específicos. O grupo Domino não será, de forma alguma, responsável por qualquer tipo de confiança com base neste documento em relação à adequação de qualquer uma das nossas tintas para a sua aplicação em particular. O presente documento não faz parte de quaisquer termos e condições celebrados entre si o grupo Domino. Os Termos e Condições de venda da Domino, em particular as garantias e responsabilidades presentes nos mesmos, dever-se-ão aplicar a qualquer uma das suas compras de produtos.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Geral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Todos os valores em termos de desempenho e alegações citados no presente documento foram obtidos sob condições específicas e apenas poderão ser repetidos sob condições semelhantes. Para obter detalhes específicos do produto, deve entrar em contacto com o seu Consultor Comercial da Domino. O presente documento não faz parte de quaisquer termos e condições celebrados entre si e a Domino.</w:t>
      </w:r>
      <w:r w:rsidR="00062E86" w:rsidRPr="00062E86">
        <w:rPr>
          <w:rFonts w:ascii="Noto Sans" w:hAnsi="Noto Sans" w:cs="Noto Sans"/>
          <w:szCs w:val="18"/>
          <w:lang w:val="pt-PT"/>
        </w:rPr>
        <w:t xml:space="preserve"> </w:t>
      </w:r>
      <w:r w:rsidR="00062E86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Imagens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As imagens podem incluir melhorias ou extras opcionais. A qualidade de impressão pode variar de acordo com os consumíveis, o equipamento, a superfície e outros fatores. As imagens e fotografias não fazem parte de quaisquer termos e condições celebrados entre si e a</w:t>
      </w:r>
      <w:r w:rsidR="006C6C7C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t>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AB22C5">
        <w:rPr>
          <w:rFonts w:ascii="Noto Sans" w:hAnsi="Noto Sans" w:cs="Noto Sans"/>
          <w:b/>
          <w:bCs/>
          <w:szCs w:val="18"/>
          <w:lang w:val="pt-PT"/>
        </w:rPr>
        <w:t>Vídeos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t>Este vídeo é apenas ilustrativo e pode incluir extras opcionais. Os valores relativos ao desempenho foram obtidos sob condições específicas; o desempenho individual pode variar. Os erros e as paragens das linhas de produção podem ser inevitáveis. Nada do que se encontra neste vídeo faz parte de qualquer contrato celebrado entre si e a Domino.</w:t>
      </w:r>
      <w:r w:rsidR="006C6C7C" w:rsidRPr="0082657D">
        <w:rPr>
          <w:rFonts w:ascii="Noto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bookmarkStart w:id="0" w:name="_Hlk61949672"/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Notas para os editores: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Acerca da Domino</w:t>
      </w:r>
      <w:r w:rsidR="006C6C7C" w:rsidRPr="0082657D">
        <w:rPr>
          <w:rFonts w:ascii="Noto Sans" w:eastAsia="Gill Sans" w:hAnsi="Noto Sans" w:cs="Noto Sans"/>
          <w:b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A Digital Printing Solutions é uma divisão da Domino Printing Sciences. Fundada em 1978, a empresa estabeleceu uma reputação global relativamente ao desenvolvimento e fabrico de tecnologias de impressão a jato de tinta digital, assim como aos seus produtos de pós-venda e ao atendimento ao cliente a nível mundial.  Os seus serviços para o setor de impressão comercial incluem impressoras digitais a jato de tinta e sistemas de controlo desenvolvidos para proporcionar soluções para uma gama completa de aplicações de impressão de dados variáveis e etiquetagem.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>Todas as impressoras da Domino são desenvolvidas para satisfazerem as exigências de alta velocidade e elevada qualidade em ambientes de impressão comercial, apresentando novas capacidades a diferentes setores, incluindo os da etiquetagem, publicações e impressão de segurança, transacional, conversão de embalagens, cartões plastificados, bilhetes, jogos de cartas e formulários, bem como os setores de publicidade endereçada e serviços postais.</w:t>
      </w:r>
      <w:r w:rsidR="006C6C7C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FC465F">
        <w:rPr>
          <w:rFonts w:ascii="Noto Sans" w:eastAsia="Gill Sans" w:hAnsi="Noto Sans" w:cs="Noto Sans"/>
          <w:szCs w:val="18"/>
          <w:lang w:val="pt-BR"/>
        </w:rPr>
        <w:t xml:space="preserve">A Domino emprega mais de 3000 pessoas em todo mundo e comercializa para mais de 120 países através de uma rede global de 29 filiais e mais de 200 distribuidores. As instalações de fabrico da Domino estão </w:t>
      </w:r>
      <w:r w:rsidR="006C6C7C" w:rsidRPr="00FC465F">
        <w:rPr>
          <w:rFonts w:ascii="Noto Sans" w:eastAsia="Gill Sans" w:hAnsi="Noto Sans" w:cs="Noto Sans"/>
          <w:szCs w:val="18"/>
          <w:lang w:val="pt-BR"/>
        </w:rPr>
        <w:lastRenderedPageBreak/>
        <w:t>localizadas na Alemanha, China, EUA, Índia, Reino Unido, Suécia e Suíça. A Domino tornou-se uma divisão independente da Brother Industries Ltd. a 11 de junho de 2015.</w:t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82657D">
        <w:rPr>
          <w:rFonts w:ascii="Noto Sans" w:eastAsia="Gill Sans" w:hAnsi="Noto Sans" w:cs="Noto Sans"/>
          <w:sz w:val="20"/>
          <w:szCs w:val="20"/>
          <w:lang w:val="pt-PT"/>
        </w:rPr>
        <w:br/>
      </w:r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Para obter mais informações sobre a Domino, visite </w:t>
      </w:r>
      <w:hyperlink r:id="rId14" w:history="1">
        <w:r w:rsidR="006C6C7C" w:rsidRPr="00AB22C5">
          <w:rPr>
            <w:rStyle w:val="Hyperlink"/>
            <w:rFonts w:ascii="Noto Sans" w:eastAsia="Gill Sans" w:hAnsi="Noto Sans" w:cs="Noto Sans"/>
            <w:szCs w:val="18"/>
            <w:lang w:val="pt-PT"/>
          </w:rPr>
          <w:t>www.domino-printing.pt</w:t>
        </w:r>
      </w:hyperlink>
      <w:r w:rsidR="006C6C7C" w:rsidRPr="00AB22C5">
        <w:rPr>
          <w:rFonts w:ascii="Noto Sans" w:eastAsia="Gill Sans" w:hAnsi="Noto Sans" w:cs="Noto Sans"/>
          <w:szCs w:val="18"/>
          <w:lang w:val="pt-PT"/>
        </w:rPr>
        <w:t xml:space="preserve"> </w:t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82657D">
        <w:rPr>
          <w:rFonts w:ascii="Noto Sans" w:eastAsia="Gill Sans" w:hAnsi="Noto Sans" w:cs="Noto Sans"/>
          <w:szCs w:val="18"/>
          <w:lang w:val="pt-PT"/>
        </w:rPr>
        <w:br/>
      </w:r>
      <w:r w:rsidR="006C6C7C" w:rsidRPr="00AB22C5">
        <w:rPr>
          <w:rFonts w:ascii="Noto Sans" w:eastAsia="Gill Sans" w:hAnsi="Noto Sans" w:cs="Noto Sans"/>
          <w:b/>
          <w:bCs/>
          <w:szCs w:val="18"/>
          <w:lang w:val="pt-PT"/>
        </w:rPr>
        <w:t>Para obter mais informações, contacte:</w:t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r w:rsidR="006C6C7C">
        <w:rPr>
          <w:rFonts w:ascii="Noto Sans" w:eastAsia="Gill Sans" w:hAnsi="Noto Sans" w:cs="Noto Sans"/>
          <w:b/>
          <w:bCs/>
          <w:szCs w:val="18"/>
          <w:lang w:val="pt-PT"/>
        </w:rPr>
        <w:br/>
      </w:r>
      <w:bookmarkEnd w:id="0"/>
      <w:r w:rsidR="006C6C7C" w:rsidRPr="00FC465F">
        <w:rPr>
          <w:rFonts w:ascii="Noto Sans" w:hAnsi="Noto Sans" w:cs="Noto Sans"/>
          <w:szCs w:val="18"/>
          <w:lang w:val="pt-BR"/>
        </w:rPr>
        <w:t>Kathrin Farr</w:t>
      </w:r>
      <w:r w:rsidR="006C6C7C" w:rsidRPr="00FC465F">
        <w:rPr>
          <w:rFonts w:ascii="Noto Sans" w:hAnsi="Noto Sans" w:cs="Noto Sans"/>
          <w:szCs w:val="18"/>
          <w:lang w:val="pt-BR"/>
        </w:rPr>
        <w:br/>
        <w:t>Content Executive (Digital Printing)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Tel. : +44 (0) </w:t>
      </w:r>
      <w:hyperlink r:id="rId15" w:history="1">
        <w:r w:rsidR="006C6C7C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6" w:history="1">
        <w:r w:rsidR="006C6C7C" w:rsidRPr="00FC465F">
          <w:rPr>
            <w:rStyle w:val="Hyperlink"/>
            <w:rFonts w:ascii="Noto Sans" w:hAnsi="Noto Sans" w:cs="Noto Sans"/>
            <w:szCs w:val="18"/>
            <w:lang w:val="pt-BR"/>
          </w:rPr>
          <w:t>Kathrin.Farr@domino-uk.com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>
        <w:rPr>
          <w:rFonts w:ascii="Noto Sans" w:hAnsi="Noto Sans" w:cs="Noto Sans"/>
          <w:szCs w:val="18"/>
          <w:lang w:val="pt-BR"/>
        </w:rPr>
        <w:t>Alex Challinor</w:t>
      </w:r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PR and Content Manager </w:t>
      </w:r>
      <w:r w:rsidR="006C6C7C" w:rsidRPr="00FC465F">
        <w:rPr>
          <w:rFonts w:ascii="Noto Sans" w:hAnsi="Noto Sans" w:cs="Noto Sans"/>
          <w:szCs w:val="18"/>
          <w:lang w:val="pt-BR"/>
        </w:rPr>
        <w:br/>
        <w:t xml:space="preserve">Domino Printing Sciences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  <w:r w:rsidR="000220DA" w:rsidRPr="00FC465F">
        <w:rPr>
          <w:rFonts w:ascii="Noto Sans" w:hAnsi="Noto Sans" w:cs="Noto Sans"/>
          <w:szCs w:val="18"/>
          <w:lang w:val="pt-BR"/>
        </w:rPr>
        <w:t xml:space="preserve">Tel. : +44 (0) </w:t>
      </w:r>
      <w:hyperlink r:id="rId17" w:history="1">
        <w:r w:rsidR="000220DA" w:rsidRPr="00FC465F">
          <w:rPr>
            <w:rFonts w:ascii="Noto Sans" w:hAnsi="Noto Sans" w:cs="Noto Sans"/>
            <w:szCs w:val="18"/>
            <w:lang w:val="pt-BR"/>
          </w:rPr>
          <w:t>1954 782 551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br/>
      </w:r>
      <w:hyperlink r:id="rId18" w:history="1">
        <w:r w:rsidR="000220DA" w:rsidRPr="008E5CFD">
          <w:rPr>
            <w:rStyle w:val="Hyperlink"/>
            <w:rFonts w:ascii="Noto Sans" w:hAnsi="Noto Sans" w:cs="Noto Sans"/>
            <w:szCs w:val="18"/>
            <w:lang w:val="pt-BR"/>
          </w:rPr>
          <w:t>Alex.Challinor@domino-uk.com</w:t>
        </w:r>
      </w:hyperlink>
      <w:r w:rsidR="006C6C7C" w:rsidRPr="00FC465F">
        <w:rPr>
          <w:rFonts w:ascii="Noto Sans" w:hAnsi="Noto Sans" w:cs="Noto Sans"/>
          <w:szCs w:val="18"/>
          <w:lang w:val="pt-BR"/>
        </w:rPr>
        <w:t xml:space="preserve"> </w:t>
      </w:r>
      <w:r w:rsidR="006C6C7C" w:rsidRPr="00FC465F">
        <w:rPr>
          <w:rFonts w:ascii="Noto Sans" w:hAnsi="Noto Sans" w:cs="Noto Sans"/>
          <w:szCs w:val="18"/>
          <w:lang w:val="pt-BR"/>
        </w:rPr>
        <w:br/>
      </w:r>
    </w:p>
    <w:sectPr w:rsidR="006C6C7C" w:rsidRPr="00FC465F" w:rsidSect="000F6D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1531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6CEFB" w14:textId="77777777" w:rsidR="00062E86" w:rsidRDefault="00062E86" w:rsidP="00785717">
      <w:pPr>
        <w:spacing w:line="240" w:lineRule="auto"/>
      </w:pPr>
      <w:r>
        <w:separator/>
      </w:r>
    </w:p>
  </w:endnote>
  <w:endnote w:type="continuationSeparator" w:id="0">
    <w:p w14:paraId="22E08126" w14:textId="77777777" w:rsidR="00062E86" w:rsidRDefault="00062E86" w:rsidP="00785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panose1 w:val="020B0502040504020204"/>
    <w:charset w:val="00"/>
    <w:family w:val="swiss"/>
    <w:pitch w:val="variable"/>
    <w:sig w:usb0="E00082FF" w:usb1="4000205F" w:usb2="08000029" w:usb3="00000000" w:csb0="0000019F" w:csb1="00000000"/>
  </w:font>
  <w:font w:name="Gill Sans">
    <w:panose1 w:val="00000000000000000000"/>
    <w:charset w:val="00"/>
    <w:family w:val="swiss"/>
    <w:notTrueType/>
    <w:pitch w:val="variable"/>
    <w:sig w:usb0="A00000AF" w:usb1="5000205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F3CAA" w14:textId="77777777" w:rsidR="00EC1C5A" w:rsidRDefault="00EC1C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F2678" w14:textId="77777777" w:rsidR="00785717" w:rsidRDefault="000F6D00" w:rsidP="0078571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7C21E0" wp14:editId="562C3EA1">
          <wp:simplePos x="0" y="0"/>
          <wp:positionH relativeFrom="column">
            <wp:posOffset>4953000</wp:posOffset>
          </wp:positionH>
          <wp:positionV relativeFrom="paragraph">
            <wp:posOffset>1231440</wp:posOffset>
          </wp:positionV>
          <wp:extent cx="1466850" cy="139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1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7C15">
      <w:rPr>
        <w:noProof/>
      </w:rPr>
      <w:drawing>
        <wp:anchor distT="0" distB="0" distL="114300" distR="114300" simplePos="0" relativeHeight="251658240" behindDoc="1" locked="0" layoutInCell="1" allowOverlap="1" wp14:anchorId="7A6B7F6D" wp14:editId="090469BE">
          <wp:simplePos x="0" y="0"/>
          <wp:positionH relativeFrom="page">
            <wp:posOffset>47625</wp:posOffset>
          </wp:positionH>
          <wp:positionV relativeFrom="page">
            <wp:posOffset>9247505</wp:posOffset>
          </wp:positionV>
          <wp:extent cx="7448550" cy="1259840"/>
          <wp:effectExtent l="0" t="0" r="0" b="0"/>
          <wp:wrapNone/>
          <wp:docPr id="1" name="Picture 1" descr="A picture containing knif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knif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8550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63D8" w14:textId="77777777" w:rsidR="00EC1C5A" w:rsidRDefault="00EC1C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1CB7" w14:textId="77777777" w:rsidR="00062E86" w:rsidRDefault="00062E86" w:rsidP="00785717">
      <w:pPr>
        <w:spacing w:line="240" w:lineRule="auto"/>
      </w:pPr>
      <w:r>
        <w:separator/>
      </w:r>
    </w:p>
  </w:footnote>
  <w:footnote w:type="continuationSeparator" w:id="0">
    <w:p w14:paraId="61872927" w14:textId="77777777" w:rsidR="00062E86" w:rsidRDefault="00062E86" w:rsidP="00785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8F32C" w14:textId="77777777" w:rsidR="00EC1C5A" w:rsidRDefault="00EC1C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BD58" w14:textId="77777777" w:rsidR="000F6D00" w:rsidRDefault="002766D9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046442" wp14:editId="3586F545">
          <wp:simplePos x="0" y="0"/>
          <wp:positionH relativeFrom="page">
            <wp:posOffset>228600</wp:posOffset>
          </wp:positionH>
          <wp:positionV relativeFrom="paragraph">
            <wp:posOffset>-972185</wp:posOffset>
          </wp:positionV>
          <wp:extent cx="2781300" cy="1096645"/>
          <wp:effectExtent l="0" t="0" r="0" b="0"/>
          <wp:wrapSquare wrapText="bothSides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20"/>
                  <a:stretch/>
                </pic:blipFill>
                <pic:spPr bwMode="auto">
                  <a:xfrm>
                    <a:off x="0" y="0"/>
                    <a:ext cx="2781300" cy="1096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A8D0" w14:textId="77777777" w:rsidR="00EC1C5A" w:rsidRDefault="00EC1C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86"/>
    <w:rsid w:val="0002201E"/>
    <w:rsid w:val="000220DA"/>
    <w:rsid w:val="00062E86"/>
    <w:rsid w:val="000F6D00"/>
    <w:rsid w:val="00160726"/>
    <w:rsid w:val="001D743C"/>
    <w:rsid w:val="002202E3"/>
    <w:rsid w:val="00240801"/>
    <w:rsid w:val="002766D9"/>
    <w:rsid w:val="00372E92"/>
    <w:rsid w:val="003C7663"/>
    <w:rsid w:val="00476CBB"/>
    <w:rsid w:val="004C6703"/>
    <w:rsid w:val="005272B1"/>
    <w:rsid w:val="005524DB"/>
    <w:rsid w:val="005741C7"/>
    <w:rsid w:val="00581FEB"/>
    <w:rsid w:val="005E6C45"/>
    <w:rsid w:val="00647055"/>
    <w:rsid w:val="00660F46"/>
    <w:rsid w:val="006C6C7C"/>
    <w:rsid w:val="00785717"/>
    <w:rsid w:val="00791A4F"/>
    <w:rsid w:val="007D2B85"/>
    <w:rsid w:val="008220B7"/>
    <w:rsid w:val="00823B77"/>
    <w:rsid w:val="008916A8"/>
    <w:rsid w:val="008B6461"/>
    <w:rsid w:val="008E5E0C"/>
    <w:rsid w:val="008F3E38"/>
    <w:rsid w:val="00931996"/>
    <w:rsid w:val="009A1716"/>
    <w:rsid w:val="009A1DEC"/>
    <w:rsid w:val="009D6280"/>
    <w:rsid w:val="009E5D98"/>
    <w:rsid w:val="00A34918"/>
    <w:rsid w:val="00AB11DA"/>
    <w:rsid w:val="00B23C3C"/>
    <w:rsid w:val="00B546C5"/>
    <w:rsid w:val="00B86660"/>
    <w:rsid w:val="00BC7C15"/>
    <w:rsid w:val="00BD07B6"/>
    <w:rsid w:val="00C03CCC"/>
    <w:rsid w:val="00C063FE"/>
    <w:rsid w:val="00C44603"/>
    <w:rsid w:val="00C541FE"/>
    <w:rsid w:val="00CF1AD5"/>
    <w:rsid w:val="00D66051"/>
    <w:rsid w:val="00E03029"/>
    <w:rsid w:val="00E574F4"/>
    <w:rsid w:val="00EC1C5A"/>
    <w:rsid w:val="00F8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5A8D"/>
  <w15:chartTrackingRefBased/>
  <w15:docId w15:val="{E2490E24-E409-49FF-A71D-64593257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C7C"/>
    <w:pPr>
      <w:spacing w:after="0" w:line="360" w:lineRule="auto"/>
    </w:pPr>
    <w:rPr>
      <w:rFonts w:ascii="Verdana" w:eastAsia="Calibri" w:hAnsi="Verdana" w:cs="Times New Roman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785717"/>
  </w:style>
  <w:style w:type="paragraph" w:styleId="Footer">
    <w:name w:val="footer"/>
    <w:basedOn w:val="Normal"/>
    <w:link w:val="FooterChar"/>
    <w:uiPriority w:val="99"/>
    <w:unhideWhenUsed/>
    <w:rsid w:val="00785717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785717"/>
  </w:style>
  <w:style w:type="character" w:styleId="Hyperlink">
    <w:name w:val="Hyperlink"/>
    <w:basedOn w:val="DefaultParagraphFont"/>
    <w:uiPriority w:val="99"/>
    <w:rsid w:val="001D743C"/>
    <w:rPr>
      <w:color w:val="0000FF"/>
      <w:u w:val="single"/>
    </w:rPr>
  </w:style>
  <w:style w:type="paragraph" w:styleId="NoSpacing">
    <w:name w:val="No Spacing"/>
    <w:uiPriority w:val="1"/>
    <w:qFormat/>
    <w:rsid w:val="001D743C"/>
    <w:pPr>
      <w:spacing w:after="0" w:line="240" w:lineRule="auto"/>
    </w:pPr>
    <w:rPr>
      <w:rFonts w:ascii="Verdana" w:eastAsia="Calibri" w:hAnsi="Verdana" w:cs="Times New Roman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elsandlabeling.com/news/brand-owners-and-design/dr-pepper-launches-new-label-campaign" TargetMode="External"/><Relationship Id="rId13" Type="http://schemas.openxmlformats.org/officeDocument/2006/relationships/hyperlink" Target="https://www.domino-printing.com/pt/home.aspx?utm_medium=non-paid&amp;utm_source=onlinepublication&amp;utm_content=tl-workflow&amp;utm_campaign=2025-int-pt-Global-PR-DP-FY25-Q4" TargetMode="External"/><Relationship Id="rId18" Type="http://schemas.openxmlformats.org/officeDocument/2006/relationships/hyperlink" Target="mailto:Alex.Challinor@domino-uk.com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domino-printing.com/pt/blog/2024/embalagens-interativas?utm_medium=non-paid&amp;utm_source=onlinepublication&amp;utm_content=tl-workflow&amp;utm_campaign=2025-int-pt-Global-PR-DP-FY25-Q4" TargetMode="External"/><Relationship Id="rId12" Type="http://schemas.openxmlformats.org/officeDocument/2006/relationships/hyperlink" Target="https://www.domino-printing.com/pt/blog/2024/embalagens-interativas?utm_medium=non-paid&amp;utm_source=onlinepublication&amp;utm_content=tl-workflow&amp;utm_campaign=2025-int-pt-Global-PR-DP-FY25-Q4" TargetMode="External"/><Relationship Id="rId17" Type="http://schemas.openxmlformats.org/officeDocument/2006/relationships/hyperlink" Target="tel:+44%20(0)1954%20782%2055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Kathrin.Farr@domino-uk.com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finat.com/blogs/finat-radar-28-highlights-a-market-in-transition" TargetMode="External"/><Relationship Id="rId11" Type="http://schemas.openxmlformats.org/officeDocument/2006/relationships/hyperlink" Target="https://www.domino-printing.com/pt/blog/2024/sustainable-printing-practices-for-packaging?utm_medium=non-paid&amp;utm_source=onlinepublication&amp;utm_content=tl-workflow&amp;utm_campaign=2025-int-pt-Global-PR-DP-FY25-Q4" TargetMode="External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yperlink" Target="tel:+44%20(0)1954%20782%20551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gs1.org/standards/barcodes/2d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beveragedaily.com/Article/2016/03/15/PepsiCo-PepsiMoji-campaign-creative-and-personal-packaging/" TargetMode="External"/><Relationship Id="rId14" Type="http://schemas.openxmlformats.org/officeDocument/2006/relationships/hyperlink" Target="http://www.domino-printing.pt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2043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 Farr</dc:creator>
  <cp:keywords/>
  <dc:description/>
  <cp:lastModifiedBy>Kathrin Farr</cp:lastModifiedBy>
  <cp:revision>3</cp:revision>
  <dcterms:created xsi:type="dcterms:W3CDTF">2025-12-22T16:36:00Z</dcterms:created>
  <dcterms:modified xsi:type="dcterms:W3CDTF">2025-12-22T16:37:00Z</dcterms:modified>
</cp:coreProperties>
</file>