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1540" w14:textId="77777777" w:rsidR="005A696B" w:rsidRPr="005A696B" w:rsidRDefault="005A696B" w:rsidP="005A696B">
      <w:pPr>
        <w:spacing w:before="120" w:after="120" w:line="240" w:lineRule="auto"/>
        <w:rPr>
          <w:rFonts w:ascii="Noto Sans" w:eastAsia="Times New Roman" w:hAnsi="Noto Sans" w:cs="Noto Sans"/>
          <w:sz w:val="28"/>
          <w:szCs w:val="28"/>
          <w:lang w:val="fr-FR"/>
        </w:rPr>
      </w:pPr>
      <w:r w:rsidRPr="005A696B">
        <w:rPr>
          <w:rFonts w:ascii="Noto Sans" w:eastAsia="Times New Roman" w:hAnsi="Noto Sans" w:cs="Noto Sans"/>
          <w:b/>
          <w:bCs/>
          <w:sz w:val="28"/>
          <w:szCs w:val="28"/>
          <w:lang w:val="fr"/>
        </w:rPr>
        <w:t>Flux de travail plus intelligents pour les transformateurs : Optimiser l’agilité dans l’impression d’étiquettes en production limitée</w:t>
      </w:r>
    </w:p>
    <w:p w14:paraId="28FFFBD6" w14:textId="77777777" w:rsidR="005A696B" w:rsidRPr="005A696B" w:rsidRDefault="005A696B" w:rsidP="005A696B">
      <w:pPr>
        <w:spacing w:before="120" w:after="120" w:line="240" w:lineRule="auto"/>
        <w:rPr>
          <w:rFonts w:ascii="Noto Sans" w:eastAsia="Times New Roman" w:hAnsi="Noto Sans" w:cs="Noto Sans"/>
          <w:i/>
          <w:iCs/>
          <w:sz w:val="22"/>
          <w:lang w:val="fr-FR"/>
        </w:rPr>
      </w:pPr>
      <w:r w:rsidRPr="005A696B">
        <w:rPr>
          <w:rFonts w:ascii="Noto Sans" w:eastAsia="Times New Roman" w:hAnsi="Noto Sans" w:cs="Noto Sans"/>
          <w:i/>
          <w:iCs/>
          <w:sz w:val="22"/>
          <w:lang w:val="fr"/>
        </w:rPr>
        <w:t xml:space="preserve">La demande d’impression étiquette en production limitée augmente. Les tendances du marché, telles que la personnalisation, la régionalisation, l’e-commerce et la durabilité, poussent les transformateurs à adopter des modèles opérationnels plus agiles. Près d’un quart (23 %) des personnes interrogées dans le </w:t>
      </w:r>
      <w:hyperlink r:id="rId6" w:history="1">
        <w:r w:rsidRPr="005A696B">
          <w:rPr>
            <w:rFonts w:ascii="Noto Sans" w:eastAsia="Times New Roman" w:hAnsi="Noto Sans" w:cs="Noto Sans"/>
            <w:i/>
            <w:iCs/>
            <w:color w:val="0000EE"/>
            <w:sz w:val="22"/>
            <w:u w:val="single"/>
            <w:lang w:val="fr"/>
          </w:rPr>
          <w:t>Enquête sur les transformateurs FINAT RADAR 28–2025</w:t>
        </w:r>
      </w:hyperlink>
      <w:r w:rsidRPr="005A696B">
        <w:rPr>
          <w:rFonts w:ascii="Noto Sans" w:eastAsia="Times New Roman" w:hAnsi="Noto Sans" w:cs="Noto Sans"/>
          <w:i/>
          <w:iCs/>
          <w:sz w:val="22"/>
          <w:lang w:val="fr"/>
        </w:rPr>
        <w:t xml:space="preserve"> considérez la flexibilité à court terme et la fidélisation de la clientèle comme essentielles à votre succès futur.</w:t>
      </w:r>
    </w:p>
    <w:p w14:paraId="7F6D146F"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i/>
          <w:iCs/>
          <w:sz w:val="22"/>
          <w:lang w:val="fr"/>
        </w:rPr>
        <w:t>Sarah Ervin, Digital Printing Technical Product Manager, Domino Printing Sciences, explique comment les transformateurs peuvent suivre le rythme et la complexité de ces demandes, assurant que des flux de travail numériques plus intelligents sont essentiels pour rester agile et compétitif.</w:t>
      </w:r>
    </w:p>
    <w:p w14:paraId="16B5EDE9"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b/>
          <w:bCs/>
          <w:sz w:val="22"/>
          <w:lang w:val="fr"/>
        </w:rPr>
        <w:t xml:space="preserve">Le passage à l’impression d’étiquettes en production limitée </w:t>
      </w:r>
    </w:p>
    <w:p w14:paraId="5C74BE03" w14:textId="75C73BDE"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Le marché des étiquettes à court tirage connaît une croissance rapide, les entreprises valorisant la flexibilité et l’agilité typiques des petits lots d’impression. Par conséquent, les entreprises cherchent à améliorer la différenciation de leur portefeuille de produits pour prendre en charge les variations linguistiques et réglementaires régionales, ainsi que pour répondre aux exigences des modèles commerciaux de l’e-commerce. De plus, les marques souhaitent exploiter des </w:t>
      </w:r>
      <w:hyperlink r:id="rId7" w:history="1">
        <w:r w:rsidRPr="005A696B">
          <w:rPr>
            <w:rFonts w:ascii="Noto Sans" w:eastAsia="Times New Roman" w:hAnsi="Noto Sans" w:cs="Noto Sans"/>
            <w:color w:val="0000EE"/>
            <w:sz w:val="22"/>
            <w:lang w:val="fr"/>
          </w:rPr>
          <w:t xml:space="preserve">campagnes saisonnières et promotionnelles innovantes pour améliorer l’engagement client, </w:t>
        </w:r>
      </w:hyperlink>
      <w:r w:rsidRPr="005A696B">
        <w:rPr>
          <w:rFonts w:ascii="Noto Sans" w:eastAsia="Times New Roman" w:hAnsi="Noto Sans" w:cs="Noto Sans"/>
          <w:sz w:val="22"/>
          <w:lang w:val="fr"/>
        </w:rPr>
        <w:t>comme les campagnes “</w:t>
      </w:r>
      <w:hyperlink r:id="rId8" w:history="1">
        <w:r w:rsidRPr="005A696B">
          <w:rPr>
            <w:rFonts w:ascii="Noto Sans" w:eastAsia="Times New Roman" w:hAnsi="Noto Sans" w:cs="Noto Sans"/>
            <w:color w:val="0000EE"/>
            <w:sz w:val="22"/>
            <w:lang w:val="fr"/>
          </w:rPr>
          <w:t>Pick your Pepper</w:t>
        </w:r>
      </w:hyperlink>
      <w:r w:rsidR="004F3972" w:rsidRPr="004F3972">
        <w:rPr>
          <w:lang w:val="fr-FR"/>
        </w:rPr>
        <w:t>”</w:t>
      </w:r>
      <w:r w:rsidRPr="005A696B">
        <w:rPr>
          <w:rFonts w:ascii="Noto Sans" w:eastAsia="Times New Roman" w:hAnsi="Noto Sans" w:cs="Noto Sans"/>
          <w:sz w:val="22"/>
          <w:lang w:val="fr"/>
        </w:rPr>
        <w:t xml:space="preserve"> de Dr Pepper et les campagnes </w:t>
      </w:r>
      <w:hyperlink r:id="rId9" w:history="1">
        <w:r w:rsidRPr="005A696B">
          <w:rPr>
            <w:rFonts w:ascii="Noto Sans" w:eastAsia="Times New Roman" w:hAnsi="Noto Sans" w:cs="Noto Sans"/>
            <w:color w:val="0000EE"/>
            <w:sz w:val="22"/>
            <w:lang w:val="fr"/>
          </w:rPr>
          <w:t>emoji</w:t>
        </w:r>
      </w:hyperlink>
      <w:r w:rsidRPr="005A696B">
        <w:rPr>
          <w:rFonts w:ascii="Noto Sans" w:eastAsia="Times New Roman" w:hAnsi="Noto Sans" w:cs="Noto Sans"/>
          <w:sz w:val="22"/>
          <w:lang w:val="fr"/>
        </w:rPr>
        <w:t xml:space="preserve"> de Pepsi. Enfin, l’enthousiasme grandit autour du potentiel des concours par code QR et </w:t>
      </w:r>
      <w:r w:rsidRPr="004F3972">
        <w:rPr>
          <w:rFonts w:ascii="Noto Sans" w:eastAsia="Times New Roman" w:hAnsi="Noto Sans" w:cs="Noto Sans"/>
          <w:sz w:val="22"/>
          <w:lang w:val="fr"/>
        </w:rPr>
        <w:t xml:space="preserve">des </w:t>
      </w:r>
      <w:hyperlink r:id="rId10" w:history="1">
        <w:r w:rsidR="004F3972" w:rsidRPr="004F3972">
          <w:rPr>
            <w:rStyle w:val="Hyperlink"/>
            <w:rFonts w:ascii="Noto Sans" w:hAnsi="Noto Sans" w:cs="Noto Sans"/>
            <w:sz w:val="22"/>
            <w:u w:val="none"/>
            <w:lang w:val="fr"/>
          </w:rPr>
          <w:t>codes 2D augmentés GS1</w:t>
        </w:r>
      </w:hyperlink>
      <w:r w:rsidRPr="005A696B">
        <w:rPr>
          <w:rFonts w:ascii="Times New Roman" w:eastAsia="Times New Roman" w:hAnsi="Times New Roman" w:cs="Noto Sans"/>
          <w:sz w:val="24"/>
          <w:szCs w:val="24"/>
          <w:lang w:val="fr"/>
        </w:rPr>
        <w:t>,</w:t>
      </w:r>
      <w:r w:rsidRPr="005A696B">
        <w:rPr>
          <w:rFonts w:ascii="Noto Sans" w:eastAsia="Times New Roman" w:hAnsi="Noto Sans" w:cs="Noto Sans"/>
          <w:sz w:val="22"/>
          <w:lang w:val="fr"/>
        </w:rPr>
        <w:t xml:space="preserve"> pour fournir des informations encore plus approfondies sur les consommateurs.</w:t>
      </w:r>
    </w:p>
    <w:p w14:paraId="05AA660A"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Par conséquent, la production multi-SKU de volumes plus petits et plus fréquents remplace rapidement les séries en grande quantité traditionnelles. Pour les transformateurs et les marques, ce changement soutient l’effort de déstockage dans le cadre des stratégies de développement durable : réduire l’entreposage en vrac des supports et des étiquettes imprimées pour aider à </w:t>
      </w:r>
      <w:hyperlink r:id="rId11" w:history="1">
        <w:r w:rsidRPr="005A696B">
          <w:rPr>
            <w:rFonts w:ascii="Noto Sans" w:eastAsia="Times New Roman" w:hAnsi="Noto Sans" w:cs="Noto Sans"/>
            <w:color w:val="0000EE"/>
            <w:sz w:val="22"/>
            <w:lang w:val="fr"/>
          </w:rPr>
          <w:t>minimiser les déchets</w:t>
        </w:r>
      </w:hyperlink>
      <w:r w:rsidRPr="005A696B">
        <w:rPr>
          <w:rFonts w:ascii="Noto Sans" w:eastAsia="Times New Roman" w:hAnsi="Noto Sans" w:cs="Noto Sans"/>
          <w:sz w:val="22"/>
          <w:lang w:val="fr"/>
        </w:rPr>
        <w:t xml:space="preserve"> liés à l’obsolescence. </w:t>
      </w:r>
    </w:p>
    <w:p w14:paraId="75194527"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b/>
          <w:bCs/>
          <w:sz w:val="22"/>
          <w:lang w:val="fr"/>
        </w:rPr>
        <w:t>Limites des flux de travail analogiques traditionnels</w:t>
      </w:r>
    </w:p>
    <w:p w14:paraId="657ED9DC" w14:textId="6B7F072D"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Bien que les avantages soient convaincants, les exigences de la production d’étiquettes en production limitée sont complexes. Les transformateurs doivent réagir plus rapidement, en traitant des demandes plus fréquentes de travaux comportant des volumes d’étiquettes plus petits, une exigence qui conduit inévitablement à la formation de </w:t>
      </w:r>
      <w:hyperlink r:id="rId12" w:history="1">
        <w:r w:rsidRPr="005A696B">
          <w:rPr>
            <w:rFonts w:ascii="Noto Sans" w:eastAsia="Times New Roman" w:hAnsi="Noto Sans" w:cs="Noto Sans"/>
            <w:color w:val="0000FF"/>
            <w:sz w:val="22"/>
            <w:u w:val="single"/>
            <w:lang w:val="fr"/>
          </w:rPr>
          <w:t>goulets d’étranglement</w:t>
        </w:r>
      </w:hyperlink>
      <w:r w:rsidRPr="005A696B">
        <w:rPr>
          <w:rFonts w:ascii="Noto Sans" w:eastAsia="Times New Roman" w:hAnsi="Noto Sans" w:cs="Noto Sans"/>
          <w:sz w:val="22"/>
          <w:lang w:val="fr"/>
        </w:rPr>
        <w:t xml:space="preserve">. La configuration manuelle, garantissant la précision des couleurs et le repérage d’impression, prend du temps et peut entraîner </w:t>
      </w:r>
      <w:r w:rsidRPr="005A696B">
        <w:rPr>
          <w:rFonts w:ascii="Noto Sans" w:eastAsia="Times New Roman" w:hAnsi="Noto Sans" w:cs="Noto Sans"/>
          <w:sz w:val="22"/>
          <w:lang w:val="fr"/>
        </w:rPr>
        <w:lastRenderedPageBreak/>
        <w:t>un gaspillage important de matériaux avant d’atteindre la qualité souhaitée. Bien entendu, la configuration et les tests appropriés reposent sur une main-d’œuvre qualifiée, minimisant ainsi le risque d’erreurs coûteuses qui perturbent la production et nuisent à la rentabilité.</w:t>
      </w:r>
    </w:p>
    <w:p w14:paraId="4E78ADF4"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Étant donné que même les commandes récurrentes nécessitent une configuration manuelle approfondie, tenter d’adopter l’impression d’étiquettes en production limitée en utilisant la technologie analogique crée des difficultés qui nuiront à la productivité et à la rentabilité. </w:t>
      </w:r>
    </w:p>
    <w:p w14:paraId="06B64C1A"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Les transformateurs reconnaissent de plus en plus que la flexibilité et l’agilité offertes par les presses numériques sont essentielles pour prospérer dans le paysage moderne de l’étiquetage, mais investir dans la technologie n’est que le point de départ : il est également vital de créer des flux de travail efficaces pour maximiser l’efficacité.</w:t>
      </w:r>
    </w:p>
    <w:p w14:paraId="1A92287C"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b/>
          <w:bCs/>
          <w:sz w:val="22"/>
          <w:lang w:val="fr"/>
        </w:rPr>
        <w:t>Comment les flux de travail numériques favorisent la réussite des impressions en production limitée</w:t>
      </w:r>
    </w:p>
    <w:p w14:paraId="7427E8DF"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Il peut être essentiel de travailler avec un fournisseur d’impression numérique pour comprendre comment repenser et adapter au mieux les processus et flux de travail de production d’étiquettes pour accélérer l’adoption numérique et augmenter l’utilisation des presses. Les flux de travail numériques peuvent résoudre de nombreux problèmes opérationnels en rationalisant les processus et réduisant le risque d’erreurs. Par exemple, le fait de pouvoir accéder à des paramètres préconfigurés pour les supports couramment utilisés réduit considérablement le gaspillage de supports pendant la configuration, tout en permettant d’économiser en moyenne 30 minutes par tâche lors de l’utilisation d’une plateforme numérique par rapport à une plateforme analogique. </w:t>
      </w:r>
    </w:p>
    <w:p w14:paraId="3A1DAC52"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De plus, au lieu de préparer chaque fichier individuellement pour l’impression, les flux de travail pré-presse modernes utilisent des “dossiers dynamiques”, permettant aux opérateurs d’importer des illustrations et d’automatiser les tâches répétitives. Ces préréglages permettent une gestion des couleurs améliorée, effectuent une mise en page par “duplication et répétition”, et ajoutent des marques de finition, éliminant ainsi le besoin d’ajustements manuels et garantissant la répétabilité, tandis que le RIP haute vitesse permet aux travaux d’atteindre rapidement la presse. </w:t>
      </w:r>
    </w:p>
    <w:p w14:paraId="1F68A2A1"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Les flux de travail numériques incluent également des fonctionnalités de gestion de fichiers qui permettent l’archivage et la récupération pratiques des travaux clients récurrents. Cela permet des réexécutions exactes des commandes avec un minimum d’effort pour réapprovisionner le stock du client. </w:t>
      </w:r>
    </w:p>
    <w:p w14:paraId="0C33AFFE"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La rationalisation des tâches de pré-presse avec des outils intelligents comme ceux-ci permet un traitement rapide des travaux d’impression, ce qui optimise le temps de production. En adoptant les flux de travail numériques, les transformateurs peuvent </w:t>
      </w:r>
      <w:r w:rsidRPr="005A696B">
        <w:rPr>
          <w:rFonts w:ascii="Noto Sans" w:eastAsia="Times New Roman" w:hAnsi="Noto Sans" w:cs="Noto Sans"/>
          <w:sz w:val="22"/>
          <w:lang w:val="fr"/>
        </w:rPr>
        <w:lastRenderedPageBreak/>
        <w:t>limiter le nombre de points de contact humains, accélérer les processus et réduire le risque d’erreurs coûteuses.</w:t>
      </w:r>
    </w:p>
    <w:p w14:paraId="35F34AE9"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b/>
          <w:bCs/>
          <w:sz w:val="22"/>
          <w:lang w:val="fr"/>
        </w:rPr>
        <w:t>Adopter un état d’esprit numérique pour un avantage concurrentiel</w:t>
      </w:r>
    </w:p>
    <w:p w14:paraId="518DA9DB"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Pour profiter pleinement de la vitesse, de l’agilité et de l’efficacité offertes par l’impression numérique, et optimiser le retour sur leur investissement numérique, de nombreux transformateurs doivent s’aventurer hors de leur zone de confort et défier les pratiques analogiques traditionnelles. En adoptant la technologie et les flux de travail de l’impression numérique, les transformateurs peuvent répondre aux demandes en étiquettes en production limitée de manière rapide et rentable. La réduction des délais de modification des illustrations de plusieurs mois à quelques jours permet aux marques d’être plus réactives face aux tendances émergentes et d’améliorer continuellement leurs emballages promotionnels au fil du temps.</w:t>
      </w:r>
    </w:p>
    <w:p w14:paraId="42BA0EE6"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L’adoption de flux de travail numériques a un impact positif sur les opérations quotidiennes. Un modèle étiquette à court tirage simple et efficace permettra à l’équipe de vente, par exemple, de répondre rapidement aux demandes des clients et de constituer un avantage pour remporter de nouveaux contrats. Les objectifs de durabilité peuvent être améliorés grâce à des processus numériques efficaces qui réduisent le gaspillage. Les pénuries de compétences peuvent également être résolues, grâce à une configuration numérique simple qui permet une intégration rapide des nouveaux opérateurs qui n’ont plus besoin de compétences spécifiques au secteur de l’imprimerie.</w:t>
      </w:r>
    </w:p>
    <w:p w14:paraId="76DA6D4F"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Les transformateurs qui adoptent un état d’esprit numérique peuvent s’améliorer continuellement, non seulement en optimisant les opérations, mais aussi en gagnant un avantage concurrentiel plus fort. La production peut être optimisée, souvent automatiquement, tant au niveau des tâches que des tirages. Regrouper plusieurs SKU (même de clients différents) sur le même support et les mêmes matrices pour imprimer en un seul cycle sur un seul rouleau optimise l’efficacité. Le découpage et l’enroulement des étiquettes par lots réduisent également le temps de finition, ce qui contribue à l’agilité requise pour les petits tirages. Les flux de travail numériques peuvent également s’intégrer aux systèmes MIS, en important des fichiers ou en exportant des données de production pour analyse.</w:t>
      </w:r>
    </w:p>
    <w:p w14:paraId="34A07526"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b/>
          <w:bCs/>
          <w:sz w:val="22"/>
          <w:lang w:val="fr"/>
        </w:rPr>
        <w:t>Conclusion : La transformation numérique est essentielle</w:t>
      </w:r>
    </w:p>
    <w:p w14:paraId="0ABAF99E" w14:textId="6A5DB6DA"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L’impression d’étiquettes en petits tirages n’est pas une mode passagère ; elle </w:t>
      </w:r>
      <w:hyperlink r:id="rId13" w:history="1">
        <w:r w:rsidRPr="005A696B">
          <w:rPr>
            <w:rFonts w:ascii="Noto Sans" w:eastAsia="Times New Roman" w:hAnsi="Noto Sans" w:cs="Noto Sans"/>
            <w:color w:val="0000FF"/>
            <w:sz w:val="22"/>
            <w:u w:val="single"/>
            <w:lang w:val="fr"/>
          </w:rPr>
          <w:t>transforme radicalement l’univers de l’emballage</w:t>
        </w:r>
      </w:hyperlink>
      <w:r w:rsidRPr="005A696B">
        <w:rPr>
          <w:rFonts w:ascii="Noto Sans" w:eastAsia="Times New Roman" w:hAnsi="Noto Sans" w:cs="Noto Sans"/>
          <w:sz w:val="22"/>
          <w:lang w:val="fr"/>
        </w:rPr>
        <w:t>. Elle permet aux marques d’explorer les innovations en matière de design grâce à des changements fréquents d’illustrations, d’adopter la personnalisation à l’aide de codes 2D pour stimuler l’engagement des consommateurs, tout en respectant les exigences réglementaires.</w:t>
      </w:r>
    </w:p>
    <w:p w14:paraId="4206C876"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Pour tirer parti des opportunités offertes par l’impression d’étiquettes en petits tirages, les transformateurs doivent mettre en œuvre des flux de travail plus intelligents et plus agiles qui génèrent des avantages tangibles : une efficacité accrue, une réduction du gaspillage et une réactivité plus rapide face aux besoins des clients de marque, tout en soutenant l’innovation en matière d’emballage. </w:t>
      </w:r>
    </w:p>
    <w:p w14:paraId="19453B33" w14:textId="3D95D9B6"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 xml:space="preserve">La véritable transformation numérique doit s’étendre à l’ensemble des opérations du transformateur, non seulement pour répondre aux exigences des clients et de durabilité de manière rentable, mais aussi pour générer un avantage concurrentiel. Le succès de l’impression d’étiquettes en petits tirages ne se limite pas à investir dans la technologie d’impression numérique : il est essentiel de s’associer à un fournisseur d’impression numérique capable </w:t>
      </w:r>
      <w:hyperlink r:id="rId14" w:history="1">
        <w:r w:rsidRPr="005A696B">
          <w:rPr>
            <w:rFonts w:ascii="Noto Sans" w:eastAsia="Times New Roman" w:hAnsi="Noto Sans" w:cs="Noto Sans"/>
            <w:color w:val="0000EE"/>
            <w:sz w:val="22"/>
            <w:lang w:val="fr"/>
          </w:rPr>
          <w:t>d’accompagner les transformateurs</w:t>
        </w:r>
      </w:hyperlink>
      <w:r w:rsidRPr="005A696B">
        <w:rPr>
          <w:rFonts w:ascii="Noto Sans" w:eastAsia="Times New Roman" w:hAnsi="Noto Sans" w:cs="Noto Sans"/>
          <w:sz w:val="22"/>
          <w:lang w:val="fr"/>
        </w:rPr>
        <w:t xml:space="preserve"> dans la transition vers une nouvelle mentalité numérique. </w:t>
      </w:r>
    </w:p>
    <w:p w14:paraId="0FFCCF53" w14:textId="77777777" w:rsidR="005A696B" w:rsidRPr="005A696B" w:rsidRDefault="005A696B" w:rsidP="005A696B">
      <w:pPr>
        <w:spacing w:before="120" w:after="120" w:line="240" w:lineRule="auto"/>
        <w:rPr>
          <w:rFonts w:ascii="Noto Sans" w:eastAsia="Times New Roman" w:hAnsi="Noto Sans" w:cs="Noto Sans"/>
          <w:sz w:val="22"/>
          <w:lang w:val="fr-FR"/>
        </w:rPr>
      </w:pPr>
      <w:r w:rsidRPr="005A696B">
        <w:rPr>
          <w:rFonts w:ascii="Noto Sans" w:eastAsia="Times New Roman" w:hAnsi="Noto Sans" w:cs="Noto Sans"/>
          <w:sz w:val="22"/>
          <w:lang w:val="fr"/>
        </w:rPr>
        <w:t>FIN</w:t>
      </w:r>
    </w:p>
    <w:p w14:paraId="42FFDE4F" w14:textId="3489EF8C"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15"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6"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7"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8"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9"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743C"/>
    <w:rsid w:val="002202E3"/>
    <w:rsid w:val="00240801"/>
    <w:rsid w:val="002766D9"/>
    <w:rsid w:val="00372E92"/>
    <w:rsid w:val="003A1909"/>
    <w:rsid w:val="003E5E49"/>
    <w:rsid w:val="004F3972"/>
    <w:rsid w:val="005272B1"/>
    <w:rsid w:val="00550581"/>
    <w:rsid w:val="005524DB"/>
    <w:rsid w:val="005741C7"/>
    <w:rsid w:val="005A696B"/>
    <w:rsid w:val="005E6C45"/>
    <w:rsid w:val="00647055"/>
    <w:rsid w:val="00660F46"/>
    <w:rsid w:val="00785717"/>
    <w:rsid w:val="00791A4F"/>
    <w:rsid w:val="008220B7"/>
    <w:rsid w:val="00823B77"/>
    <w:rsid w:val="00866525"/>
    <w:rsid w:val="008916A8"/>
    <w:rsid w:val="008B6461"/>
    <w:rsid w:val="008E5E0C"/>
    <w:rsid w:val="008F3E38"/>
    <w:rsid w:val="00931996"/>
    <w:rsid w:val="009A1716"/>
    <w:rsid w:val="009A1DEC"/>
    <w:rsid w:val="009B3F01"/>
    <w:rsid w:val="009D6280"/>
    <w:rsid w:val="00A34918"/>
    <w:rsid w:val="00AB11DA"/>
    <w:rsid w:val="00B23C3C"/>
    <w:rsid w:val="00B546C5"/>
    <w:rsid w:val="00BC7C15"/>
    <w:rsid w:val="00BD57F7"/>
    <w:rsid w:val="00C063FE"/>
    <w:rsid w:val="00C44603"/>
    <w:rsid w:val="00C541FE"/>
    <w:rsid w:val="00CD2F96"/>
    <w:rsid w:val="00CF1AD5"/>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9309CFCA-9645-40BB-845A-176F2CEE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elsandlabeling.com/news/brand-owners-and-design/dr-pepper-launches-new-label-campaign" TargetMode="External"/><Relationship Id="rId13" Type="http://schemas.openxmlformats.org/officeDocument/2006/relationships/hyperlink" Target="https://www.domino-printing.com/fr/blog/2024/emballage-connecte-et-l-engagement-des-consommateurs?utm_medium=non-paid&amp;utm_source=onlinepublication&amp;utm_content=tl-workflow&amp;utm_campaign=2025-int-fr-Global-PR-DP-FY25-Q4" TargetMode="External"/><Relationship Id="rId18" Type="http://schemas.openxmlformats.org/officeDocument/2006/relationships/hyperlink" Target="tel:+44%20(0)1954%20782%2055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domino-printing.com/fr/blog/2024/emballage-connecte-et-l-engagement-des-consommateurs?utm_medium=non-paid&amp;utm_source=onlinepublication&amp;utm_content=tl-workflow&amp;utm_campaign=2025-int-fr-Global-PR-DP-FY25-Q4" TargetMode="External"/><Relationship Id="rId12" Type="http://schemas.openxmlformats.org/officeDocument/2006/relationships/hyperlink" Target="https://www.domino-printing.com/fr/blog/2025/the-right-press-for-the-job?utm_medium=non-paid&amp;utm_source=onlinepublication&amp;utm_content=tl-workflow&amp;utm_campaign=2025-int-fr-Global-PR-DP-FY25-Q4" TargetMode="External"/><Relationship Id="rId17" Type="http://schemas.openxmlformats.org/officeDocument/2006/relationships/hyperlink" Target="mailto:Kathrin.Farr@domino-uk.com"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tel:+44%20(0)1954%20782%20551"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finat.com/blogs/finat-radar-28-highlights-a-market-in-transition" TargetMode="External"/><Relationship Id="rId11" Type="http://schemas.openxmlformats.org/officeDocument/2006/relationships/hyperlink" Target="https://www.domino-printing.com/fr/blog/2024/pratiques-d-impression-durables-pour-les-emballages"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domino-printing.com" TargetMode="External"/><Relationship Id="rId23" Type="http://schemas.openxmlformats.org/officeDocument/2006/relationships/footer" Target="footer2.xml"/><Relationship Id="rId10" Type="http://schemas.openxmlformats.org/officeDocument/2006/relationships/hyperlink" Target="https://www.gs1.org/standards/barcodes/2d" TargetMode="External"/><Relationship Id="rId19" Type="http://schemas.openxmlformats.org/officeDocument/2006/relationships/hyperlink" Target="mailto:Jade.Taylor-Salazar@domino-uk.com" TargetMode="External"/><Relationship Id="rId4" Type="http://schemas.openxmlformats.org/officeDocument/2006/relationships/footnotes" Target="footnotes.xml"/><Relationship Id="rId9" Type="http://schemas.openxmlformats.org/officeDocument/2006/relationships/hyperlink" Target="https://www.beveragedaily.com/Article/2016/03/15/PepsiCo-PepsiMoji-campaign-creative-and-personal-packaging/" TargetMode="External"/><Relationship Id="rId14" Type="http://schemas.openxmlformats.org/officeDocument/2006/relationships/hyperlink" Target="https://www.domino-printing.com/fr/blog/2023/domino-digital-solutions-programme?utm_medium=non-paid&amp;utm_source=onlinepublication&amp;utm_content=tl-workflow&amp;utm_campaign=2025-int-fr-Global-PR-DP-FY25-Q4"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2025-12-22T13:18:00Z</dcterms:created>
  <dcterms:modified xsi:type="dcterms:W3CDTF">2025-12-22T13:50:00Z</dcterms:modified>
</cp:coreProperties>
</file>