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65947" w14:textId="530341E2" w:rsidR="001F298D" w:rsidRPr="005B5969" w:rsidRDefault="00AD43D3" w:rsidP="001F298D">
      <w:pPr>
        <w:tabs>
          <w:tab w:val="left" w:pos="5630"/>
        </w:tabs>
        <w:jc w:val="center"/>
        <w:rPr>
          <w:rFonts w:ascii="Arial" w:eastAsia="Yu Mincho" w:hAnsi="Arial" w:cs="Arial"/>
          <w:b/>
          <w:bCs/>
          <w:sz w:val="28"/>
          <w:szCs w:val="28"/>
          <w:lang w:val="pl-PL"/>
        </w:rPr>
      </w:pPr>
      <w:r w:rsidRPr="005B5969">
        <w:rPr>
          <w:rFonts w:ascii="Arial" w:eastAsia="Yu Mincho" w:hAnsi="Arial" w:cs="Arial"/>
          <w:b/>
          <w:bCs/>
          <w:sz w:val="28"/>
          <w:szCs w:val="28"/>
          <w:lang w:val="pl-PL"/>
        </w:rPr>
        <w:t xml:space="preserve">Od ostrożności do </w:t>
      </w:r>
      <w:r w:rsidR="00E548E6">
        <w:rPr>
          <w:rFonts w:ascii="Arial" w:eastAsia="Yu Mincho" w:hAnsi="Arial" w:cs="Arial"/>
          <w:b/>
          <w:bCs/>
          <w:sz w:val="28"/>
          <w:szCs w:val="28"/>
          <w:lang w:val="pl-PL"/>
        </w:rPr>
        <w:t>optymizmu</w:t>
      </w:r>
      <w:r w:rsidR="006D5E9A" w:rsidRPr="005B5969">
        <w:rPr>
          <w:rFonts w:ascii="Arial" w:eastAsia="Yu Mincho" w:hAnsi="Arial" w:cs="Arial"/>
          <w:b/>
          <w:bCs/>
          <w:sz w:val="28"/>
          <w:szCs w:val="28"/>
          <w:lang w:val="pl-PL"/>
        </w:rPr>
        <w:t xml:space="preserve"> – </w:t>
      </w:r>
      <w:r w:rsidR="00A23A15" w:rsidRPr="005B5969">
        <w:rPr>
          <w:rFonts w:ascii="Arial" w:eastAsia="Yu Mincho" w:hAnsi="Arial" w:cs="Arial"/>
          <w:b/>
          <w:bCs/>
          <w:sz w:val="28"/>
          <w:szCs w:val="28"/>
          <w:lang w:val="pl-PL"/>
        </w:rPr>
        <w:t xml:space="preserve">europejski rynek </w:t>
      </w:r>
      <w:r w:rsidR="006D5E9A" w:rsidRPr="005B5969">
        <w:rPr>
          <w:rFonts w:ascii="Arial" w:eastAsia="Yu Mincho" w:hAnsi="Arial" w:cs="Arial"/>
          <w:b/>
          <w:bCs/>
          <w:sz w:val="28"/>
          <w:szCs w:val="28"/>
          <w:lang w:val="pl-PL"/>
        </w:rPr>
        <w:t>nieruchomości w</w:t>
      </w:r>
      <w:r w:rsidR="000309AE" w:rsidRPr="005B5969">
        <w:rPr>
          <w:rFonts w:ascii="Arial" w:eastAsia="Yu Mincho" w:hAnsi="Arial" w:cs="Arial"/>
          <w:b/>
          <w:bCs/>
          <w:sz w:val="28"/>
          <w:szCs w:val="28"/>
          <w:lang w:val="pl-PL"/>
        </w:rPr>
        <w:t xml:space="preserve">kracza w rok 2026 </w:t>
      </w:r>
      <w:r w:rsidR="0043304E">
        <w:rPr>
          <w:rFonts w:ascii="Arial" w:eastAsia="Yu Mincho" w:hAnsi="Arial" w:cs="Arial"/>
          <w:b/>
          <w:bCs/>
          <w:sz w:val="28"/>
          <w:szCs w:val="28"/>
          <w:lang w:val="pl-PL"/>
        </w:rPr>
        <w:t>z pozytywną dynamiką</w:t>
      </w:r>
    </w:p>
    <w:p w14:paraId="498BBF86" w14:textId="3A9C4EF5" w:rsidR="001F298D" w:rsidRPr="005B5969" w:rsidRDefault="00DD78B2" w:rsidP="00D17DB5">
      <w:pPr>
        <w:pStyle w:val="Akapitzlist"/>
        <w:numPr>
          <w:ilvl w:val="0"/>
          <w:numId w:val="2"/>
        </w:numPr>
        <w:tabs>
          <w:tab w:val="left" w:pos="5630"/>
        </w:tabs>
        <w:jc w:val="center"/>
        <w:rPr>
          <w:rFonts w:ascii="Arial" w:hAnsi="Arial" w:cs="Arial"/>
          <w:i/>
          <w:iCs/>
          <w:sz w:val="24"/>
          <w:szCs w:val="24"/>
          <w:lang w:val="pl-PL"/>
        </w:rPr>
      </w:pPr>
      <w:r w:rsidRPr="00687763">
        <w:rPr>
          <w:rFonts w:ascii="Arial" w:hAnsi="Arial" w:cs="Arial"/>
          <w:i/>
          <w:iCs/>
          <w:sz w:val="24"/>
          <w:szCs w:val="24"/>
          <w:lang w:val="pl-PL"/>
        </w:rPr>
        <w:t xml:space="preserve">Raport </w:t>
      </w:r>
      <w:r w:rsidR="00247901" w:rsidRPr="00687763">
        <w:rPr>
          <w:rFonts w:ascii="Arial" w:hAnsi="Arial" w:cs="Arial"/>
          <w:i/>
          <w:iCs/>
          <w:sz w:val="24"/>
          <w:szCs w:val="24"/>
          <w:lang w:val="pl-PL"/>
        </w:rPr>
        <w:t>C</w:t>
      </w:r>
      <w:r w:rsidR="001F298D" w:rsidRPr="00687763">
        <w:rPr>
          <w:rFonts w:ascii="Arial" w:hAnsi="Arial" w:cs="Arial"/>
          <w:i/>
          <w:iCs/>
          <w:sz w:val="24"/>
          <w:szCs w:val="24"/>
          <w:lang w:val="pl-PL"/>
        </w:rPr>
        <w:t>ushman &amp; Wakefield</w:t>
      </w:r>
      <w:r w:rsidRPr="00687763">
        <w:rPr>
          <w:rFonts w:ascii="Arial" w:hAnsi="Arial" w:cs="Arial"/>
          <w:i/>
          <w:iCs/>
          <w:sz w:val="24"/>
          <w:szCs w:val="24"/>
          <w:lang w:val="pl-PL"/>
        </w:rPr>
        <w:t xml:space="preserve"> pt.</w:t>
      </w:r>
      <w:r w:rsidR="001F298D" w:rsidRPr="00687763">
        <w:rPr>
          <w:rFonts w:ascii="Arial" w:hAnsi="Arial" w:cs="Arial"/>
          <w:i/>
          <w:iCs/>
          <w:sz w:val="24"/>
          <w:szCs w:val="24"/>
          <w:lang w:val="pl-PL"/>
        </w:rPr>
        <w:t xml:space="preserve"> </w:t>
      </w:r>
      <w:r w:rsidR="00235951" w:rsidRPr="006F7C99">
        <w:rPr>
          <w:rFonts w:ascii="Arial" w:hAnsi="Arial" w:cs="Arial"/>
          <w:i/>
          <w:iCs/>
          <w:sz w:val="24"/>
          <w:szCs w:val="24"/>
          <w:lang w:val="pl-PL"/>
        </w:rPr>
        <w:t>„</w:t>
      </w:r>
      <w:proofErr w:type="spellStart"/>
      <w:r w:rsidR="001F298D" w:rsidRPr="006F7C99">
        <w:rPr>
          <w:rFonts w:ascii="Arial" w:hAnsi="Arial" w:cs="Arial"/>
          <w:i/>
          <w:iCs/>
          <w:sz w:val="24"/>
          <w:szCs w:val="24"/>
          <w:lang w:val="pl-PL"/>
        </w:rPr>
        <w:t>European</w:t>
      </w:r>
      <w:proofErr w:type="spellEnd"/>
      <w:r w:rsidR="001F298D" w:rsidRPr="006F7C99">
        <w:rPr>
          <w:rFonts w:ascii="Arial" w:hAnsi="Arial" w:cs="Arial"/>
          <w:i/>
          <w:iCs/>
          <w:sz w:val="24"/>
          <w:szCs w:val="24"/>
          <w:lang w:val="pl-PL"/>
        </w:rPr>
        <w:t xml:space="preserve"> Outlook</w:t>
      </w:r>
      <w:r w:rsidR="001F298D" w:rsidRPr="00A93178">
        <w:rPr>
          <w:rFonts w:ascii="Arial" w:hAnsi="Arial" w:cs="Arial"/>
          <w:i/>
          <w:iCs/>
          <w:sz w:val="24"/>
          <w:szCs w:val="24"/>
          <w:lang w:val="pl-PL"/>
        </w:rPr>
        <w:t xml:space="preserve"> 2026</w:t>
      </w:r>
      <w:r w:rsidR="00235951" w:rsidRPr="00A93178">
        <w:rPr>
          <w:rFonts w:ascii="Arial" w:hAnsi="Arial" w:cs="Arial"/>
          <w:i/>
          <w:iCs/>
          <w:sz w:val="24"/>
          <w:szCs w:val="24"/>
          <w:lang w:val="pl-PL"/>
        </w:rPr>
        <w:t>”</w:t>
      </w:r>
      <w:r w:rsidR="001F298D" w:rsidRPr="00A93178">
        <w:rPr>
          <w:rFonts w:ascii="Arial" w:hAnsi="Arial" w:cs="Arial"/>
          <w:i/>
          <w:iCs/>
          <w:sz w:val="24"/>
          <w:szCs w:val="24"/>
          <w:lang w:val="pl-PL"/>
        </w:rPr>
        <w:t xml:space="preserve"> </w:t>
      </w:r>
      <w:r w:rsidR="00F703AB" w:rsidRPr="00A93178">
        <w:rPr>
          <w:rFonts w:ascii="Arial" w:hAnsi="Arial" w:cs="Arial"/>
          <w:i/>
          <w:iCs/>
          <w:sz w:val="24"/>
          <w:szCs w:val="24"/>
          <w:lang w:val="pl-PL"/>
        </w:rPr>
        <w:t>przedstawia</w:t>
      </w:r>
      <w:r w:rsidR="00F703AB" w:rsidRPr="005B5969">
        <w:rPr>
          <w:rFonts w:ascii="Arial" w:hAnsi="Arial" w:cs="Arial"/>
          <w:i/>
          <w:iCs/>
          <w:sz w:val="24"/>
          <w:szCs w:val="24"/>
          <w:lang w:val="pl-PL"/>
        </w:rPr>
        <w:t xml:space="preserve"> szczegółową analizę </w:t>
      </w:r>
      <w:r w:rsidR="00C61A85" w:rsidRPr="005B5969">
        <w:rPr>
          <w:rFonts w:ascii="Arial" w:hAnsi="Arial" w:cs="Arial"/>
          <w:i/>
          <w:iCs/>
          <w:sz w:val="24"/>
          <w:szCs w:val="24"/>
          <w:lang w:val="pl-PL"/>
        </w:rPr>
        <w:t>sił makroekonomicznych</w:t>
      </w:r>
      <w:r w:rsidR="00441936" w:rsidRPr="005B5969">
        <w:rPr>
          <w:rFonts w:ascii="Arial" w:hAnsi="Arial" w:cs="Arial"/>
          <w:i/>
          <w:iCs/>
          <w:sz w:val="24"/>
          <w:szCs w:val="24"/>
          <w:lang w:val="pl-PL"/>
        </w:rPr>
        <w:t xml:space="preserve">, które będą </w:t>
      </w:r>
      <w:r w:rsidR="009212B3">
        <w:rPr>
          <w:rFonts w:ascii="Arial" w:hAnsi="Arial" w:cs="Arial"/>
          <w:i/>
          <w:iCs/>
          <w:sz w:val="24"/>
          <w:szCs w:val="24"/>
          <w:lang w:val="pl-PL"/>
        </w:rPr>
        <w:t>oddziaływały</w:t>
      </w:r>
      <w:r w:rsidR="00441936" w:rsidRPr="005B5969">
        <w:rPr>
          <w:rFonts w:ascii="Arial" w:hAnsi="Arial" w:cs="Arial"/>
          <w:i/>
          <w:iCs/>
          <w:sz w:val="24"/>
          <w:szCs w:val="24"/>
          <w:lang w:val="pl-PL"/>
        </w:rPr>
        <w:t xml:space="preserve"> na </w:t>
      </w:r>
      <w:r w:rsidR="000A7339" w:rsidRPr="005B5969">
        <w:rPr>
          <w:rFonts w:ascii="Arial" w:hAnsi="Arial" w:cs="Arial"/>
          <w:i/>
          <w:iCs/>
          <w:sz w:val="24"/>
          <w:szCs w:val="24"/>
          <w:lang w:val="pl-PL"/>
        </w:rPr>
        <w:t>rynki nieruchomości komercyjnych w najbliższych latach</w:t>
      </w:r>
    </w:p>
    <w:p w14:paraId="113F6381" w14:textId="4D4FD8F8" w:rsidR="00247901" w:rsidRPr="005B5969" w:rsidRDefault="00EA05C6" w:rsidP="00247901">
      <w:pPr>
        <w:pStyle w:val="Akapitzlist"/>
        <w:numPr>
          <w:ilvl w:val="0"/>
          <w:numId w:val="2"/>
        </w:numPr>
        <w:tabs>
          <w:tab w:val="left" w:pos="5630"/>
        </w:tabs>
        <w:jc w:val="center"/>
        <w:rPr>
          <w:rFonts w:ascii="Arial" w:hAnsi="Arial" w:cs="Arial"/>
          <w:sz w:val="20"/>
          <w:szCs w:val="20"/>
          <w:lang w:val="pl-PL"/>
        </w:rPr>
      </w:pPr>
      <w:r w:rsidRPr="005B5969">
        <w:rPr>
          <w:rFonts w:ascii="Arial" w:hAnsi="Arial" w:cs="Arial"/>
          <w:i/>
          <w:iCs/>
          <w:sz w:val="24"/>
          <w:szCs w:val="24"/>
          <w:lang w:val="pl-PL"/>
        </w:rPr>
        <w:t xml:space="preserve">Rośnie zaufanie do </w:t>
      </w:r>
      <w:r w:rsidR="001674B5">
        <w:rPr>
          <w:rFonts w:ascii="Arial" w:hAnsi="Arial" w:cs="Arial"/>
          <w:i/>
          <w:iCs/>
          <w:sz w:val="24"/>
          <w:szCs w:val="24"/>
          <w:lang w:val="pl-PL"/>
        </w:rPr>
        <w:t xml:space="preserve">rynku </w:t>
      </w:r>
      <w:r w:rsidR="00FB13CE" w:rsidRPr="005B5969">
        <w:rPr>
          <w:rFonts w:ascii="Arial" w:hAnsi="Arial" w:cs="Arial"/>
          <w:i/>
          <w:iCs/>
          <w:sz w:val="24"/>
          <w:szCs w:val="24"/>
          <w:lang w:val="pl-PL"/>
        </w:rPr>
        <w:t xml:space="preserve">nieruchomości w Europie, co przełoży się na wzrosty w </w:t>
      </w:r>
      <w:r w:rsidR="001674B5">
        <w:rPr>
          <w:rFonts w:ascii="Arial" w:hAnsi="Arial" w:cs="Arial"/>
          <w:i/>
          <w:iCs/>
          <w:sz w:val="24"/>
          <w:szCs w:val="24"/>
          <w:lang w:val="pl-PL"/>
        </w:rPr>
        <w:t xml:space="preserve">jego </w:t>
      </w:r>
      <w:r w:rsidR="00FB13CE" w:rsidRPr="005B5969">
        <w:rPr>
          <w:rFonts w:ascii="Arial" w:hAnsi="Arial" w:cs="Arial"/>
          <w:i/>
          <w:iCs/>
          <w:sz w:val="24"/>
          <w:szCs w:val="24"/>
          <w:lang w:val="pl-PL"/>
        </w:rPr>
        <w:t xml:space="preserve">głównych sektorach </w:t>
      </w:r>
      <w:r w:rsidR="00836BA1">
        <w:rPr>
          <w:rFonts w:ascii="Arial" w:hAnsi="Arial" w:cs="Arial"/>
          <w:i/>
          <w:iCs/>
          <w:sz w:val="24"/>
          <w:szCs w:val="24"/>
          <w:lang w:val="pl-PL"/>
        </w:rPr>
        <w:t xml:space="preserve">dzięki </w:t>
      </w:r>
      <w:r w:rsidR="005A7D7E">
        <w:rPr>
          <w:rFonts w:ascii="Arial" w:hAnsi="Arial" w:cs="Arial"/>
          <w:i/>
          <w:iCs/>
          <w:sz w:val="24"/>
          <w:szCs w:val="24"/>
          <w:lang w:val="pl-PL"/>
        </w:rPr>
        <w:t xml:space="preserve">poprawie </w:t>
      </w:r>
      <w:r w:rsidR="00CA72E7" w:rsidRPr="005B5969">
        <w:rPr>
          <w:rFonts w:ascii="Arial" w:hAnsi="Arial" w:cs="Arial"/>
          <w:i/>
          <w:iCs/>
          <w:sz w:val="24"/>
          <w:szCs w:val="24"/>
          <w:lang w:val="pl-PL"/>
        </w:rPr>
        <w:t>kluczowych wskaźników i nastrojów wśród</w:t>
      </w:r>
      <w:r w:rsidR="00800413">
        <w:rPr>
          <w:rFonts w:ascii="Arial" w:hAnsi="Arial" w:cs="Arial"/>
          <w:i/>
          <w:iCs/>
          <w:sz w:val="24"/>
          <w:szCs w:val="24"/>
          <w:lang w:val="pl-PL"/>
        </w:rPr>
        <w:t xml:space="preserve"> </w:t>
      </w:r>
      <w:r w:rsidR="00275194">
        <w:rPr>
          <w:rFonts w:ascii="Arial" w:hAnsi="Arial" w:cs="Arial"/>
          <w:i/>
          <w:iCs/>
          <w:sz w:val="24"/>
          <w:szCs w:val="24"/>
          <w:lang w:val="pl-PL"/>
        </w:rPr>
        <w:t>inwestorów</w:t>
      </w:r>
      <w:r w:rsidR="00CA72E7" w:rsidRPr="005B5969">
        <w:rPr>
          <w:rFonts w:ascii="Arial" w:hAnsi="Arial" w:cs="Arial"/>
          <w:i/>
          <w:iCs/>
          <w:sz w:val="24"/>
          <w:szCs w:val="24"/>
          <w:lang w:val="pl-PL"/>
        </w:rPr>
        <w:t xml:space="preserve"> </w:t>
      </w:r>
    </w:p>
    <w:p w14:paraId="47D90DF3" w14:textId="2F2BB62F" w:rsidR="001F298D" w:rsidRPr="00247901" w:rsidRDefault="002E79C6" w:rsidP="00247901">
      <w:pPr>
        <w:tabs>
          <w:tab w:val="left" w:pos="5630"/>
        </w:tabs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247901">
        <w:rPr>
          <w:rFonts w:ascii="Arial" w:hAnsi="Arial" w:cs="Arial"/>
          <w:b/>
          <w:bCs/>
          <w:sz w:val="20"/>
          <w:szCs w:val="20"/>
          <w:lang w:val="pl-PL"/>
        </w:rPr>
        <w:t xml:space="preserve">Z najnowszych prognoz </w:t>
      </w:r>
      <w:r w:rsidR="00FA1C69" w:rsidRPr="00247901">
        <w:rPr>
          <w:rFonts w:ascii="Arial" w:hAnsi="Arial" w:cs="Arial"/>
          <w:b/>
          <w:bCs/>
          <w:sz w:val="20"/>
          <w:szCs w:val="20"/>
          <w:lang w:val="pl-PL"/>
        </w:rPr>
        <w:t>międzynarodowej firmy doradczej Cushman &amp; Wakefield przedstawionych w raporcie „</w:t>
      </w:r>
      <w:proofErr w:type="spellStart"/>
      <w:r w:rsidR="00FA1C69" w:rsidRPr="00247901">
        <w:rPr>
          <w:rFonts w:ascii="Arial" w:hAnsi="Arial" w:cs="Arial"/>
          <w:b/>
          <w:bCs/>
          <w:sz w:val="20"/>
          <w:szCs w:val="20"/>
          <w:lang w:val="pl-PL"/>
        </w:rPr>
        <w:t>European</w:t>
      </w:r>
      <w:proofErr w:type="spellEnd"/>
      <w:r w:rsidR="00FA1C69" w:rsidRPr="00247901">
        <w:rPr>
          <w:rFonts w:ascii="Arial" w:hAnsi="Arial" w:cs="Arial"/>
          <w:b/>
          <w:bCs/>
          <w:sz w:val="20"/>
          <w:szCs w:val="20"/>
          <w:lang w:val="pl-PL"/>
        </w:rPr>
        <w:t xml:space="preserve"> Outlook 2026” wynika, że </w:t>
      </w:r>
      <w:r w:rsidR="0089619D" w:rsidRPr="00247901">
        <w:rPr>
          <w:rFonts w:ascii="Arial" w:hAnsi="Arial" w:cs="Arial"/>
          <w:b/>
          <w:bCs/>
          <w:sz w:val="20"/>
          <w:szCs w:val="20"/>
          <w:lang w:val="pl-PL"/>
        </w:rPr>
        <w:t xml:space="preserve">po roku </w:t>
      </w:r>
      <w:r w:rsidR="00A40E06" w:rsidRPr="00247901">
        <w:rPr>
          <w:rFonts w:ascii="Arial" w:hAnsi="Arial" w:cs="Arial"/>
          <w:b/>
          <w:bCs/>
          <w:sz w:val="20"/>
          <w:szCs w:val="20"/>
          <w:lang w:val="pl-PL"/>
        </w:rPr>
        <w:t xml:space="preserve">naznaczonym niepewnością i </w:t>
      </w:r>
      <w:r w:rsidR="00842E48" w:rsidRPr="00247901">
        <w:rPr>
          <w:rFonts w:ascii="Arial" w:hAnsi="Arial" w:cs="Arial"/>
          <w:b/>
          <w:bCs/>
          <w:sz w:val="20"/>
          <w:szCs w:val="20"/>
          <w:lang w:val="pl-PL"/>
        </w:rPr>
        <w:t>adaptacją</w:t>
      </w:r>
      <w:r w:rsidR="002509C4" w:rsidRPr="00247901">
        <w:rPr>
          <w:rFonts w:ascii="Arial" w:hAnsi="Arial" w:cs="Arial"/>
          <w:b/>
          <w:bCs/>
          <w:sz w:val="20"/>
          <w:szCs w:val="20"/>
          <w:lang w:val="pl-PL"/>
        </w:rPr>
        <w:t xml:space="preserve"> do nowych realiów</w:t>
      </w:r>
      <w:r w:rsidR="00800413">
        <w:rPr>
          <w:rFonts w:ascii="Arial" w:hAnsi="Arial" w:cs="Arial"/>
          <w:b/>
          <w:bCs/>
          <w:sz w:val="20"/>
          <w:szCs w:val="20"/>
          <w:lang w:val="pl-PL"/>
        </w:rPr>
        <w:t>,</w:t>
      </w:r>
      <w:r w:rsidR="002509C4" w:rsidRPr="00247901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 w:rsidR="004C7E60" w:rsidRPr="00247901">
        <w:rPr>
          <w:rFonts w:ascii="Arial" w:hAnsi="Arial" w:cs="Arial"/>
          <w:b/>
          <w:bCs/>
          <w:sz w:val="20"/>
          <w:szCs w:val="20"/>
          <w:lang w:val="pl-PL"/>
        </w:rPr>
        <w:t>europe</w:t>
      </w:r>
      <w:r w:rsidR="00941A02" w:rsidRPr="00247901">
        <w:rPr>
          <w:rFonts w:ascii="Arial" w:hAnsi="Arial" w:cs="Arial"/>
          <w:b/>
          <w:bCs/>
          <w:sz w:val="20"/>
          <w:szCs w:val="20"/>
          <w:lang w:val="pl-PL"/>
        </w:rPr>
        <w:t xml:space="preserve">jskie </w:t>
      </w:r>
      <w:r w:rsidR="002509C4" w:rsidRPr="00247901">
        <w:rPr>
          <w:rFonts w:ascii="Arial" w:hAnsi="Arial" w:cs="Arial"/>
          <w:b/>
          <w:bCs/>
          <w:sz w:val="20"/>
          <w:szCs w:val="20"/>
          <w:lang w:val="pl-PL"/>
        </w:rPr>
        <w:t xml:space="preserve">rynki nieruchomości </w:t>
      </w:r>
      <w:r w:rsidR="00A47197" w:rsidRPr="00247901">
        <w:rPr>
          <w:rFonts w:ascii="Arial" w:hAnsi="Arial" w:cs="Arial"/>
          <w:b/>
          <w:bCs/>
          <w:sz w:val="20"/>
          <w:szCs w:val="20"/>
          <w:lang w:val="pl-PL"/>
        </w:rPr>
        <w:t xml:space="preserve">wkraczają w rok 2026 z </w:t>
      </w:r>
      <w:r w:rsidR="00EC5697" w:rsidRPr="00247901">
        <w:rPr>
          <w:rFonts w:ascii="Arial" w:hAnsi="Arial" w:cs="Arial"/>
          <w:b/>
          <w:bCs/>
          <w:sz w:val="20"/>
          <w:szCs w:val="20"/>
          <w:lang w:val="pl-PL"/>
        </w:rPr>
        <w:t>większym optymizmem.</w:t>
      </w:r>
    </w:p>
    <w:p w14:paraId="6CF9050E" w14:textId="59AF343D" w:rsidR="001F298D" w:rsidRPr="005B5969" w:rsidRDefault="00D206BF" w:rsidP="00247901">
      <w:pPr>
        <w:tabs>
          <w:tab w:val="left" w:pos="5630"/>
        </w:tabs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5B5969">
        <w:rPr>
          <w:rFonts w:ascii="Arial" w:hAnsi="Arial" w:cs="Arial"/>
          <w:sz w:val="20"/>
          <w:szCs w:val="20"/>
          <w:lang w:val="pl-PL"/>
        </w:rPr>
        <w:t xml:space="preserve">Ożywienie w regionie napędzać </w:t>
      </w:r>
      <w:r w:rsidR="00932272" w:rsidRPr="005B5969">
        <w:rPr>
          <w:rFonts w:ascii="Arial" w:hAnsi="Arial" w:cs="Arial"/>
          <w:sz w:val="20"/>
          <w:szCs w:val="20"/>
          <w:lang w:val="pl-PL"/>
        </w:rPr>
        <w:t xml:space="preserve">będzie stabilizacja </w:t>
      </w:r>
      <w:r w:rsidR="000B37C6" w:rsidRPr="005B5969">
        <w:rPr>
          <w:rFonts w:ascii="Arial" w:hAnsi="Arial" w:cs="Arial"/>
          <w:sz w:val="20"/>
          <w:szCs w:val="20"/>
          <w:lang w:val="pl-PL"/>
        </w:rPr>
        <w:t xml:space="preserve">warunków ekonomicznych, </w:t>
      </w:r>
      <w:r w:rsidR="00632BFF" w:rsidRPr="005B5969">
        <w:rPr>
          <w:rFonts w:ascii="Arial" w:hAnsi="Arial" w:cs="Arial"/>
          <w:sz w:val="20"/>
          <w:szCs w:val="20"/>
          <w:lang w:val="pl-PL"/>
        </w:rPr>
        <w:t xml:space="preserve">niższe koszty finansowania oraz strukturalne czynniki wzrostu. </w:t>
      </w:r>
      <w:r w:rsidR="00BA182C" w:rsidRPr="005B5969">
        <w:rPr>
          <w:rFonts w:ascii="Arial" w:hAnsi="Arial" w:cs="Arial"/>
          <w:sz w:val="20"/>
          <w:szCs w:val="20"/>
          <w:lang w:val="pl-PL"/>
        </w:rPr>
        <w:t xml:space="preserve">Zarówno inwestorzy, jak i najemcy </w:t>
      </w:r>
      <w:r w:rsidR="000216E2">
        <w:rPr>
          <w:rFonts w:ascii="Arial" w:hAnsi="Arial" w:cs="Arial"/>
          <w:sz w:val="20"/>
          <w:szCs w:val="20"/>
          <w:lang w:val="pl-PL"/>
        </w:rPr>
        <w:t xml:space="preserve">zaczynają </w:t>
      </w:r>
      <w:r w:rsidR="00EB35CE">
        <w:rPr>
          <w:rFonts w:ascii="Arial" w:hAnsi="Arial" w:cs="Arial"/>
          <w:sz w:val="20"/>
          <w:szCs w:val="20"/>
          <w:lang w:val="pl-PL"/>
        </w:rPr>
        <w:t>przechodzić do</w:t>
      </w:r>
      <w:r w:rsidR="00C2435A">
        <w:rPr>
          <w:rFonts w:ascii="Arial" w:hAnsi="Arial" w:cs="Arial"/>
          <w:sz w:val="20"/>
          <w:szCs w:val="20"/>
          <w:lang w:val="pl-PL"/>
        </w:rPr>
        <w:t xml:space="preserve"> </w:t>
      </w:r>
      <w:r w:rsidR="00945453">
        <w:rPr>
          <w:rFonts w:ascii="Arial" w:hAnsi="Arial" w:cs="Arial"/>
          <w:sz w:val="20"/>
          <w:szCs w:val="20"/>
          <w:lang w:val="pl-PL"/>
        </w:rPr>
        <w:t>działania</w:t>
      </w:r>
      <w:r w:rsidR="00EF08A6">
        <w:rPr>
          <w:rFonts w:ascii="Arial" w:hAnsi="Arial" w:cs="Arial"/>
          <w:sz w:val="20"/>
          <w:szCs w:val="20"/>
          <w:lang w:val="pl-PL"/>
        </w:rPr>
        <w:t xml:space="preserve"> po okresie ostrożności</w:t>
      </w:r>
      <w:r w:rsidR="00C10C16" w:rsidRPr="005B5969">
        <w:rPr>
          <w:rFonts w:ascii="Arial" w:hAnsi="Arial" w:cs="Arial"/>
          <w:sz w:val="20"/>
          <w:szCs w:val="20"/>
          <w:lang w:val="pl-PL"/>
        </w:rPr>
        <w:t xml:space="preserve">, koncentrując się </w:t>
      </w:r>
      <w:r w:rsidR="00E7688C">
        <w:rPr>
          <w:rFonts w:ascii="Arial" w:hAnsi="Arial" w:cs="Arial"/>
          <w:sz w:val="20"/>
          <w:szCs w:val="20"/>
          <w:lang w:val="pl-PL"/>
        </w:rPr>
        <w:t>przede wszystkim</w:t>
      </w:r>
      <w:r w:rsidR="00C10C16" w:rsidRPr="005B5969">
        <w:rPr>
          <w:rFonts w:ascii="Arial" w:hAnsi="Arial" w:cs="Arial"/>
          <w:sz w:val="20"/>
          <w:szCs w:val="20"/>
          <w:lang w:val="pl-PL"/>
        </w:rPr>
        <w:t xml:space="preserve"> na najbardziej atrakcyjnych </w:t>
      </w:r>
      <w:r w:rsidR="00C808F4">
        <w:rPr>
          <w:rFonts w:ascii="Arial" w:hAnsi="Arial" w:cs="Arial"/>
          <w:sz w:val="20"/>
          <w:szCs w:val="20"/>
          <w:lang w:val="pl-PL"/>
        </w:rPr>
        <w:t>nieruchomościach</w:t>
      </w:r>
      <w:r w:rsidR="00C10C16" w:rsidRPr="005B5969">
        <w:rPr>
          <w:rFonts w:ascii="Arial" w:hAnsi="Arial" w:cs="Arial"/>
          <w:sz w:val="20"/>
          <w:szCs w:val="20"/>
          <w:lang w:val="pl-PL"/>
        </w:rPr>
        <w:t>, które spełniają standardy ESG.</w:t>
      </w:r>
      <w:r w:rsidR="001F298D" w:rsidRPr="005B5969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2843EBDD" w14:textId="5F43C28D" w:rsidR="001F298D" w:rsidRDefault="00450ED2" w:rsidP="00247901">
      <w:pPr>
        <w:tabs>
          <w:tab w:val="left" w:pos="5630"/>
        </w:tabs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</w:pPr>
      <w:r w:rsidRPr="0059308E">
        <w:rPr>
          <w:rFonts w:ascii="Arial" w:hAnsi="Arial" w:cs="Arial"/>
          <w:sz w:val="20"/>
          <w:szCs w:val="20"/>
          <w:lang w:val="pl-PL"/>
        </w:rPr>
        <w:t>–</w:t>
      </w:r>
      <w:r w:rsidR="00247901"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  <w:t xml:space="preserve"> </w:t>
      </w:r>
      <w:r w:rsidR="00027224" w:rsidRPr="005B5969"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  <w:t>Pod koniec bieżącego roku</w:t>
      </w:r>
      <w:r w:rsidR="005E7342" w:rsidRPr="005B5969"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  <w:t xml:space="preserve"> </w:t>
      </w:r>
      <w:r w:rsidR="00FB3FDD"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  <w:t>odnotowaliśmy</w:t>
      </w:r>
      <w:r w:rsidR="00913571" w:rsidRPr="005B5969"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  <w:t xml:space="preserve"> </w:t>
      </w:r>
      <w:r w:rsidR="000360EC" w:rsidRPr="005B5969"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  <w:t>wyraźną</w:t>
      </w:r>
      <w:r w:rsidR="00913571" w:rsidRPr="005B5969"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  <w:t xml:space="preserve"> zmianę nastrojów. </w:t>
      </w:r>
      <w:r w:rsidR="00F75B71" w:rsidRPr="005B5969"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  <w:t xml:space="preserve">Mimo iż poziom niepewności </w:t>
      </w:r>
      <w:r w:rsidR="000360EC" w:rsidRPr="005B5969"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  <w:t>znacząco się zmniejszył</w:t>
      </w:r>
      <w:r w:rsidR="00A91F28" w:rsidRPr="005B5969"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  <w:t xml:space="preserve"> i </w:t>
      </w:r>
      <w:r w:rsidR="005B4C7C" w:rsidRPr="005B5969"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  <w:t xml:space="preserve">rośnie zaufanie do sektora nieruchomości komercyjnych, nadal </w:t>
      </w:r>
      <w:r w:rsidR="00BC7CCC" w:rsidRPr="005B5969"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  <w:t xml:space="preserve">istnieje ryzyko </w:t>
      </w:r>
      <w:r w:rsidR="00021677" w:rsidRPr="005B5969"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  <w:t xml:space="preserve">zarówno </w:t>
      </w:r>
      <w:r w:rsidR="00C02AD6"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  <w:t>odbicia</w:t>
      </w:r>
      <w:r w:rsidR="00021677" w:rsidRPr="005B5969"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  <w:t xml:space="preserve">, jak i </w:t>
      </w:r>
      <w:r w:rsidR="00C31D3B" w:rsidRPr="005B5969"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  <w:t xml:space="preserve">pogorszenia </w:t>
      </w:r>
      <w:r w:rsidR="0056276A"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  <w:t>sytuacji na rynku</w:t>
      </w:r>
      <w:r w:rsidR="002D5946" w:rsidRPr="005B5969"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  <w:t>.</w:t>
      </w:r>
      <w:r w:rsidR="00A237E8" w:rsidRPr="005B5969"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  <w:t xml:space="preserve"> Obserwujemy ponowny napływ kapitału, </w:t>
      </w:r>
      <w:r w:rsidR="00CA3F71" w:rsidRPr="005B5969"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  <w:t xml:space="preserve">stabilne </w:t>
      </w:r>
      <w:r w:rsidR="0059768A"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  <w:t>stopy procentowe lub ich obniżki</w:t>
      </w:r>
      <w:r w:rsidR="002D1AE9" w:rsidRPr="005B5969"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  <w:t xml:space="preserve"> oraz stabilizacj</w:t>
      </w:r>
      <w:r w:rsidR="00734152"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  <w:t>ę</w:t>
      </w:r>
      <w:r w:rsidR="002D1AE9" w:rsidRPr="005B5969"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  <w:t xml:space="preserve"> lub poprawę wskaźników na rynkach najmu. </w:t>
      </w:r>
      <w:r w:rsidR="007F773B" w:rsidRPr="005B5969"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  <w:t xml:space="preserve">Jeśli rok 2025 był testem odporności, </w:t>
      </w:r>
      <w:r w:rsidR="00B30574"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  <w:t xml:space="preserve">to </w:t>
      </w:r>
      <w:r w:rsidR="007F773B" w:rsidRPr="005B5969"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  <w:t>rok 2026</w:t>
      </w:r>
      <w:r w:rsidR="006B403F" w:rsidRPr="005B5969"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  <w:t xml:space="preserve"> ma realne szanse to wynagrodzić</w:t>
      </w:r>
      <w:r w:rsidR="00247901"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  <w:t xml:space="preserve"> </w:t>
      </w:r>
      <w:r w:rsidRPr="0059308E">
        <w:rPr>
          <w:rFonts w:ascii="Arial" w:hAnsi="Arial" w:cs="Arial"/>
          <w:sz w:val="20"/>
          <w:szCs w:val="20"/>
          <w:lang w:val="pl-PL"/>
        </w:rPr>
        <w:t>–</w:t>
      </w:r>
      <w:r w:rsidR="00247901">
        <w:rPr>
          <w:rFonts w:ascii="Arial" w:hAnsi="Arial" w:cs="Arial"/>
          <w:i/>
          <w:iCs/>
          <w:color w:val="000000" w:themeColor="text1"/>
          <w:sz w:val="20"/>
          <w:szCs w:val="20"/>
          <w:lang w:val="pl-PL"/>
        </w:rPr>
        <w:t xml:space="preserve"> </w:t>
      </w:r>
      <w:r w:rsidR="00851613" w:rsidRPr="005B5969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mówi </w:t>
      </w:r>
      <w:r w:rsidR="00851613" w:rsidRPr="005B5969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Kevin </w:t>
      </w:r>
      <w:proofErr w:type="spellStart"/>
      <w:r w:rsidR="00851613" w:rsidRPr="005B5969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Thorpe</w:t>
      </w:r>
      <w:proofErr w:type="spellEnd"/>
      <w:r w:rsidR="00851613" w:rsidRPr="005B5969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, </w:t>
      </w:r>
      <w:r w:rsidR="007647FC" w:rsidRPr="005B5969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Główny </w:t>
      </w:r>
      <w:r w:rsidR="002B343F" w:rsidRPr="005B5969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Ekonomista w Cushman &amp; Wakefield.</w:t>
      </w:r>
    </w:p>
    <w:p w14:paraId="7ED35A48" w14:textId="5EBAA81B" w:rsidR="00247901" w:rsidRDefault="00E14A85" w:rsidP="00247901">
      <w:pPr>
        <w:tabs>
          <w:tab w:val="left" w:pos="5630"/>
        </w:tabs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Rosnący optymizm widać też na polskim rynku nieruchomości komercyjnych</w:t>
      </w:r>
      <w:r w:rsidR="0059308E">
        <w:rPr>
          <w:rFonts w:ascii="Arial" w:hAnsi="Arial" w:cs="Arial"/>
          <w:sz w:val="20"/>
          <w:szCs w:val="20"/>
          <w:lang w:val="pl-PL"/>
        </w:rPr>
        <w:t>.</w:t>
      </w:r>
    </w:p>
    <w:p w14:paraId="413A99B9" w14:textId="406B1284" w:rsidR="0059308E" w:rsidRPr="005B5969" w:rsidRDefault="00450ED2" w:rsidP="00247901">
      <w:pPr>
        <w:tabs>
          <w:tab w:val="left" w:pos="5630"/>
        </w:tabs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59308E">
        <w:rPr>
          <w:rFonts w:ascii="Arial" w:hAnsi="Arial" w:cs="Arial"/>
          <w:sz w:val="20"/>
          <w:szCs w:val="20"/>
          <w:lang w:val="pl-PL"/>
        </w:rPr>
        <w:t>–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="0059308E" w:rsidRPr="0059308E">
        <w:rPr>
          <w:rFonts w:ascii="Arial" w:hAnsi="Arial" w:cs="Arial"/>
          <w:i/>
          <w:iCs/>
          <w:sz w:val="20"/>
          <w:szCs w:val="20"/>
          <w:lang w:val="pl-PL"/>
        </w:rPr>
        <w:t xml:space="preserve">W Polsce mamy dziś do czynienia ze stabilizacją, ale nie oznacza to </w:t>
      </w:r>
      <w:r w:rsidR="0059308E" w:rsidRPr="00450ED2">
        <w:rPr>
          <w:rFonts w:ascii="Arial" w:hAnsi="Arial" w:cs="Arial"/>
          <w:i/>
          <w:iCs/>
          <w:sz w:val="20"/>
          <w:szCs w:val="20"/>
          <w:lang w:val="pl-PL"/>
        </w:rPr>
        <w:t>niższej</w:t>
      </w:r>
      <w:r w:rsidR="0059308E" w:rsidRPr="0059308E">
        <w:rPr>
          <w:rFonts w:ascii="Arial" w:hAnsi="Arial" w:cs="Arial"/>
          <w:i/>
          <w:iCs/>
          <w:sz w:val="20"/>
          <w:szCs w:val="20"/>
          <w:lang w:val="pl-PL"/>
        </w:rPr>
        <w:t xml:space="preserve"> dynamiki zmian. Wręcz przeciwnie – transformacja rynku nabiera tempa. Polska znalazła się w gronie zaledwie siedmiu europejskich krajów uznanych za lokalizacje o silnym potencjale wzrostu dla inwestycji w strategiczne branże, takie jak obronność, technologie czystej energii, surowce krytyczne i life </w:t>
      </w:r>
      <w:proofErr w:type="spellStart"/>
      <w:r w:rsidR="0059308E" w:rsidRPr="0059308E">
        <w:rPr>
          <w:rFonts w:ascii="Arial" w:hAnsi="Arial" w:cs="Arial"/>
          <w:i/>
          <w:iCs/>
          <w:sz w:val="20"/>
          <w:szCs w:val="20"/>
          <w:lang w:val="pl-PL"/>
        </w:rPr>
        <w:t>sciences</w:t>
      </w:r>
      <w:proofErr w:type="spellEnd"/>
      <w:r w:rsidRPr="00450ED2">
        <w:rPr>
          <w:rFonts w:ascii="Arial" w:hAnsi="Arial" w:cs="Arial"/>
          <w:i/>
          <w:iCs/>
          <w:sz w:val="20"/>
          <w:szCs w:val="20"/>
          <w:lang w:val="pl-PL"/>
        </w:rPr>
        <w:t xml:space="preserve">. </w:t>
      </w:r>
      <w:r w:rsidRPr="0059308E">
        <w:rPr>
          <w:rFonts w:ascii="Arial" w:hAnsi="Arial" w:cs="Arial"/>
          <w:i/>
          <w:iCs/>
          <w:sz w:val="20"/>
          <w:szCs w:val="20"/>
          <w:lang w:val="pl-PL"/>
        </w:rPr>
        <w:t xml:space="preserve">Rosnące </w:t>
      </w:r>
      <w:r w:rsidRPr="00450ED2">
        <w:rPr>
          <w:rFonts w:ascii="Arial" w:hAnsi="Arial" w:cs="Arial"/>
          <w:i/>
          <w:iCs/>
          <w:sz w:val="20"/>
          <w:szCs w:val="20"/>
          <w:lang w:val="pl-PL"/>
        </w:rPr>
        <w:t xml:space="preserve">inwestycje </w:t>
      </w:r>
      <w:r w:rsidRPr="0059308E">
        <w:rPr>
          <w:rFonts w:ascii="Arial" w:hAnsi="Arial" w:cs="Arial"/>
          <w:i/>
          <w:iCs/>
          <w:sz w:val="20"/>
          <w:szCs w:val="20"/>
          <w:lang w:val="pl-PL"/>
        </w:rPr>
        <w:t xml:space="preserve">w te cztery sektory stają się </w:t>
      </w:r>
      <w:r w:rsidRPr="00450ED2">
        <w:rPr>
          <w:rFonts w:ascii="Arial" w:hAnsi="Arial" w:cs="Arial"/>
          <w:i/>
          <w:iCs/>
          <w:sz w:val="20"/>
          <w:szCs w:val="20"/>
          <w:lang w:val="pl-PL"/>
        </w:rPr>
        <w:t xml:space="preserve">z kolei </w:t>
      </w:r>
      <w:r w:rsidRPr="0059308E">
        <w:rPr>
          <w:rFonts w:ascii="Arial" w:hAnsi="Arial" w:cs="Arial"/>
          <w:i/>
          <w:iCs/>
          <w:sz w:val="20"/>
          <w:szCs w:val="20"/>
          <w:lang w:val="pl-PL"/>
        </w:rPr>
        <w:t>silnym motorem popytu na powierzchnie przemysłowo-logistyczne</w:t>
      </w:r>
      <w:r w:rsidR="0059308E" w:rsidRPr="0059308E">
        <w:rPr>
          <w:rFonts w:ascii="Arial" w:hAnsi="Arial" w:cs="Arial"/>
          <w:i/>
          <w:iCs/>
          <w:sz w:val="20"/>
          <w:szCs w:val="20"/>
          <w:lang w:val="pl-PL"/>
        </w:rPr>
        <w:t xml:space="preserve"> </w:t>
      </w:r>
      <w:r w:rsidR="0059308E" w:rsidRPr="0059308E">
        <w:rPr>
          <w:rFonts w:ascii="Arial" w:hAnsi="Arial" w:cs="Arial"/>
          <w:sz w:val="20"/>
          <w:szCs w:val="20"/>
          <w:lang w:val="pl-PL"/>
        </w:rPr>
        <w:t xml:space="preserve">– komentuje </w:t>
      </w:r>
      <w:r w:rsidR="0059308E" w:rsidRPr="0059308E">
        <w:rPr>
          <w:rFonts w:ascii="Arial" w:hAnsi="Arial" w:cs="Arial"/>
          <w:b/>
          <w:bCs/>
          <w:sz w:val="20"/>
          <w:szCs w:val="20"/>
          <w:lang w:val="pl-PL"/>
        </w:rPr>
        <w:t xml:space="preserve">Krzysztof Misiak, </w:t>
      </w:r>
      <w:proofErr w:type="spellStart"/>
      <w:r w:rsidR="0059308E" w:rsidRPr="0059308E">
        <w:rPr>
          <w:rFonts w:ascii="Arial" w:hAnsi="Arial" w:cs="Arial"/>
          <w:b/>
          <w:bCs/>
          <w:sz w:val="20"/>
          <w:szCs w:val="20"/>
          <w:lang w:val="pl-PL"/>
        </w:rPr>
        <w:t>Head</w:t>
      </w:r>
      <w:proofErr w:type="spellEnd"/>
      <w:r w:rsidR="0059308E" w:rsidRPr="0059308E">
        <w:rPr>
          <w:rFonts w:ascii="Arial" w:hAnsi="Arial" w:cs="Arial"/>
          <w:b/>
          <w:bCs/>
          <w:sz w:val="20"/>
          <w:szCs w:val="20"/>
          <w:lang w:val="pl-PL"/>
        </w:rPr>
        <w:t xml:space="preserve"> of Cushman &amp; Wakefield Polska.</w:t>
      </w:r>
      <w:r w:rsidR="0059308E" w:rsidRPr="0059308E">
        <w:rPr>
          <w:rFonts w:ascii="Arial" w:hAnsi="Arial" w:cs="Arial"/>
          <w:sz w:val="20"/>
          <w:szCs w:val="20"/>
          <w:lang w:val="pl-PL"/>
        </w:rPr>
        <w:t xml:space="preserve"> –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450ED2">
        <w:rPr>
          <w:rFonts w:ascii="Arial" w:hAnsi="Arial" w:cs="Arial"/>
          <w:i/>
          <w:iCs/>
          <w:sz w:val="20"/>
          <w:szCs w:val="20"/>
          <w:lang w:val="pl-PL"/>
        </w:rPr>
        <w:t>D</w:t>
      </w:r>
      <w:r w:rsidR="0059308E" w:rsidRPr="0059308E">
        <w:rPr>
          <w:rFonts w:ascii="Arial" w:hAnsi="Arial" w:cs="Arial"/>
          <w:i/>
          <w:iCs/>
          <w:sz w:val="20"/>
          <w:szCs w:val="20"/>
          <w:lang w:val="pl-PL"/>
        </w:rPr>
        <w:t xml:space="preserve">ynamiczne odbicie </w:t>
      </w:r>
      <w:r w:rsidRPr="00450ED2">
        <w:rPr>
          <w:rFonts w:ascii="Arial" w:hAnsi="Arial" w:cs="Arial"/>
          <w:i/>
          <w:iCs/>
          <w:sz w:val="20"/>
          <w:szCs w:val="20"/>
          <w:lang w:val="pl-PL"/>
        </w:rPr>
        <w:t xml:space="preserve">obserwujemy </w:t>
      </w:r>
      <w:r w:rsidR="0059308E" w:rsidRPr="0059308E">
        <w:rPr>
          <w:rFonts w:ascii="Arial" w:hAnsi="Arial" w:cs="Arial"/>
          <w:i/>
          <w:iCs/>
          <w:sz w:val="20"/>
          <w:szCs w:val="20"/>
          <w:lang w:val="pl-PL"/>
        </w:rPr>
        <w:t>na rynku hotelowym</w:t>
      </w:r>
      <w:r w:rsidR="0059308E" w:rsidRPr="00450ED2">
        <w:rPr>
          <w:rFonts w:ascii="Arial" w:hAnsi="Arial" w:cs="Arial"/>
          <w:i/>
          <w:iCs/>
          <w:sz w:val="20"/>
          <w:szCs w:val="20"/>
          <w:lang w:val="pl-PL"/>
        </w:rPr>
        <w:t xml:space="preserve">, na którym liczba noclegów rezerwowanych przez zagranicznych turystów </w:t>
      </w:r>
      <w:r w:rsidR="00800413" w:rsidRPr="00450ED2">
        <w:rPr>
          <w:rFonts w:ascii="Arial" w:hAnsi="Arial" w:cs="Arial"/>
          <w:i/>
          <w:iCs/>
          <w:sz w:val="20"/>
          <w:szCs w:val="20"/>
          <w:lang w:val="pl-PL"/>
        </w:rPr>
        <w:t xml:space="preserve">w pierwszej połowie tego </w:t>
      </w:r>
      <w:r w:rsidR="00800413">
        <w:rPr>
          <w:rFonts w:ascii="Arial" w:hAnsi="Arial" w:cs="Arial"/>
          <w:i/>
          <w:iCs/>
          <w:sz w:val="20"/>
          <w:szCs w:val="20"/>
          <w:lang w:val="pl-PL"/>
        </w:rPr>
        <w:t>ro</w:t>
      </w:r>
      <w:r w:rsidR="00800413" w:rsidRPr="00450ED2">
        <w:rPr>
          <w:rFonts w:ascii="Arial" w:hAnsi="Arial" w:cs="Arial"/>
          <w:i/>
          <w:iCs/>
          <w:sz w:val="20"/>
          <w:szCs w:val="20"/>
          <w:lang w:val="pl-PL"/>
        </w:rPr>
        <w:t xml:space="preserve">ku </w:t>
      </w:r>
      <w:r w:rsidR="0059308E" w:rsidRPr="00450ED2">
        <w:rPr>
          <w:rFonts w:ascii="Arial" w:hAnsi="Arial" w:cs="Arial"/>
          <w:i/>
          <w:iCs/>
          <w:sz w:val="20"/>
          <w:szCs w:val="20"/>
          <w:lang w:val="pl-PL"/>
        </w:rPr>
        <w:t>prze</w:t>
      </w:r>
      <w:r w:rsidRPr="00450ED2">
        <w:rPr>
          <w:rFonts w:ascii="Arial" w:hAnsi="Arial" w:cs="Arial"/>
          <w:i/>
          <w:iCs/>
          <w:sz w:val="20"/>
          <w:szCs w:val="20"/>
          <w:lang w:val="pl-PL"/>
        </w:rPr>
        <w:t>biła poziomy notowane jeszcze przed pandemią. W</w:t>
      </w:r>
      <w:r w:rsidR="0059308E" w:rsidRPr="0059308E">
        <w:rPr>
          <w:rFonts w:ascii="Arial" w:hAnsi="Arial" w:cs="Arial"/>
          <w:i/>
          <w:iCs/>
          <w:sz w:val="20"/>
          <w:szCs w:val="20"/>
          <w:lang w:val="pl-PL"/>
        </w:rPr>
        <w:t>ysoką aktywność</w:t>
      </w:r>
      <w:r w:rsidRPr="00450ED2">
        <w:rPr>
          <w:rFonts w:ascii="Arial" w:hAnsi="Arial" w:cs="Arial"/>
          <w:i/>
          <w:iCs/>
          <w:sz w:val="20"/>
          <w:szCs w:val="20"/>
          <w:lang w:val="pl-PL"/>
        </w:rPr>
        <w:t xml:space="preserve"> utrzymuje te</w:t>
      </w:r>
      <w:r w:rsidR="00687763">
        <w:rPr>
          <w:rFonts w:ascii="Arial" w:hAnsi="Arial" w:cs="Arial"/>
          <w:i/>
          <w:iCs/>
          <w:sz w:val="20"/>
          <w:szCs w:val="20"/>
          <w:lang w:val="pl-PL"/>
        </w:rPr>
        <w:t>ż</w:t>
      </w:r>
      <w:r w:rsidRPr="00450ED2">
        <w:rPr>
          <w:rFonts w:ascii="Arial" w:hAnsi="Arial" w:cs="Arial"/>
          <w:i/>
          <w:iCs/>
          <w:sz w:val="20"/>
          <w:szCs w:val="20"/>
          <w:lang w:val="pl-PL"/>
        </w:rPr>
        <w:t xml:space="preserve"> rynek handlowy </w:t>
      </w:r>
      <w:r w:rsidR="0059308E" w:rsidRPr="0059308E">
        <w:rPr>
          <w:rFonts w:ascii="Arial" w:hAnsi="Arial" w:cs="Arial"/>
          <w:i/>
          <w:iCs/>
          <w:sz w:val="20"/>
          <w:szCs w:val="20"/>
          <w:lang w:val="pl-PL"/>
        </w:rPr>
        <w:t xml:space="preserve">– trwa boom na budowę parków handlowych, pojawiają się kolejne debiuty sieci, a średnie czynsze w obiektach </w:t>
      </w:r>
      <w:proofErr w:type="spellStart"/>
      <w:r w:rsidR="0059308E" w:rsidRPr="0059308E">
        <w:rPr>
          <w:rFonts w:ascii="Arial" w:hAnsi="Arial" w:cs="Arial"/>
          <w:i/>
          <w:iCs/>
          <w:sz w:val="20"/>
          <w:szCs w:val="20"/>
          <w:lang w:val="pl-PL"/>
        </w:rPr>
        <w:t>prime</w:t>
      </w:r>
      <w:proofErr w:type="spellEnd"/>
      <w:r w:rsidR="0059308E" w:rsidRPr="0059308E">
        <w:rPr>
          <w:rFonts w:ascii="Arial" w:hAnsi="Arial" w:cs="Arial"/>
          <w:i/>
          <w:iCs/>
          <w:sz w:val="20"/>
          <w:szCs w:val="20"/>
          <w:lang w:val="pl-PL"/>
        </w:rPr>
        <w:t xml:space="preserve"> rosną we wszystkich formatach: w centrach, parkach i </w:t>
      </w:r>
      <w:r w:rsidRPr="00450ED2">
        <w:rPr>
          <w:rFonts w:ascii="Arial" w:hAnsi="Arial" w:cs="Arial"/>
          <w:i/>
          <w:iCs/>
          <w:sz w:val="20"/>
          <w:szCs w:val="20"/>
          <w:lang w:val="pl-PL"/>
        </w:rPr>
        <w:t>przy</w:t>
      </w:r>
      <w:r w:rsidR="0059308E" w:rsidRPr="0059308E">
        <w:rPr>
          <w:rFonts w:ascii="Arial" w:hAnsi="Arial" w:cs="Arial"/>
          <w:i/>
          <w:iCs/>
          <w:sz w:val="20"/>
          <w:szCs w:val="20"/>
          <w:lang w:val="pl-PL"/>
        </w:rPr>
        <w:t xml:space="preserve"> ulicach handlowych. Co istotne, tempo wzrostu przewyższa poziom indeksacji o wskaźnik inflacji, co potwierdza silny popyt i ograniczoną dostępność najbardziej atrakcyjnych lokalizacji.</w:t>
      </w:r>
      <w:r w:rsidRPr="00450ED2">
        <w:rPr>
          <w:rFonts w:ascii="Arial" w:hAnsi="Arial" w:cs="Arial"/>
          <w:i/>
          <w:iCs/>
          <w:sz w:val="20"/>
          <w:szCs w:val="20"/>
          <w:lang w:val="pl-PL"/>
        </w:rPr>
        <w:t xml:space="preserve"> </w:t>
      </w:r>
      <w:r w:rsidR="0059308E" w:rsidRPr="0059308E">
        <w:rPr>
          <w:rFonts w:ascii="Arial" w:hAnsi="Arial" w:cs="Arial"/>
          <w:i/>
          <w:iCs/>
          <w:sz w:val="20"/>
          <w:szCs w:val="20"/>
          <w:lang w:val="pl-PL"/>
        </w:rPr>
        <w:t xml:space="preserve">Jeśli chodzi o rynek biurowy, który doświadcza dziś ograniczonej nowej podaży, widoczna jest stabilizacja </w:t>
      </w:r>
      <w:r w:rsidR="00800ED0">
        <w:rPr>
          <w:rFonts w:ascii="Arial" w:hAnsi="Arial" w:cs="Arial"/>
          <w:i/>
          <w:iCs/>
          <w:sz w:val="20"/>
          <w:szCs w:val="20"/>
          <w:lang w:val="pl-PL"/>
        </w:rPr>
        <w:t>sentymentu</w:t>
      </w:r>
      <w:r w:rsidR="0059308E" w:rsidRPr="0059308E">
        <w:rPr>
          <w:rFonts w:ascii="Arial" w:hAnsi="Arial" w:cs="Arial"/>
          <w:i/>
          <w:iCs/>
          <w:sz w:val="20"/>
          <w:szCs w:val="20"/>
          <w:lang w:val="pl-PL"/>
        </w:rPr>
        <w:t xml:space="preserve">, szczególnie w segmencie budynków </w:t>
      </w:r>
      <w:proofErr w:type="spellStart"/>
      <w:r w:rsidR="0059308E" w:rsidRPr="0059308E">
        <w:rPr>
          <w:rFonts w:ascii="Arial" w:hAnsi="Arial" w:cs="Arial"/>
          <w:i/>
          <w:iCs/>
          <w:sz w:val="20"/>
          <w:szCs w:val="20"/>
          <w:lang w:val="pl-PL"/>
        </w:rPr>
        <w:t>prime</w:t>
      </w:r>
      <w:proofErr w:type="spellEnd"/>
      <w:r w:rsidR="0059308E" w:rsidRPr="0059308E">
        <w:rPr>
          <w:rFonts w:ascii="Arial" w:hAnsi="Arial" w:cs="Arial"/>
          <w:i/>
          <w:iCs/>
          <w:sz w:val="20"/>
          <w:szCs w:val="20"/>
          <w:lang w:val="pl-PL"/>
        </w:rPr>
        <w:t xml:space="preserve"> i obiektów zgodnych z najwyższymi standardami ESG</w:t>
      </w:r>
      <w:r w:rsidRPr="00450ED2">
        <w:rPr>
          <w:rFonts w:ascii="Arial" w:hAnsi="Arial" w:cs="Arial"/>
          <w:i/>
          <w:iCs/>
          <w:sz w:val="20"/>
          <w:szCs w:val="20"/>
          <w:lang w:val="pl-PL"/>
        </w:rPr>
        <w:t xml:space="preserve">. </w:t>
      </w:r>
      <w:r w:rsidRPr="0059308E">
        <w:rPr>
          <w:rFonts w:ascii="Arial" w:hAnsi="Arial" w:cs="Arial"/>
          <w:i/>
          <w:iCs/>
          <w:sz w:val="20"/>
          <w:szCs w:val="20"/>
          <w:lang w:val="pl-PL"/>
        </w:rPr>
        <w:t xml:space="preserve">Najemcy, podobnie jak inwestorzy, są dziś bardzo świadomi. Poszukują </w:t>
      </w:r>
      <w:r w:rsidRPr="0059308E">
        <w:rPr>
          <w:rFonts w:ascii="Arial" w:hAnsi="Arial" w:cs="Arial"/>
          <w:i/>
          <w:iCs/>
          <w:sz w:val="20"/>
          <w:szCs w:val="20"/>
          <w:lang w:val="pl-PL"/>
        </w:rPr>
        <w:lastRenderedPageBreak/>
        <w:t>lokalizacji, które będą wspierać ich strategie zrównoważonego rozwoju, retencji talentów i efektywnego zarządzania kosztami. Ten trend będzie się tylko umacniał w nadchodzących kwartałach</w:t>
      </w:r>
      <w:r w:rsidR="0059308E" w:rsidRPr="0059308E">
        <w:rPr>
          <w:rFonts w:ascii="Arial" w:hAnsi="Arial" w:cs="Arial"/>
          <w:sz w:val="20"/>
          <w:szCs w:val="20"/>
          <w:lang w:val="pl-PL"/>
        </w:rPr>
        <w:t xml:space="preserve"> – dodaje </w:t>
      </w:r>
      <w:r w:rsidR="0059308E" w:rsidRPr="0059308E">
        <w:rPr>
          <w:rFonts w:ascii="Arial" w:hAnsi="Arial" w:cs="Arial"/>
          <w:b/>
          <w:bCs/>
          <w:sz w:val="20"/>
          <w:szCs w:val="20"/>
          <w:lang w:val="pl-PL"/>
        </w:rPr>
        <w:t>Krzysztof Misiak.</w:t>
      </w:r>
      <w:r w:rsidR="0059308E" w:rsidRPr="0059308E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516A5938" w14:textId="77777777" w:rsidR="00247901" w:rsidRDefault="003F26DC" w:rsidP="00247901">
      <w:pPr>
        <w:tabs>
          <w:tab w:val="left" w:pos="5630"/>
        </w:tabs>
        <w:spacing w:line="240" w:lineRule="auto"/>
        <w:jc w:val="both"/>
        <w:rPr>
          <w:lang w:val="pl-PL"/>
        </w:rPr>
      </w:pPr>
      <w:r w:rsidRPr="005B5969">
        <w:rPr>
          <w:rFonts w:ascii="Arial" w:hAnsi="Arial" w:cs="Arial"/>
          <w:b/>
          <w:bCs/>
          <w:sz w:val="20"/>
          <w:szCs w:val="20"/>
          <w:u w:val="single"/>
          <w:lang w:val="pl-PL"/>
        </w:rPr>
        <w:t>Sytuacja w poszczególnych sektorach</w:t>
      </w:r>
      <w:r w:rsidRPr="005B5969">
        <w:rPr>
          <w:lang w:val="pl-PL"/>
        </w:rPr>
        <w:t xml:space="preserve"> </w:t>
      </w:r>
    </w:p>
    <w:p w14:paraId="55AACFD8" w14:textId="66B23814" w:rsidR="00247901" w:rsidRPr="00800ED0" w:rsidRDefault="00377783" w:rsidP="00247901">
      <w:pPr>
        <w:tabs>
          <w:tab w:val="left" w:pos="5630"/>
        </w:tabs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5B5969">
        <w:rPr>
          <w:rFonts w:ascii="Arial" w:hAnsi="Arial" w:cs="Arial"/>
          <w:b/>
          <w:bCs/>
          <w:sz w:val="20"/>
          <w:szCs w:val="20"/>
          <w:lang w:val="pl-PL"/>
        </w:rPr>
        <w:t xml:space="preserve">Nieruchomości biurowe typu </w:t>
      </w:r>
      <w:proofErr w:type="spellStart"/>
      <w:r w:rsidRPr="005B5969">
        <w:rPr>
          <w:rFonts w:ascii="Arial" w:hAnsi="Arial" w:cs="Arial"/>
          <w:b/>
          <w:bCs/>
          <w:sz w:val="20"/>
          <w:szCs w:val="20"/>
          <w:lang w:val="pl-PL"/>
        </w:rPr>
        <w:t>prime</w:t>
      </w:r>
      <w:proofErr w:type="spellEnd"/>
      <w:r w:rsidRPr="005B5969">
        <w:rPr>
          <w:rFonts w:ascii="Arial" w:hAnsi="Arial" w:cs="Arial"/>
          <w:b/>
          <w:bCs/>
          <w:sz w:val="20"/>
          <w:szCs w:val="20"/>
          <w:lang w:val="pl-PL"/>
        </w:rPr>
        <w:t xml:space="preserve"> –</w:t>
      </w:r>
      <w:r w:rsidR="00C621CE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 w:rsidR="009A6ED8" w:rsidRPr="005B5969">
        <w:rPr>
          <w:rFonts w:ascii="Arial" w:hAnsi="Arial" w:cs="Arial"/>
          <w:b/>
          <w:bCs/>
          <w:sz w:val="20"/>
          <w:szCs w:val="20"/>
          <w:lang w:val="pl-PL"/>
        </w:rPr>
        <w:t>COB lider</w:t>
      </w:r>
      <w:r w:rsidR="001D0BA2" w:rsidRPr="005B5969">
        <w:rPr>
          <w:rFonts w:ascii="Arial" w:hAnsi="Arial" w:cs="Arial"/>
          <w:b/>
          <w:bCs/>
          <w:sz w:val="20"/>
          <w:szCs w:val="20"/>
          <w:lang w:val="pl-PL"/>
        </w:rPr>
        <w:t>ami wzrostu czynszów w warunkach ograniczonej podaży</w:t>
      </w:r>
      <w:r w:rsidR="00247901">
        <w:rPr>
          <w:rFonts w:ascii="Arial" w:hAnsi="Arial" w:cs="Arial"/>
          <w:b/>
          <w:bCs/>
          <w:sz w:val="20"/>
          <w:szCs w:val="20"/>
          <w:lang w:val="pl-PL"/>
        </w:rPr>
        <w:br/>
      </w:r>
      <w:r w:rsidR="001F298D" w:rsidRPr="005B5969">
        <w:rPr>
          <w:lang w:val="pl-PL"/>
        </w:rPr>
        <w:br/>
      </w:r>
      <w:r w:rsidR="007A3BC8">
        <w:rPr>
          <w:rFonts w:ascii="Arial" w:hAnsi="Arial" w:cs="Arial"/>
          <w:sz w:val="20"/>
          <w:szCs w:val="20"/>
          <w:lang w:val="pl-PL"/>
        </w:rPr>
        <w:t xml:space="preserve">Firmy </w:t>
      </w:r>
      <w:r w:rsidR="00D37402">
        <w:rPr>
          <w:rFonts w:ascii="Arial" w:hAnsi="Arial" w:cs="Arial"/>
          <w:sz w:val="20"/>
          <w:szCs w:val="20"/>
          <w:lang w:val="pl-PL"/>
        </w:rPr>
        <w:t xml:space="preserve">nadal najchętniej wybierają </w:t>
      </w:r>
      <w:r w:rsidR="00815892" w:rsidRPr="005B5969">
        <w:rPr>
          <w:rFonts w:ascii="Arial" w:hAnsi="Arial" w:cs="Arial"/>
          <w:sz w:val="20"/>
          <w:szCs w:val="20"/>
          <w:lang w:val="pl-PL"/>
        </w:rPr>
        <w:t>b</w:t>
      </w:r>
      <w:r w:rsidR="004E734A" w:rsidRPr="005B5969">
        <w:rPr>
          <w:rFonts w:ascii="Arial" w:hAnsi="Arial" w:cs="Arial"/>
          <w:sz w:val="20"/>
          <w:szCs w:val="20"/>
          <w:lang w:val="pl-PL"/>
        </w:rPr>
        <w:t>udynki biurowe</w:t>
      </w:r>
      <w:r w:rsidR="00815892" w:rsidRPr="005B5969">
        <w:rPr>
          <w:rFonts w:ascii="Arial" w:hAnsi="Arial" w:cs="Arial"/>
          <w:sz w:val="20"/>
          <w:szCs w:val="20"/>
          <w:lang w:val="pl-PL"/>
        </w:rPr>
        <w:t xml:space="preserve"> o wysokim standardzie </w:t>
      </w:r>
      <w:r w:rsidR="00AA639F" w:rsidRPr="005B5969">
        <w:rPr>
          <w:rFonts w:ascii="Arial" w:hAnsi="Arial" w:cs="Arial"/>
          <w:sz w:val="20"/>
          <w:szCs w:val="20"/>
          <w:lang w:val="pl-PL"/>
        </w:rPr>
        <w:t>w dobrze skomunikowanych lokalizacjach</w:t>
      </w:r>
      <w:r w:rsidR="00674E5C" w:rsidRPr="005B5969">
        <w:rPr>
          <w:rFonts w:ascii="Arial" w:hAnsi="Arial" w:cs="Arial"/>
          <w:sz w:val="20"/>
          <w:szCs w:val="20"/>
          <w:lang w:val="pl-PL"/>
        </w:rPr>
        <w:t>, co</w:t>
      </w:r>
      <w:r w:rsidR="00996E1C">
        <w:rPr>
          <w:rFonts w:ascii="Arial" w:hAnsi="Arial" w:cs="Arial"/>
          <w:sz w:val="20"/>
          <w:szCs w:val="20"/>
          <w:lang w:val="pl-PL"/>
        </w:rPr>
        <w:t xml:space="preserve"> przekłada się na </w:t>
      </w:r>
      <w:r w:rsidR="00674E5C" w:rsidRPr="005B5969">
        <w:rPr>
          <w:rFonts w:ascii="Arial" w:hAnsi="Arial" w:cs="Arial"/>
          <w:sz w:val="20"/>
          <w:szCs w:val="20"/>
          <w:lang w:val="pl-PL"/>
        </w:rPr>
        <w:t xml:space="preserve">silny popyt ze strony </w:t>
      </w:r>
      <w:r w:rsidR="007A3BC8">
        <w:rPr>
          <w:rFonts w:ascii="Arial" w:hAnsi="Arial" w:cs="Arial"/>
          <w:sz w:val="20"/>
          <w:szCs w:val="20"/>
          <w:lang w:val="pl-PL"/>
        </w:rPr>
        <w:t>najemców</w:t>
      </w:r>
      <w:r w:rsidR="00674E5C" w:rsidRPr="005B5969">
        <w:rPr>
          <w:rFonts w:ascii="Arial" w:hAnsi="Arial" w:cs="Arial"/>
          <w:sz w:val="20"/>
          <w:szCs w:val="20"/>
          <w:lang w:val="pl-PL"/>
        </w:rPr>
        <w:t xml:space="preserve"> i</w:t>
      </w:r>
      <w:r w:rsidR="003149C9" w:rsidRPr="005B5969">
        <w:rPr>
          <w:rFonts w:ascii="Arial" w:hAnsi="Arial" w:cs="Arial"/>
          <w:sz w:val="20"/>
          <w:szCs w:val="20"/>
          <w:lang w:val="pl-PL"/>
        </w:rPr>
        <w:t xml:space="preserve"> zainteresowanie inwestorów Centralnymi Obszarami Biznesu (COB). </w:t>
      </w:r>
      <w:r w:rsidR="00592EF0" w:rsidRPr="005B5969">
        <w:rPr>
          <w:rFonts w:ascii="Arial" w:hAnsi="Arial" w:cs="Arial"/>
          <w:sz w:val="20"/>
          <w:szCs w:val="20"/>
          <w:lang w:val="pl-PL"/>
        </w:rPr>
        <w:t>W drugim kwartale 2025 roku</w:t>
      </w:r>
      <w:r w:rsidR="00FA3BC6" w:rsidRPr="005B5969">
        <w:rPr>
          <w:rFonts w:ascii="Arial" w:hAnsi="Arial" w:cs="Arial"/>
          <w:sz w:val="20"/>
          <w:szCs w:val="20"/>
          <w:lang w:val="pl-PL"/>
        </w:rPr>
        <w:t xml:space="preserve"> aż</w:t>
      </w:r>
      <w:r w:rsidR="00592EF0" w:rsidRPr="005B5969">
        <w:rPr>
          <w:rFonts w:ascii="Arial" w:hAnsi="Arial" w:cs="Arial"/>
          <w:sz w:val="20"/>
          <w:szCs w:val="20"/>
          <w:lang w:val="pl-PL"/>
        </w:rPr>
        <w:t xml:space="preserve"> </w:t>
      </w:r>
      <w:r w:rsidR="005A0E66" w:rsidRPr="005B5969">
        <w:rPr>
          <w:rFonts w:ascii="Arial" w:hAnsi="Arial" w:cs="Arial"/>
          <w:sz w:val="20"/>
          <w:szCs w:val="20"/>
          <w:lang w:val="pl-PL"/>
        </w:rPr>
        <w:t xml:space="preserve">75% wszystkich </w:t>
      </w:r>
      <w:r w:rsidR="003125A7">
        <w:rPr>
          <w:rFonts w:ascii="Arial" w:hAnsi="Arial" w:cs="Arial"/>
          <w:sz w:val="20"/>
          <w:szCs w:val="20"/>
          <w:lang w:val="pl-PL"/>
        </w:rPr>
        <w:t>umów</w:t>
      </w:r>
      <w:r w:rsidR="005A0E66" w:rsidRPr="005B5969">
        <w:rPr>
          <w:rFonts w:ascii="Arial" w:hAnsi="Arial" w:cs="Arial"/>
          <w:sz w:val="20"/>
          <w:szCs w:val="20"/>
          <w:lang w:val="pl-PL"/>
        </w:rPr>
        <w:t xml:space="preserve"> najmu</w:t>
      </w:r>
      <w:r w:rsidR="009F237A" w:rsidRPr="005B5969">
        <w:rPr>
          <w:rFonts w:ascii="Arial" w:hAnsi="Arial" w:cs="Arial"/>
          <w:sz w:val="20"/>
          <w:szCs w:val="20"/>
          <w:lang w:val="pl-PL"/>
        </w:rPr>
        <w:t xml:space="preserve"> zawart</w:t>
      </w:r>
      <w:r w:rsidR="00E4123C" w:rsidRPr="005B5969">
        <w:rPr>
          <w:rFonts w:ascii="Arial" w:hAnsi="Arial" w:cs="Arial"/>
          <w:sz w:val="20"/>
          <w:szCs w:val="20"/>
          <w:lang w:val="pl-PL"/>
        </w:rPr>
        <w:t>ych zostało</w:t>
      </w:r>
      <w:r w:rsidR="009F237A" w:rsidRPr="005B5969">
        <w:rPr>
          <w:rFonts w:ascii="Arial" w:hAnsi="Arial" w:cs="Arial"/>
          <w:sz w:val="20"/>
          <w:szCs w:val="20"/>
          <w:lang w:val="pl-PL"/>
        </w:rPr>
        <w:t xml:space="preserve"> w COB</w:t>
      </w:r>
      <w:r w:rsidR="009529D5" w:rsidRPr="005B5969">
        <w:rPr>
          <w:rFonts w:ascii="Arial" w:hAnsi="Arial" w:cs="Arial"/>
          <w:sz w:val="20"/>
          <w:szCs w:val="20"/>
          <w:lang w:val="pl-PL"/>
        </w:rPr>
        <w:t xml:space="preserve"> </w:t>
      </w:r>
      <w:r w:rsidR="00F33ADD" w:rsidRPr="005B5969">
        <w:rPr>
          <w:rFonts w:ascii="Arial" w:hAnsi="Arial" w:cs="Arial"/>
          <w:sz w:val="20"/>
          <w:szCs w:val="20"/>
          <w:lang w:val="pl-PL"/>
        </w:rPr>
        <w:t xml:space="preserve">w miastach takich </w:t>
      </w:r>
      <w:r w:rsidR="009F237A" w:rsidRPr="005B5969">
        <w:rPr>
          <w:rFonts w:ascii="Arial" w:hAnsi="Arial" w:cs="Arial"/>
          <w:sz w:val="20"/>
          <w:szCs w:val="20"/>
          <w:lang w:val="pl-PL"/>
        </w:rPr>
        <w:t>jak Londyn,</w:t>
      </w:r>
      <w:r w:rsidR="001F298D" w:rsidRPr="005B5969">
        <w:rPr>
          <w:rFonts w:ascii="Arial" w:hAnsi="Arial" w:cs="Arial"/>
          <w:sz w:val="20"/>
          <w:szCs w:val="20"/>
          <w:lang w:val="pl-PL"/>
        </w:rPr>
        <w:t xml:space="preserve"> Par</w:t>
      </w:r>
      <w:r w:rsidR="009F237A" w:rsidRPr="005B5969">
        <w:rPr>
          <w:rFonts w:ascii="Arial" w:hAnsi="Arial" w:cs="Arial"/>
          <w:sz w:val="20"/>
          <w:szCs w:val="20"/>
          <w:lang w:val="pl-PL"/>
        </w:rPr>
        <w:t>yż</w:t>
      </w:r>
      <w:r w:rsidR="001F298D" w:rsidRPr="005B5969">
        <w:rPr>
          <w:rFonts w:ascii="Arial" w:hAnsi="Arial" w:cs="Arial"/>
          <w:sz w:val="20"/>
          <w:szCs w:val="20"/>
          <w:lang w:val="pl-PL"/>
        </w:rPr>
        <w:t xml:space="preserve">, Frankfurt </w:t>
      </w:r>
      <w:r w:rsidR="009F237A" w:rsidRPr="005B5969">
        <w:rPr>
          <w:rFonts w:ascii="Arial" w:hAnsi="Arial" w:cs="Arial"/>
          <w:sz w:val="20"/>
          <w:szCs w:val="20"/>
          <w:lang w:val="pl-PL"/>
        </w:rPr>
        <w:t>czy</w:t>
      </w:r>
      <w:r w:rsidR="001F298D" w:rsidRPr="005B5969">
        <w:rPr>
          <w:rFonts w:ascii="Arial" w:hAnsi="Arial" w:cs="Arial"/>
          <w:sz w:val="20"/>
          <w:szCs w:val="20"/>
          <w:lang w:val="pl-PL"/>
        </w:rPr>
        <w:t xml:space="preserve"> Amsterdam. </w:t>
      </w:r>
      <w:r w:rsidR="009529D5" w:rsidRPr="005B5969">
        <w:rPr>
          <w:rFonts w:ascii="Arial" w:hAnsi="Arial" w:cs="Arial"/>
          <w:sz w:val="20"/>
          <w:szCs w:val="20"/>
          <w:lang w:val="pl-PL"/>
        </w:rPr>
        <w:t xml:space="preserve">Stopy pustostanów w </w:t>
      </w:r>
      <w:r w:rsidR="00BB2F1E" w:rsidRPr="005B5969">
        <w:rPr>
          <w:rFonts w:ascii="Arial" w:hAnsi="Arial" w:cs="Arial"/>
          <w:sz w:val="20"/>
          <w:szCs w:val="20"/>
          <w:lang w:val="pl-PL"/>
        </w:rPr>
        <w:t xml:space="preserve">głównych </w:t>
      </w:r>
      <w:r w:rsidR="000A61B5" w:rsidRPr="005B5969">
        <w:rPr>
          <w:rFonts w:ascii="Arial" w:hAnsi="Arial" w:cs="Arial"/>
          <w:sz w:val="20"/>
          <w:szCs w:val="20"/>
          <w:lang w:val="pl-PL"/>
        </w:rPr>
        <w:t>obszarach biznesowych</w:t>
      </w:r>
      <w:r w:rsidR="00BB2F1E" w:rsidRPr="005B5969">
        <w:rPr>
          <w:rFonts w:ascii="Arial" w:hAnsi="Arial" w:cs="Arial"/>
          <w:sz w:val="20"/>
          <w:szCs w:val="20"/>
          <w:lang w:val="pl-PL"/>
        </w:rPr>
        <w:t xml:space="preserve"> spadły do 7,1%</w:t>
      </w:r>
      <w:r w:rsidR="00CD0195" w:rsidRPr="005B5969">
        <w:rPr>
          <w:rFonts w:ascii="Arial" w:hAnsi="Arial" w:cs="Arial"/>
          <w:sz w:val="20"/>
          <w:szCs w:val="20"/>
          <w:lang w:val="pl-PL"/>
        </w:rPr>
        <w:t xml:space="preserve">, </w:t>
      </w:r>
      <w:r w:rsidR="004977E4" w:rsidRPr="005B5969">
        <w:rPr>
          <w:rFonts w:ascii="Arial" w:hAnsi="Arial" w:cs="Arial"/>
          <w:sz w:val="20"/>
          <w:szCs w:val="20"/>
          <w:lang w:val="pl-PL"/>
        </w:rPr>
        <w:t xml:space="preserve">powodując </w:t>
      </w:r>
      <w:r w:rsidR="00CD0195" w:rsidRPr="005B5969">
        <w:rPr>
          <w:rFonts w:ascii="Arial" w:hAnsi="Arial" w:cs="Arial"/>
          <w:sz w:val="20"/>
          <w:szCs w:val="20"/>
          <w:lang w:val="pl-PL"/>
        </w:rPr>
        <w:t xml:space="preserve">wzrost czynszów o 3,7% w ujęciu rocznym i o 13,2% </w:t>
      </w:r>
      <w:r w:rsidR="00895D1F" w:rsidRPr="005B5969">
        <w:rPr>
          <w:rFonts w:ascii="Arial" w:hAnsi="Arial" w:cs="Arial"/>
          <w:sz w:val="20"/>
          <w:szCs w:val="20"/>
          <w:lang w:val="pl-PL"/>
        </w:rPr>
        <w:t>na przestrzeni minionych trzech lat</w:t>
      </w:r>
      <w:r w:rsidR="003D3E2A" w:rsidRPr="005B5969">
        <w:rPr>
          <w:rFonts w:ascii="Arial" w:hAnsi="Arial" w:cs="Arial"/>
          <w:sz w:val="20"/>
          <w:szCs w:val="20"/>
          <w:lang w:val="pl-PL"/>
        </w:rPr>
        <w:t>. W budowie znajduje się nieco pon</w:t>
      </w:r>
      <w:r w:rsidR="0052702F" w:rsidRPr="005B5969">
        <w:rPr>
          <w:rFonts w:ascii="Arial" w:hAnsi="Arial" w:cs="Arial"/>
          <w:sz w:val="20"/>
          <w:szCs w:val="20"/>
          <w:lang w:val="pl-PL"/>
        </w:rPr>
        <w:t>a</w:t>
      </w:r>
      <w:r w:rsidR="003D3E2A" w:rsidRPr="005B5969">
        <w:rPr>
          <w:rFonts w:ascii="Arial" w:hAnsi="Arial" w:cs="Arial"/>
          <w:sz w:val="20"/>
          <w:szCs w:val="20"/>
          <w:lang w:val="pl-PL"/>
        </w:rPr>
        <w:t xml:space="preserve">d 10 mln mkw. </w:t>
      </w:r>
      <w:r w:rsidR="0052702F" w:rsidRPr="005B5969">
        <w:rPr>
          <w:rFonts w:ascii="Arial" w:hAnsi="Arial" w:cs="Arial"/>
          <w:sz w:val="20"/>
          <w:szCs w:val="20"/>
          <w:lang w:val="pl-PL"/>
        </w:rPr>
        <w:t xml:space="preserve">nowej </w:t>
      </w:r>
      <w:r w:rsidR="003D3E2A" w:rsidRPr="005B5969">
        <w:rPr>
          <w:rFonts w:ascii="Arial" w:hAnsi="Arial" w:cs="Arial"/>
          <w:sz w:val="20"/>
          <w:szCs w:val="20"/>
          <w:lang w:val="pl-PL"/>
        </w:rPr>
        <w:t>powie</w:t>
      </w:r>
      <w:r w:rsidR="0052702F" w:rsidRPr="005B5969">
        <w:rPr>
          <w:rFonts w:ascii="Arial" w:hAnsi="Arial" w:cs="Arial"/>
          <w:sz w:val="20"/>
          <w:szCs w:val="20"/>
          <w:lang w:val="pl-PL"/>
        </w:rPr>
        <w:t xml:space="preserve">rzchni biurowej – najmniej od dekady – co z pewnością </w:t>
      </w:r>
      <w:r w:rsidR="00112395" w:rsidRPr="005B5969">
        <w:rPr>
          <w:rFonts w:ascii="Arial" w:hAnsi="Arial" w:cs="Arial"/>
          <w:sz w:val="20"/>
          <w:szCs w:val="20"/>
          <w:lang w:val="pl-PL"/>
        </w:rPr>
        <w:t xml:space="preserve">przełoży się na </w:t>
      </w:r>
      <w:r w:rsidR="00376F3E" w:rsidRPr="005B5969">
        <w:rPr>
          <w:rFonts w:ascii="Arial" w:hAnsi="Arial" w:cs="Arial"/>
          <w:sz w:val="20"/>
          <w:szCs w:val="20"/>
          <w:lang w:val="pl-PL"/>
        </w:rPr>
        <w:t>wciąż ograniczon</w:t>
      </w:r>
      <w:r w:rsidR="00112395" w:rsidRPr="005B5969">
        <w:rPr>
          <w:rFonts w:ascii="Arial" w:hAnsi="Arial" w:cs="Arial"/>
          <w:sz w:val="20"/>
          <w:szCs w:val="20"/>
          <w:lang w:val="pl-PL"/>
        </w:rPr>
        <w:t>ą</w:t>
      </w:r>
      <w:r w:rsidR="00376F3E" w:rsidRPr="005B5969">
        <w:rPr>
          <w:rFonts w:ascii="Arial" w:hAnsi="Arial" w:cs="Arial"/>
          <w:sz w:val="20"/>
          <w:szCs w:val="20"/>
          <w:lang w:val="pl-PL"/>
        </w:rPr>
        <w:t xml:space="preserve"> podaż. </w:t>
      </w:r>
      <w:r w:rsidR="007B6DA4" w:rsidRPr="005B5969">
        <w:rPr>
          <w:rFonts w:ascii="Arial" w:hAnsi="Arial" w:cs="Arial"/>
          <w:sz w:val="20"/>
          <w:szCs w:val="20"/>
          <w:lang w:val="pl-PL"/>
        </w:rPr>
        <w:t xml:space="preserve">Według prognoz czynsze na głównych </w:t>
      </w:r>
      <w:r w:rsidR="00456C36" w:rsidRPr="005B5969">
        <w:rPr>
          <w:rFonts w:ascii="Arial" w:hAnsi="Arial" w:cs="Arial"/>
          <w:sz w:val="20"/>
          <w:szCs w:val="20"/>
          <w:lang w:val="pl-PL"/>
        </w:rPr>
        <w:t>rynkach mogą wzrosnąć w okresie od 2025 r. do 2027 r. średnio o 4,7%, przy czym najbardziej w londyńskie</w:t>
      </w:r>
      <w:r w:rsidR="00144A06" w:rsidRPr="005B5969">
        <w:rPr>
          <w:rFonts w:ascii="Arial" w:hAnsi="Arial" w:cs="Arial"/>
          <w:sz w:val="20"/>
          <w:szCs w:val="20"/>
          <w:lang w:val="pl-PL"/>
        </w:rPr>
        <w:t>j</w:t>
      </w:r>
      <w:r w:rsidR="00456C36" w:rsidRPr="005B5969">
        <w:rPr>
          <w:rFonts w:ascii="Arial" w:hAnsi="Arial" w:cs="Arial"/>
          <w:sz w:val="20"/>
          <w:szCs w:val="20"/>
          <w:lang w:val="pl-PL"/>
        </w:rPr>
        <w:t xml:space="preserve"> dzielnicy West End</w:t>
      </w:r>
      <w:r w:rsidR="001F298D" w:rsidRPr="005B5969">
        <w:rPr>
          <w:rFonts w:ascii="Arial" w:hAnsi="Arial" w:cs="Arial"/>
          <w:sz w:val="20"/>
          <w:szCs w:val="20"/>
          <w:lang w:val="pl-PL"/>
        </w:rPr>
        <w:t xml:space="preserve"> (</w:t>
      </w:r>
      <w:r w:rsidR="00456C36" w:rsidRPr="005B5969">
        <w:rPr>
          <w:rFonts w:ascii="Arial" w:hAnsi="Arial" w:cs="Arial"/>
          <w:sz w:val="20"/>
          <w:szCs w:val="20"/>
          <w:lang w:val="pl-PL"/>
        </w:rPr>
        <w:t>+</w:t>
      </w:r>
      <w:r w:rsidR="001F298D" w:rsidRPr="005B5969">
        <w:rPr>
          <w:rFonts w:ascii="Arial" w:hAnsi="Arial" w:cs="Arial"/>
          <w:sz w:val="20"/>
          <w:szCs w:val="20"/>
          <w:lang w:val="pl-PL"/>
        </w:rPr>
        <w:t>10</w:t>
      </w:r>
      <w:r w:rsidR="00456C36" w:rsidRPr="005B5969">
        <w:rPr>
          <w:rFonts w:ascii="Arial" w:hAnsi="Arial" w:cs="Arial"/>
          <w:sz w:val="20"/>
          <w:szCs w:val="20"/>
          <w:lang w:val="pl-PL"/>
        </w:rPr>
        <w:t>,</w:t>
      </w:r>
      <w:r w:rsidR="001F298D" w:rsidRPr="005B5969">
        <w:rPr>
          <w:rFonts w:ascii="Arial" w:hAnsi="Arial" w:cs="Arial"/>
          <w:sz w:val="20"/>
          <w:szCs w:val="20"/>
          <w:lang w:val="pl-PL"/>
        </w:rPr>
        <w:t xml:space="preserve">3%), </w:t>
      </w:r>
      <w:r w:rsidR="00456C36" w:rsidRPr="005B5969">
        <w:rPr>
          <w:rFonts w:ascii="Arial" w:hAnsi="Arial" w:cs="Arial"/>
          <w:sz w:val="20"/>
          <w:szCs w:val="20"/>
          <w:lang w:val="pl-PL"/>
        </w:rPr>
        <w:t xml:space="preserve">londyńskim </w:t>
      </w:r>
      <w:r w:rsidR="001F298D" w:rsidRPr="005B5969">
        <w:rPr>
          <w:rFonts w:ascii="Arial" w:hAnsi="Arial" w:cs="Arial"/>
          <w:sz w:val="20"/>
          <w:szCs w:val="20"/>
          <w:lang w:val="pl-PL"/>
        </w:rPr>
        <w:t>City (</w:t>
      </w:r>
      <w:r w:rsidR="00456C36" w:rsidRPr="005B5969">
        <w:rPr>
          <w:rFonts w:ascii="Arial" w:hAnsi="Arial" w:cs="Arial"/>
          <w:sz w:val="20"/>
          <w:szCs w:val="20"/>
          <w:lang w:val="pl-PL"/>
        </w:rPr>
        <w:t>+</w:t>
      </w:r>
      <w:r w:rsidR="001F298D" w:rsidRPr="005B5969">
        <w:rPr>
          <w:rFonts w:ascii="Arial" w:hAnsi="Arial" w:cs="Arial"/>
          <w:sz w:val="20"/>
          <w:szCs w:val="20"/>
          <w:lang w:val="pl-PL"/>
        </w:rPr>
        <w:t>9</w:t>
      </w:r>
      <w:r w:rsidR="00456C36" w:rsidRPr="005B5969">
        <w:rPr>
          <w:rFonts w:ascii="Arial" w:hAnsi="Arial" w:cs="Arial"/>
          <w:sz w:val="20"/>
          <w:szCs w:val="20"/>
          <w:lang w:val="pl-PL"/>
        </w:rPr>
        <w:t>,</w:t>
      </w:r>
      <w:r w:rsidR="001F298D" w:rsidRPr="005B5969">
        <w:rPr>
          <w:rFonts w:ascii="Arial" w:hAnsi="Arial" w:cs="Arial"/>
          <w:sz w:val="20"/>
          <w:szCs w:val="20"/>
          <w:lang w:val="pl-PL"/>
        </w:rPr>
        <w:t xml:space="preserve">9%) </w:t>
      </w:r>
      <w:r w:rsidR="007D3353" w:rsidRPr="005B5969">
        <w:rPr>
          <w:rFonts w:ascii="Arial" w:hAnsi="Arial" w:cs="Arial"/>
          <w:sz w:val="20"/>
          <w:szCs w:val="20"/>
          <w:lang w:val="pl-PL"/>
        </w:rPr>
        <w:t xml:space="preserve">oraz paryskim </w:t>
      </w:r>
      <w:r w:rsidR="001F298D" w:rsidRPr="005B5969">
        <w:rPr>
          <w:rFonts w:ascii="Arial" w:hAnsi="Arial" w:cs="Arial"/>
          <w:sz w:val="20"/>
          <w:szCs w:val="20"/>
          <w:lang w:val="pl-PL"/>
        </w:rPr>
        <w:t>C</w:t>
      </w:r>
      <w:r w:rsidR="007D3353" w:rsidRPr="005B5969">
        <w:rPr>
          <w:rFonts w:ascii="Arial" w:hAnsi="Arial" w:cs="Arial"/>
          <w:sz w:val="20"/>
          <w:szCs w:val="20"/>
          <w:lang w:val="pl-PL"/>
        </w:rPr>
        <w:t>O</w:t>
      </w:r>
      <w:r w:rsidR="001F298D" w:rsidRPr="005B5969">
        <w:rPr>
          <w:rFonts w:ascii="Arial" w:hAnsi="Arial" w:cs="Arial"/>
          <w:sz w:val="20"/>
          <w:szCs w:val="20"/>
          <w:lang w:val="pl-PL"/>
        </w:rPr>
        <w:t>B (</w:t>
      </w:r>
      <w:r w:rsidR="007D3353" w:rsidRPr="005B5969">
        <w:rPr>
          <w:rFonts w:ascii="Arial" w:hAnsi="Arial" w:cs="Arial"/>
          <w:sz w:val="20"/>
          <w:szCs w:val="20"/>
          <w:lang w:val="pl-PL"/>
        </w:rPr>
        <w:t>+</w:t>
      </w:r>
      <w:r w:rsidR="001F298D" w:rsidRPr="005B5969">
        <w:rPr>
          <w:rFonts w:ascii="Arial" w:hAnsi="Arial" w:cs="Arial"/>
          <w:sz w:val="20"/>
          <w:szCs w:val="20"/>
          <w:lang w:val="pl-PL"/>
        </w:rPr>
        <w:t>6</w:t>
      </w:r>
      <w:r w:rsidR="007D3353" w:rsidRPr="005B5969">
        <w:rPr>
          <w:rFonts w:ascii="Arial" w:hAnsi="Arial" w:cs="Arial"/>
          <w:sz w:val="20"/>
          <w:szCs w:val="20"/>
          <w:lang w:val="pl-PL"/>
        </w:rPr>
        <w:t>,</w:t>
      </w:r>
      <w:r w:rsidR="001F298D" w:rsidRPr="005B5969">
        <w:rPr>
          <w:rFonts w:ascii="Arial" w:hAnsi="Arial" w:cs="Arial"/>
          <w:sz w:val="20"/>
          <w:szCs w:val="20"/>
          <w:lang w:val="pl-PL"/>
        </w:rPr>
        <w:t xml:space="preserve">1%). </w:t>
      </w:r>
      <w:r w:rsidR="00C7711D" w:rsidRPr="005B5969">
        <w:rPr>
          <w:rFonts w:ascii="Arial" w:hAnsi="Arial" w:cs="Arial"/>
          <w:sz w:val="20"/>
          <w:szCs w:val="20"/>
          <w:lang w:val="pl-PL"/>
        </w:rPr>
        <w:t>Do 2027 roku s</w:t>
      </w:r>
      <w:r w:rsidR="000E2079" w:rsidRPr="005B5969">
        <w:rPr>
          <w:rFonts w:ascii="Arial" w:hAnsi="Arial" w:cs="Arial"/>
          <w:sz w:val="20"/>
          <w:szCs w:val="20"/>
          <w:lang w:val="pl-PL"/>
        </w:rPr>
        <w:t xml:space="preserve">topy kapitalizacji dla najlepszych aktywów mogą ulec kompresji </w:t>
      </w:r>
      <w:r w:rsidR="00236B13" w:rsidRPr="005B5969">
        <w:rPr>
          <w:rFonts w:ascii="Arial" w:hAnsi="Arial" w:cs="Arial"/>
          <w:sz w:val="20"/>
          <w:szCs w:val="20"/>
          <w:lang w:val="pl-PL"/>
        </w:rPr>
        <w:t>o 25 punktów bazowych</w:t>
      </w:r>
      <w:r w:rsidR="00800413">
        <w:rPr>
          <w:rFonts w:ascii="Arial" w:hAnsi="Arial" w:cs="Arial"/>
          <w:sz w:val="20"/>
          <w:szCs w:val="20"/>
          <w:lang w:val="pl-PL"/>
        </w:rPr>
        <w:t xml:space="preserve"> -</w:t>
      </w:r>
      <w:r w:rsidR="00503A84" w:rsidRPr="005B5969">
        <w:rPr>
          <w:rFonts w:ascii="Arial" w:hAnsi="Arial" w:cs="Arial"/>
          <w:sz w:val="20"/>
          <w:szCs w:val="20"/>
          <w:lang w:val="pl-PL"/>
        </w:rPr>
        <w:t xml:space="preserve"> </w:t>
      </w:r>
      <w:r w:rsidR="00C7711D" w:rsidRPr="005B5969">
        <w:rPr>
          <w:rFonts w:ascii="Arial" w:hAnsi="Arial" w:cs="Arial"/>
          <w:sz w:val="20"/>
          <w:szCs w:val="20"/>
          <w:lang w:val="pl-PL"/>
        </w:rPr>
        <w:t>do poziomu</w:t>
      </w:r>
      <w:r w:rsidR="00503A84" w:rsidRPr="005B5969">
        <w:rPr>
          <w:rFonts w:ascii="Arial" w:hAnsi="Arial" w:cs="Arial"/>
          <w:sz w:val="20"/>
          <w:szCs w:val="20"/>
          <w:lang w:val="pl-PL"/>
        </w:rPr>
        <w:t xml:space="preserve"> 5%</w:t>
      </w:r>
      <w:r w:rsidR="001F298D" w:rsidRPr="005B5969">
        <w:rPr>
          <w:rFonts w:ascii="Arial" w:hAnsi="Arial" w:cs="Arial"/>
          <w:sz w:val="20"/>
          <w:szCs w:val="20"/>
          <w:lang w:val="pl-PL"/>
        </w:rPr>
        <w:t>.</w:t>
      </w:r>
    </w:p>
    <w:p w14:paraId="00246A56" w14:textId="77777777" w:rsidR="00247901" w:rsidRDefault="00C7711D" w:rsidP="00247901">
      <w:pPr>
        <w:tabs>
          <w:tab w:val="left" w:pos="5630"/>
        </w:tabs>
        <w:spacing w:line="240" w:lineRule="auto"/>
        <w:jc w:val="both"/>
        <w:rPr>
          <w:lang w:val="pl-PL"/>
        </w:rPr>
      </w:pPr>
      <w:r w:rsidRPr="005B5969">
        <w:rPr>
          <w:rFonts w:ascii="Arial" w:hAnsi="Arial" w:cs="Arial"/>
          <w:b/>
          <w:bCs/>
          <w:sz w:val="20"/>
          <w:szCs w:val="20"/>
          <w:lang w:val="pl-PL"/>
        </w:rPr>
        <w:t>Korytarze logis</w:t>
      </w:r>
      <w:r w:rsidR="00481734" w:rsidRPr="005B5969">
        <w:rPr>
          <w:rFonts w:ascii="Arial" w:hAnsi="Arial" w:cs="Arial"/>
          <w:b/>
          <w:bCs/>
          <w:sz w:val="20"/>
          <w:szCs w:val="20"/>
          <w:lang w:val="pl-PL"/>
        </w:rPr>
        <w:t>t</w:t>
      </w:r>
      <w:r w:rsidRPr="005B5969">
        <w:rPr>
          <w:rFonts w:ascii="Arial" w:hAnsi="Arial" w:cs="Arial"/>
          <w:b/>
          <w:bCs/>
          <w:sz w:val="20"/>
          <w:szCs w:val="20"/>
          <w:lang w:val="pl-PL"/>
        </w:rPr>
        <w:t xml:space="preserve">yczne – </w:t>
      </w:r>
      <w:r w:rsidR="00454BC3" w:rsidRPr="005B5969">
        <w:rPr>
          <w:rFonts w:ascii="Arial" w:hAnsi="Arial" w:cs="Arial"/>
          <w:b/>
          <w:bCs/>
          <w:sz w:val="20"/>
          <w:szCs w:val="20"/>
          <w:lang w:val="pl-PL"/>
        </w:rPr>
        <w:t>stabilizacja aktywności najemców i korzystne warunki finansowania dłużnego</w:t>
      </w:r>
    </w:p>
    <w:p w14:paraId="621CD2AD" w14:textId="5EF1DFD2" w:rsidR="001F298D" w:rsidRPr="005B5969" w:rsidRDefault="00DC0B08" w:rsidP="00247901">
      <w:pPr>
        <w:tabs>
          <w:tab w:val="left" w:pos="5630"/>
        </w:tabs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5B5969">
        <w:rPr>
          <w:rFonts w:ascii="Arial" w:hAnsi="Arial" w:cs="Arial"/>
          <w:sz w:val="20"/>
          <w:szCs w:val="20"/>
          <w:lang w:val="pl-PL"/>
        </w:rPr>
        <w:t>W trzecim kwartale 2025 roku p</w:t>
      </w:r>
      <w:r w:rsidR="00481734" w:rsidRPr="005B5969">
        <w:rPr>
          <w:rFonts w:ascii="Arial" w:hAnsi="Arial" w:cs="Arial"/>
          <w:sz w:val="20"/>
          <w:szCs w:val="20"/>
          <w:lang w:val="pl-PL"/>
        </w:rPr>
        <w:t xml:space="preserve">opyt </w:t>
      </w:r>
      <w:r w:rsidR="008B6294" w:rsidRPr="005B5969">
        <w:rPr>
          <w:rFonts w:ascii="Arial" w:hAnsi="Arial" w:cs="Arial"/>
          <w:sz w:val="20"/>
          <w:szCs w:val="20"/>
          <w:lang w:val="pl-PL"/>
        </w:rPr>
        <w:t xml:space="preserve">na europejskich rynkach najmu </w:t>
      </w:r>
      <w:r w:rsidRPr="005B5969">
        <w:rPr>
          <w:rFonts w:ascii="Arial" w:hAnsi="Arial" w:cs="Arial"/>
          <w:sz w:val="20"/>
          <w:szCs w:val="20"/>
          <w:lang w:val="pl-PL"/>
        </w:rPr>
        <w:t>ustabilizował się</w:t>
      </w:r>
      <w:r w:rsidR="006D15E7" w:rsidRPr="005B5969">
        <w:rPr>
          <w:rFonts w:ascii="Arial" w:hAnsi="Arial" w:cs="Arial"/>
          <w:sz w:val="20"/>
          <w:szCs w:val="20"/>
          <w:lang w:val="pl-PL"/>
        </w:rPr>
        <w:t xml:space="preserve"> na poziomie nieznacznie niższym niż </w:t>
      </w:r>
      <w:r w:rsidR="00C51BA9" w:rsidRPr="005B5969">
        <w:rPr>
          <w:rFonts w:ascii="Arial" w:hAnsi="Arial" w:cs="Arial"/>
          <w:sz w:val="20"/>
          <w:szCs w:val="20"/>
          <w:lang w:val="pl-PL"/>
        </w:rPr>
        <w:t xml:space="preserve">w okresie </w:t>
      </w:r>
      <w:r w:rsidR="006D15E7" w:rsidRPr="005B5969">
        <w:rPr>
          <w:rFonts w:ascii="Arial" w:hAnsi="Arial" w:cs="Arial"/>
          <w:sz w:val="20"/>
          <w:szCs w:val="20"/>
          <w:lang w:val="pl-PL"/>
        </w:rPr>
        <w:t xml:space="preserve">przed pandemią, </w:t>
      </w:r>
      <w:r w:rsidR="003343C4" w:rsidRPr="005B5969">
        <w:rPr>
          <w:rFonts w:ascii="Arial" w:hAnsi="Arial" w:cs="Arial"/>
          <w:sz w:val="20"/>
          <w:szCs w:val="20"/>
          <w:lang w:val="pl-PL"/>
        </w:rPr>
        <w:t xml:space="preserve">przy </w:t>
      </w:r>
      <w:r w:rsidR="002D7997">
        <w:rPr>
          <w:rFonts w:ascii="Arial" w:hAnsi="Arial" w:cs="Arial"/>
          <w:sz w:val="20"/>
          <w:szCs w:val="20"/>
          <w:lang w:val="pl-PL"/>
        </w:rPr>
        <w:t>utrzymującej się ostrożności najemców</w:t>
      </w:r>
      <w:r w:rsidR="005F54D4" w:rsidRPr="005B5969">
        <w:rPr>
          <w:rFonts w:ascii="Arial" w:hAnsi="Arial" w:cs="Arial"/>
          <w:sz w:val="20"/>
          <w:szCs w:val="20"/>
          <w:lang w:val="pl-PL"/>
        </w:rPr>
        <w:t xml:space="preserve">. </w:t>
      </w:r>
      <w:r w:rsidR="00BB5779" w:rsidRPr="005B5969">
        <w:rPr>
          <w:rFonts w:ascii="Arial" w:hAnsi="Arial" w:cs="Arial"/>
          <w:sz w:val="20"/>
          <w:szCs w:val="20"/>
          <w:lang w:val="pl-PL"/>
        </w:rPr>
        <w:t>Niemniej jednak na kilku rynkach</w:t>
      </w:r>
      <w:r w:rsidR="00395491" w:rsidRPr="005B5969">
        <w:rPr>
          <w:rFonts w:ascii="Arial" w:hAnsi="Arial" w:cs="Arial"/>
          <w:sz w:val="20"/>
          <w:szCs w:val="20"/>
          <w:lang w:val="pl-PL"/>
        </w:rPr>
        <w:t xml:space="preserve"> odnotowano znaczące ożywienie w drugim półroczu, </w:t>
      </w:r>
      <w:r w:rsidR="000E1F6F" w:rsidRPr="005B5969">
        <w:rPr>
          <w:rFonts w:ascii="Arial" w:hAnsi="Arial" w:cs="Arial"/>
          <w:sz w:val="20"/>
          <w:szCs w:val="20"/>
          <w:lang w:val="pl-PL"/>
        </w:rPr>
        <w:t xml:space="preserve">do czego przyczynił się </w:t>
      </w:r>
      <w:r w:rsidR="00DC5483" w:rsidRPr="005B5969">
        <w:rPr>
          <w:rFonts w:ascii="Arial" w:hAnsi="Arial" w:cs="Arial"/>
          <w:sz w:val="20"/>
          <w:szCs w:val="20"/>
          <w:lang w:val="pl-PL"/>
        </w:rPr>
        <w:t>wzrost aktywności fi</w:t>
      </w:r>
      <w:r w:rsidR="00B27060" w:rsidRPr="005B5969">
        <w:rPr>
          <w:rFonts w:ascii="Arial" w:hAnsi="Arial" w:cs="Arial"/>
          <w:sz w:val="20"/>
          <w:szCs w:val="20"/>
          <w:lang w:val="pl-PL"/>
        </w:rPr>
        <w:t>rm z sektora obronnego i czystej energii</w:t>
      </w:r>
      <w:r w:rsidR="00561ED2" w:rsidRPr="005B5969">
        <w:rPr>
          <w:rFonts w:ascii="Arial" w:hAnsi="Arial" w:cs="Arial"/>
          <w:sz w:val="20"/>
          <w:szCs w:val="20"/>
          <w:lang w:val="pl-PL"/>
        </w:rPr>
        <w:t xml:space="preserve"> oraz</w:t>
      </w:r>
      <w:r w:rsidR="0088777A" w:rsidRPr="005B5969">
        <w:rPr>
          <w:rFonts w:ascii="Arial" w:hAnsi="Arial" w:cs="Arial"/>
          <w:sz w:val="20"/>
          <w:szCs w:val="20"/>
          <w:lang w:val="pl-PL"/>
        </w:rPr>
        <w:t xml:space="preserve"> wysoki poziom </w:t>
      </w:r>
      <w:r w:rsidR="00D85401" w:rsidRPr="005B5969">
        <w:rPr>
          <w:rFonts w:ascii="Arial" w:hAnsi="Arial" w:cs="Arial"/>
          <w:sz w:val="20"/>
          <w:szCs w:val="20"/>
          <w:lang w:val="pl-PL"/>
        </w:rPr>
        <w:t>wydatków konsumenckich.</w:t>
      </w:r>
      <w:r w:rsidR="00B27060" w:rsidRPr="005B5969">
        <w:rPr>
          <w:rFonts w:ascii="Arial" w:hAnsi="Arial" w:cs="Arial"/>
          <w:sz w:val="20"/>
          <w:szCs w:val="20"/>
          <w:lang w:val="pl-PL"/>
        </w:rPr>
        <w:t xml:space="preserve"> </w:t>
      </w:r>
      <w:r w:rsidR="00D248B2" w:rsidRPr="005B5969">
        <w:rPr>
          <w:rFonts w:ascii="Arial" w:hAnsi="Arial" w:cs="Arial"/>
          <w:sz w:val="20"/>
          <w:szCs w:val="20"/>
          <w:lang w:val="pl-PL"/>
        </w:rPr>
        <w:t xml:space="preserve">Podaż dostępnej powierzchni </w:t>
      </w:r>
      <w:r w:rsidR="00E04AFB">
        <w:rPr>
          <w:rFonts w:ascii="Arial" w:hAnsi="Arial" w:cs="Arial"/>
          <w:sz w:val="20"/>
          <w:szCs w:val="20"/>
          <w:lang w:val="pl-PL"/>
        </w:rPr>
        <w:t xml:space="preserve">stopniowo </w:t>
      </w:r>
      <w:r w:rsidR="002A172F" w:rsidRPr="005B5969">
        <w:rPr>
          <w:rFonts w:ascii="Arial" w:hAnsi="Arial" w:cs="Arial"/>
          <w:sz w:val="20"/>
          <w:szCs w:val="20"/>
          <w:lang w:val="pl-PL"/>
        </w:rPr>
        <w:t>maleje wraz z</w:t>
      </w:r>
      <w:r w:rsidR="006368BF" w:rsidRPr="005B5969">
        <w:rPr>
          <w:rFonts w:ascii="Arial" w:hAnsi="Arial" w:cs="Arial"/>
          <w:sz w:val="20"/>
          <w:szCs w:val="20"/>
          <w:lang w:val="pl-PL"/>
        </w:rPr>
        <w:t xml:space="preserve">e spowolnieniem </w:t>
      </w:r>
      <w:r w:rsidR="00A35CFF" w:rsidRPr="005B5969">
        <w:rPr>
          <w:rFonts w:ascii="Arial" w:hAnsi="Arial" w:cs="Arial"/>
          <w:sz w:val="20"/>
          <w:szCs w:val="20"/>
          <w:lang w:val="pl-PL"/>
        </w:rPr>
        <w:t>aktywności budowlanej</w:t>
      </w:r>
      <w:r w:rsidR="005D3AB7">
        <w:rPr>
          <w:rFonts w:ascii="Arial" w:hAnsi="Arial" w:cs="Arial"/>
          <w:sz w:val="20"/>
          <w:szCs w:val="20"/>
          <w:lang w:val="pl-PL"/>
        </w:rPr>
        <w:t xml:space="preserve">. </w:t>
      </w:r>
      <w:r w:rsidR="009340BA">
        <w:rPr>
          <w:rFonts w:ascii="Arial" w:hAnsi="Arial" w:cs="Arial"/>
          <w:sz w:val="20"/>
          <w:szCs w:val="20"/>
          <w:lang w:val="pl-PL"/>
        </w:rPr>
        <w:t>W 2026 roku w</w:t>
      </w:r>
      <w:r w:rsidR="00A35CFF" w:rsidRPr="005B5969">
        <w:rPr>
          <w:rFonts w:ascii="Arial" w:hAnsi="Arial" w:cs="Arial"/>
          <w:sz w:val="20"/>
          <w:szCs w:val="20"/>
          <w:lang w:val="pl-PL"/>
        </w:rPr>
        <w:t xml:space="preserve">skaźniki pustostanów </w:t>
      </w:r>
      <w:r w:rsidR="00BE767D" w:rsidRPr="005B5969">
        <w:rPr>
          <w:rFonts w:ascii="Arial" w:hAnsi="Arial" w:cs="Arial"/>
          <w:sz w:val="20"/>
          <w:szCs w:val="20"/>
          <w:lang w:val="pl-PL"/>
        </w:rPr>
        <w:t>pozostaną na stabilnym poziomie</w:t>
      </w:r>
      <w:r w:rsidR="00EC748F" w:rsidRPr="005B5969">
        <w:rPr>
          <w:rFonts w:ascii="Arial" w:hAnsi="Arial" w:cs="Arial"/>
          <w:sz w:val="20"/>
          <w:szCs w:val="20"/>
          <w:lang w:val="pl-PL"/>
        </w:rPr>
        <w:t xml:space="preserve">, </w:t>
      </w:r>
      <w:r w:rsidR="00802F6C">
        <w:rPr>
          <w:rFonts w:ascii="Arial" w:hAnsi="Arial" w:cs="Arial"/>
          <w:sz w:val="20"/>
          <w:szCs w:val="20"/>
          <w:lang w:val="pl-PL"/>
        </w:rPr>
        <w:t>ale</w:t>
      </w:r>
      <w:r w:rsidR="00A76C73" w:rsidRPr="005B5969">
        <w:rPr>
          <w:rFonts w:ascii="Arial" w:hAnsi="Arial" w:cs="Arial"/>
          <w:sz w:val="20"/>
          <w:szCs w:val="20"/>
          <w:lang w:val="pl-PL"/>
        </w:rPr>
        <w:t xml:space="preserve"> </w:t>
      </w:r>
      <w:r w:rsidR="00EC748F" w:rsidRPr="005B5969">
        <w:rPr>
          <w:rFonts w:ascii="Arial" w:hAnsi="Arial" w:cs="Arial"/>
          <w:sz w:val="20"/>
          <w:szCs w:val="20"/>
          <w:lang w:val="pl-PL"/>
        </w:rPr>
        <w:t xml:space="preserve">w kolejnym mogą zacząć się obniżać. </w:t>
      </w:r>
      <w:r w:rsidR="00353BEA" w:rsidRPr="005B5969">
        <w:rPr>
          <w:rFonts w:ascii="Arial" w:hAnsi="Arial" w:cs="Arial"/>
          <w:sz w:val="20"/>
          <w:szCs w:val="20"/>
          <w:lang w:val="pl-PL"/>
        </w:rPr>
        <w:t>Według prognoz c</w:t>
      </w:r>
      <w:r w:rsidR="00050F69" w:rsidRPr="005B5969">
        <w:rPr>
          <w:rFonts w:ascii="Arial" w:hAnsi="Arial" w:cs="Arial"/>
          <w:sz w:val="20"/>
          <w:szCs w:val="20"/>
          <w:lang w:val="pl-PL"/>
        </w:rPr>
        <w:t xml:space="preserve">zynsze bazowe za powierzchnie logistyczne w najbardziej atrakcyjnych lokalizacjach </w:t>
      </w:r>
      <w:r w:rsidR="00353BEA" w:rsidRPr="005B5969">
        <w:rPr>
          <w:rFonts w:ascii="Arial" w:hAnsi="Arial" w:cs="Arial"/>
          <w:sz w:val="20"/>
          <w:szCs w:val="20"/>
          <w:lang w:val="pl-PL"/>
        </w:rPr>
        <w:t>wzrosną w latach 2026-2027 o ok. 2,2%</w:t>
      </w:r>
      <w:r w:rsidR="001C7C37" w:rsidRPr="005B5969">
        <w:rPr>
          <w:rFonts w:ascii="Arial" w:hAnsi="Arial" w:cs="Arial"/>
          <w:sz w:val="20"/>
          <w:szCs w:val="20"/>
          <w:lang w:val="pl-PL"/>
        </w:rPr>
        <w:t xml:space="preserve">, przy czym </w:t>
      </w:r>
      <w:r w:rsidR="003C579B" w:rsidRPr="005B5969">
        <w:rPr>
          <w:rFonts w:ascii="Arial" w:hAnsi="Arial" w:cs="Arial"/>
          <w:sz w:val="20"/>
          <w:szCs w:val="20"/>
          <w:lang w:val="pl-PL"/>
        </w:rPr>
        <w:t xml:space="preserve">największe wzrosty są </w:t>
      </w:r>
      <w:r w:rsidR="00CC4AAE" w:rsidRPr="005B5969">
        <w:rPr>
          <w:rFonts w:ascii="Arial" w:hAnsi="Arial" w:cs="Arial"/>
          <w:sz w:val="20"/>
          <w:szCs w:val="20"/>
          <w:lang w:val="pl-PL"/>
        </w:rPr>
        <w:t xml:space="preserve">przewidywane </w:t>
      </w:r>
      <w:r w:rsidR="001C7C37" w:rsidRPr="005B5969">
        <w:rPr>
          <w:rFonts w:ascii="Arial" w:hAnsi="Arial" w:cs="Arial"/>
          <w:sz w:val="20"/>
          <w:szCs w:val="20"/>
          <w:lang w:val="pl-PL"/>
        </w:rPr>
        <w:t>w Wielkiej Brytanii, Hiszpanii, Szwecji i Francji.</w:t>
      </w:r>
      <w:r w:rsidR="00F06A64" w:rsidRPr="005B5969">
        <w:rPr>
          <w:rFonts w:ascii="Arial" w:hAnsi="Arial" w:cs="Arial"/>
          <w:sz w:val="20"/>
          <w:szCs w:val="20"/>
          <w:lang w:val="pl-PL"/>
        </w:rPr>
        <w:t xml:space="preserve"> Apetyt inwestorów utrzymuje się na wysokim poziomie</w:t>
      </w:r>
      <w:r w:rsidR="00903A6F" w:rsidRPr="005B5969">
        <w:rPr>
          <w:rFonts w:ascii="Arial" w:hAnsi="Arial" w:cs="Arial"/>
          <w:sz w:val="20"/>
          <w:szCs w:val="20"/>
          <w:lang w:val="pl-PL"/>
        </w:rPr>
        <w:t>, a towarzysz</w:t>
      </w:r>
      <w:r w:rsidR="00E62EE5" w:rsidRPr="005B5969">
        <w:rPr>
          <w:rFonts w:ascii="Arial" w:hAnsi="Arial" w:cs="Arial"/>
          <w:sz w:val="20"/>
          <w:szCs w:val="20"/>
          <w:lang w:val="pl-PL"/>
        </w:rPr>
        <w:t xml:space="preserve">ą </w:t>
      </w:r>
      <w:r w:rsidR="00903A6F" w:rsidRPr="005B5969">
        <w:rPr>
          <w:rFonts w:ascii="Arial" w:hAnsi="Arial" w:cs="Arial"/>
          <w:sz w:val="20"/>
          <w:szCs w:val="20"/>
          <w:lang w:val="pl-PL"/>
        </w:rPr>
        <w:t>temu stabil</w:t>
      </w:r>
      <w:r w:rsidR="00F432B1" w:rsidRPr="005B5969">
        <w:rPr>
          <w:rFonts w:ascii="Arial" w:hAnsi="Arial" w:cs="Arial"/>
          <w:sz w:val="20"/>
          <w:szCs w:val="20"/>
          <w:lang w:val="pl-PL"/>
        </w:rPr>
        <w:t>ne ceny</w:t>
      </w:r>
      <w:r w:rsidR="00E62EE5" w:rsidRPr="005B5969">
        <w:rPr>
          <w:rFonts w:ascii="Arial" w:hAnsi="Arial" w:cs="Arial"/>
          <w:sz w:val="20"/>
          <w:szCs w:val="20"/>
          <w:lang w:val="pl-PL"/>
        </w:rPr>
        <w:t xml:space="preserve"> oraz korzystne </w:t>
      </w:r>
      <w:r w:rsidR="00351D95" w:rsidRPr="005B5969">
        <w:rPr>
          <w:rFonts w:ascii="Arial" w:hAnsi="Arial" w:cs="Arial"/>
          <w:sz w:val="20"/>
          <w:szCs w:val="20"/>
          <w:lang w:val="pl-PL"/>
        </w:rPr>
        <w:t>warunki finansowania dłużnego</w:t>
      </w:r>
      <w:r w:rsidR="00E62EE5" w:rsidRPr="005B5969">
        <w:rPr>
          <w:rFonts w:ascii="Arial" w:hAnsi="Arial" w:cs="Arial"/>
          <w:sz w:val="20"/>
          <w:szCs w:val="20"/>
          <w:lang w:val="pl-PL"/>
        </w:rPr>
        <w:t>, które</w:t>
      </w:r>
      <w:r w:rsidR="00351D95" w:rsidRPr="005B5969">
        <w:rPr>
          <w:rFonts w:ascii="Arial" w:hAnsi="Arial" w:cs="Arial"/>
          <w:sz w:val="20"/>
          <w:szCs w:val="20"/>
          <w:lang w:val="pl-PL"/>
        </w:rPr>
        <w:t xml:space="preserve"> na</w:t>
      </w:r>
      <w:r w:rsidR="00111E19" w:rsidRPr="005B5969">
        <w:rPr>
          <w:rFonts w:ascii="Arial" w:hAnsi="Arial" w:cs="Arial"/>
          <w:sz w:val="20"/>
          <w:szCs w:val="20"/>
          <w:lang w:val="pl-PL"/>
        </w:rPr>
        <w:t xml:space="preserve">leżą do najbardziej atrakcyjnych </w:t>
      </w:r>
      <w:r w:rsidR="00F64C70">
        <w:rPr>
          <w:rFonts w:ascii="Arial" w:hAnsi="Arial" w:cs="Arial"/>
          <w:sz w:val="20"/>
          <w:szCs w:val="20"/>
          <w:lang w:val="pl-PL"/>
        </w:rPr>
        <w:t xml:space="preserve">w porównaniu z </w:t>
      </w:r>
      <w:r w:rsidR="00852F35">
        <w:rPr>
          <w:rFonts w:ascii="Arial" w:hAnsi="Arial" w:cs="Arial"/>
          <w:sz w:val="20"/>
          <w:szCs w:val="20"/>
          <w:lang w:val="pl-PL"/>
        </w:rPr>
        <w:t>innymi klasami</w:t>
      </w:r>
      <w:r w:rsidR="00626E46" w:rsidRPr="005B5969">
        <w:rPr>
          <w:rFonts w:ascii="Arial" w:hAnsi="Arial" w:cs="Arial"/>
          <w:sz w:val="20"/>
          <w:szCs w:val="20"/>
          <w:lang w:val="pl-PL"/>
        </w:rPr>
        <w:t xml:space="preserve"> aktywów.</w:t>
      </w:r>
      <w:r w:rsidR="0047300A" w:rsidRPr="005B5969">
        <w:rPr>
          <w:rFonts w:ascii="Arial" w:hAnsi="Arial" w:cs="Arial"/>
          <w:sz w:val="20"/>
          <w:szCs w:val="20"/>
          <w:lang w:val="pl-PL"/>
        </w:rPr>
        <w:t xml:space="preserve"> Do 2029 roku stopy kapitalizacji </w:t>
      </w:r>
      <w:r w:rsidR="00272F84" w:rsidRPr="005B5969">
        <w:rPr>
          <w:rFonts w:ascii="Arial" w:hAnsi="Arial" w:cs="Arial"/>
          <w:sz w:val="20"/>
          <w:szCs w:val="20"/>
          <w:lang w:val="pl-PL"/>
        </w:rPr>
        <w:t xml:space="preserve">mogą </w:t>
      </w:r>
      <w:r w:rsidR="00EB1ADC" w:rsidRPr="005B5969">
        <w:rPr>
          <w:rFonts w:ascii="Arial" w:hAnsi="Arial" w:cs="Arial"/>
          <w:sz w:val="20"/>
          <w:szCs w:val="20"/>
          <w:lang w:val="pl-PL"/>
        </w:rPr>
        <w:t>spać o 40-75 punktów bazowych</w:t>
      </w:r>
      <w:r w:rsidR="001F298D" w:rsidRPr="005B5969">
        <w:rPr>
          <w:rFonts w:ascii="Arial" w:hAnsi="Arial" w:cs="Arial"/>
          <w:sz w:val="20"/>
          <w:szCs w:val="20"/>
          <w:lang w:val="pl-PL"/>
        </w:rPr>
        <w:t>.</w:t>
      </w:r>
    </w:p>
    <w:p w14:paraId="7E2553EB" w14:textId="77777777" w:rsidR="00247901" w:rsidRDefault="000D2ED0" w:rsidP="00247901">
      <w:pPr>
        <w:tabs>
          <w:tab w:val="left" w:pos="5630"/>
        </w:tabs>
        <w:spacing w:line="240" w:lineRule="auto"/>
        <w:jc w:val="both"/>
        <w:rPr>
          <w:lang w:val="pl-PL"/>
        </w:rPr>
      </w:pPr>
      <w:r w:rsidRPr="005B5969">
        <w:rPr>
          <w:rFonts w:ascii="Arial" w:hAnsi="Arial" w:cs="Arial"/>
          <w:b/>
          <w:bCs/>
          <w:sz w:val="20"/>
          <w:szCs w:val="20"/>
          <w:lang w:val="pl-PL"/>
        </w:rPr>
        <w:t xml:space="preserve">Transformacja sektora handlowego – </w:t>
      </w:r>
      <w:r w:rsidR="00C1083C" w:rsidRPr="005B5969">
        <w:rPr>
          <w:rFonts w:ascii="Arial" w:hAnsi="Arial" w:cs="Arial"/>
          <w:b/>
          <w:bCs/>
          <w:sz w:val="20"/>
          <w:szCs w:val="20"/>
          <w:lang w:val="pl-PL"/>
        </w:rPr>
        <w:t xml:space="preserve">wzrost znaczenia </w:t>
      </w:r>
      <w:r w:rsidRPr="005B5969">
        <w:rPr>
          <w:rFonts w:ascii="Arial" w:hAnsi="Arial" w:cs="Arial"/>
          <w:b/>
          <w:bCs/>
          <w:sz w:val="20"/>
          <w:szCs w:val="20"/>
          <w:lang w:val="pl-PL"/>
        </w:rPr>
        <w:t>format</w:t>
      </w:r>
      <w:r w:rsidR="00C1083C" w:rsidRPr="005B5969">
        <w:rPr>
          <w:rFonts w:ascii="Arial" w:hAnsi="Arial" w:cs="Arial"/>
          <w:b/>
          <w:bCs/>
          <w:sz w:val="20"/>
          <w:szCs w:val="20"/>
          <w:lang w:val="pl-PL"/>
        </w:rPr>
        <w:t xml:space="preserve">ów nastawionych na doświadczenia oraz lokalizacji </w:t>
      </w:r>
      <w:proofErr w:type="spellStart"/>
      <w:r w:rsidR="00C1083C" w:rsidRPr="005B5969">
        <w:rPr>
          <w:rFonts w:ascii="Arial" w:hAnsi="Arial" w:cs="Arial"/>
          <w:b/>
          <w:bCs/>
          <w:sz w:val="20"/>
          <w:szCs w:val="20"/>
          <w:lang w:val="pl-PL"/>
        </w:rPr>
        <w:t>prime</w:t>
      </w:r>
      <w:proofErr w:type="spellEnd"/>
      <w:r w:rsidR="00C1083C" w:rsidRPr="005B5969">
        <w:rPr>
          <w:lang w:val="pl-PL"/>
        </w:rPr>
        <w:t xml:space="preserve"> </w:t>
      </w:r>
    </w:p>
    <w:p w14:paraId="06CB334F" w14:textId="066F7D44" w:rsidR="001F298D" w:rsidRPr="005B5969" w:rsidRDefault="008B51E8" w:rsidP="00247901">
      <w:pPr>
        <w:tabs>
          <w:tab w:val="left" w:pos="5630"/>
        </w:tabs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5B5969">
        <w:rPr>
          <w:rFonts w:ascii="Arial" w:hAnsi="Arial" w:cs="Arial"/>
          <w:sz w:val="20"/>
          <w:szCs w:val="20"/>
          <w:lang w:val="pl-PL"/>
        </w:rPr>
        <w:t>W naj</w:t>
      </w:r>
      <w:r w:rsidR="00BB375C" w:rsidRPr="005B5969">
        <w:rPr>
          <w:rFonts w:ascii="Arial" w:hAnsi="Arial" w:cs="Arial"/>
          <w:sz w:val="20"/>
          <w:szCs w:val="20"/>
          <w:lang w:val="pl-PL"/>
        </w:rPr>
        <w:t xml:space="preserve">większych miastach europejskich, m.in. w Madrycie, Mediolanie i Paryżu, obserwuje się wyraźne odbicie sprzedaży detalicznej i poprawę </w:t>
      </w:r>
      <w:r w:rsidR="00230ACC" w:rsidRPr="005B5969">
        <w:rPr>
          <w:rFonts w:ascii="Arial" w:hAnsi="Arial" w:cs="Arial"/>
          <w:sz w:val="20"/>
          <w:szCs w:val="20"/>
          <w:lang w:val="pl-PL"/>
        </w:rPr>
        <w:t>nastrojów</w:t>
      </w:r>
      <w:r w:rsidR="00170727" w:rsidRPr="005B5969">
        <w:rPr>
          <w:rFonts w:ascii="Arial" w:hAnsi="Arial" w:cs="Arial"/>
          <w:sz w:val="20"/>
          <w:szCs w:val="20"/>
          <w:lang w:val="pl-PL"/>
        </w:rPr>
        <w:t>, a s</w:t>
      </w:r>
      <w:r w:rsidR="00704611" w:rsidRPr="005B5969">
        <w:rPr>
          <w:rFonts w:ascii="Arial" w:hAnsi="Arial" w:cs="Arial"/>
          <w:sz w:val="20"/>
          <w:szCs w:val="20"/>
          <w:lang w:val="pl-PL"/>
        </w:rPr>
        <w:t xml:space="preserve">klepy stacjonarne </w:t>
      </w:r>
      <w:r w:rsidR="00864609" w:rsidRPr="005B5969">
        <w:rPr>
          <w:rFonts w:ascii="Arial" w:hAnsi="Arial" w:cs="Arial"/>
          <w:sz w:val="20"/>
          <w:szCs w:val="20"/>
          <w:lang w:val="pl-PL"/>
        </w:rPr>
        <w:t xml:space="preserve">ewoluują w kierunku </w:t>
      </w:r>
      <w:r w:rsidR="00D7189D" w:rsidRPr="005B5969">
        <w:rPr>
          <w:rFonts w:ascii="Arial" w:hAnsi="Arial" w:cs="Arial"/>
          <w:sz w:val="20"/>
          <w:szCs w:val="20"/>
          <w:lang w:val="pl-PL"/>
        </w:rPr>
        <w:t>destynacji</w:t>
      </w:r>
      <w:r w:rsidR="00792CFE" w:rsidRPr="005B5969">
        <w:rPr>
          <w:rFonts w:ascii="Arial" w:hAnsi="Arial" w:cs="Arial"/>
          <w:sz w:val="20"/>
          <w:szCs w:val="20"/>
          <w:lang w:val="pl-PL"/>
        </w:rPr>
        <w:t xml:space="preserve"> oferujących </w:t>
      </w:r>
      <w:r w:rsidR="003B5912">
        <w:rPr>
          <w:rFonts w:ascii="Arial" w:hAnsi="Arial" w:cs="Arial"/>
          <w:sz w:val="20"/>
          <w:szCs w:val="20"/>
          <w:lang w:val="pl-PL"/>
        </w:rPr>
        <w:t xml:space="preserve">osobisty </w:t>
      </w:r>
      <w:r w:rsidR="00792CFE" w:rsidRPr="005B5969">
        <w:rPr>
          <w:rFonts w:ascii="Arial" w:hAnsi="Arial" w:cs="Arial"/>
          <w:sz w:val="20"/>
          <w:szCs w:val="20"/>
          <w:lang w:val="pl-PL"/>
        </w:rPr>
        <w:t>kontakt z marką.</w:t>
      </w:r>
      <w:r w:rsidR="00D913BE" w:rsidRPr="005B5969">
        <w:rPr>
          <w:rFonts w:ascii="Arial" w:hAnsi="Arial" w:cs="Arial"/>
          <w:sz w:val="20"/>
          <w:szCs w:val="20"/>
          <w:lang w:val="pl-PL"/>
        </w:rPr>
        <w:t xml:space="preserve"> </w:t>
      </w:r>
      <w:r w:rsidR="00D84588" w:rsidRPr="005B5969">
        <w:rPr>
          <w:rFonts w:ascii="Arial" w:hAnsi="Arial" w:cs="Arial"/>
          <w:sz w:val="20"/>
          <w:szCs w:val="20"/>
          <w:lang w:val="pl-PL"/>
        </w:rPr>
        <w:t>Według prognoz czynsze za wynajem najbardziej atrakcyjnych lokali handlowych</w:t>
      </w:r>
      <w:r w:rsidR="003651E1" w:rsidRPr="005B5969">
        <w:rPr>
          <w:rFonts w:ascii="Arial" w:hAnsi="Arial" w:cs="Arial"/>
          <w:sz w:val="20"/>
          <w:szCs w:val="20"/>
          <w:lang w:val="pl-PL"/>
        </w:rPr>
        <w:t xml:space="preserve"> będą rosły w najbliższych dwóch latach w tempie 1,9% rocznie</w:t>
      </w:r>
      <w:r w:rsidR="00902D9A" w:rsidRPr="005B5969">
        <w:rPr>
          <w:rFonts w:ascii="Arial" w:hAnsi="Arial" w:cs="Arial"/>
          <w:sz w:val="20"/>
          <w:szCs w:val="20"/>
          <w:lang w:val="pl-PL"/>
        </w:rPr>
        <w:t xml:space="preserve">, głównie za sprawą wzrostów w najlepszych lokalizacjach i obiektach. </w:t>
      </w:r>
      <w:r w:rsidR="006A5C94" w:rsidRPr="005B5969">
        <w:rPr>
          <w:rFonts w:ascii="Arial" w:hAnsi="Arial" w:cs="Arial"/>
          <w:sz w:val="20"/>
          <w:szCs w:val="20"/>
          <w:lang w:val="pl-PL"/>
        </w:rPr>
        <w:t>Jednocześnie wzrasta zaufanie inwestorów do sektora handlowego, który</w:t>
      </w:r>
      <w:r w:rsidR="0050416C" w:rsidRPr="005B5969">
        <w:rPr>
          <w:rFonts w:ascii="Arial" w:hAnsi="Arial" w:cs="Arial"/>
          <w:sz w:val="20"/>
          <w:szCs w:val="20"/>
          <w:lang w:val="pl-PL"/>
        </w:rPr>
        <w:t xml:space="preserve"> odpowiada </w:t>
      </w:r>
      <w:r w:rsidR="00911CE4" w:rsidRPr="005B5969">
        <w:rPr>
          <w:rFonts w:ascii="Arial" w:hAnsi="Arial" w:cs="Arial"/>
          <w:sz w:val="20"/>
          <w:szCs w:val="20"/>
          <w:lang w:val="pl-PL"/>
        </w:rPr>
        <w:t xml:space="preserve">już </w:t>
      </w:r>
      <w:r w:rsidR="0050416C" w:rsidRPr="005B5969">
        <w:rPr>
          <w:rFonts w:ascii="Arial" w:hAnsi="Arial" w:cs="Arial"/>
          <w:sz w:val="20"/>
          <w:szCs w:val="20"/>
          <w:lang w:val="pl-PL"/>
        </w:rPr>
        <w:t xml:space="preserve">za 16% całkowitego wolumenu transakcji inwestycyjnych </w:t>
      </w:r>
      <w:r w:rsidR="00911CE4" w:rsidRPr="005B5969">
        <w:rPr>
          <w:rFonts w:ascii="Arial" w:hAnsi="Arial" w:cs="Arial"/>
          <w:sz w:val="20"/>
          <w:szCs w:val="20"/>
          <w:lang w:val="pl-PL"/>
        </w:rPr>
        <w:t xml:space="preserve">w Europie w porównaniu z zaledwie 12-procentowym udziałem w 2021 roku. </w:t>
      </w:r>
      <w:r w:rsidR="00772B16" w:rsidRPr="005B5969">
        <w:rPr>
          <w:rFonts w:ascii="Arial" w:hAnsi="Arial" w:cs="Arial"/>
          <w:sz w:val="20"/>
          <w:szCs w:val="20"/>
          <w:lang w:val="pl-PL"/>
        </w:rPr>
        <w:t>Coraz częściej</w:t>
      </w:r>
      <w:r w:rsidR="008F074D" w:rsidRPr="005B5969">
        <w:rPr>
          <w:rFonts w:ascii="Arial" w:hAnsi="Arial" w:cs="Arial"/>
          <w:sz w:val="20"/>
          <w:szCs w:val="20"/>
          <w:lang w:val="pl-PL"/>
        </w:rPr>
        <w:t xml:space="preserve"> </w:t>
      </w:r>
      <w:r w:rsidR="00A63F8B" w:rsidRPr="005B5969">
        <w:rPr>
          <w:rFonts w:ascii="Arial" w:hAnsi="Arial" w:cs="Arial"/>
          <w:sz w:val="20"/>
          <w:szCs w:val="20"/>
          <w:lang w:val="pl-PL"/>
        </w:rPr>
        <w:t xml:space="preserve">obserwuje się również większe transakcje o wartości od </w:t>
      </w:r>
      <w:r w:rsidR="00A63F8B" w:rsidRPr="005B5969">
        <w:rPr>
          <w:rFonts w:ascii="Arial" w:hAnsi="Arial" w:cs="Arial"/>
          <w:sz w:val="20"/>
          <w:szCs w:val="20"/>
          <w:lang w:val="pl-PL"/>
        </w:rPr>
        <w:lastRenderedPageBreak/>
        <w:t xml:space="preserve">250 mln euro wzwyż, zwłaszcza w Europie Południowej i Środkowej. </w:t>
      </w:r>
      <w:r w:rsidR="000A7859" w:rsidRPr="005B5969">
        <w:rPr>
          <w:rFonts w:ascii="Arial" w:hAnsi="Arial" w:cs="Arial"/>
          <w:sz w:val="20"/>
          <w:szCs w:val="20"/>
          <w:lang w:val="pl-PL"/>
        </w:rPr>
        <w:t xml:space="preserve">W niektórych regionach </w:t>
      </w:r>
      <w:r w:rsidR="000A7859" w:rsidRPr="00F71E23">
        <w:rPr>
          <w:rFonts w:ascii="Arial" w:hAnsi="Arial" w:cs="Arial"/>
          <w:sz w:val="20"/>
          <w:szCs w:val="20"/>
          <w:lang w:val="pl-PL"/>
        </w:rPr>
        <w:t>c</w:t>
      </w:r>
      <w:r w:rsidR="00314DAC" w:rsidRPr="00F71E23">
        <w:rPr>
          <w:rFonts w:ascii="Arial" w:hAnsi="Arial" w:cs="Arial"/>
          <w:sz w:val="20"/>
          <w:szCs w:val="20"/>
          <w:lang w:val="pl-PL"/>
        </w:rPr>
        <w:t xml:space="preserve">eny </w:t>
      </w:r>
      <w:r w:rsidR="00445350" w:rsidRPr="00F71E23">
        <w:rPr>
          <w:rFonts w:ascii="Arial" w:hAnsi="Arial" w:cs="Arial"/>
          <w:sz w:val="20"/>
          <w:szCs w:val="20"/>
          <w:lang w:val="pl-PL"/>
        </w:rPr>
        <w:t xml:space="preserve">nieruchomości </w:t>
      </w:r>
      <w:r w:rsidR="009D0953" w:rsidRPr="00F71E23">
        <w:rPr>
          <w:rFonts w:ascii="Arial" w:hAnsi="Arial" w:cs="Arial"/>
          <w:sz w:val="20"/>
          <w:szCs w:val="20"/>
          <w:lang w:val="pl-PL"/>
        </w:rPr>
        <w:t xml:space="preserve">w tym sektorze </w:t>
      </w:r>
      <w:r w:rsidR="00314DAC" w:rsidRPr="00F71E23">
        <w:rPr>
          <w:rFonts w:ascii="Arial" w:hAnsi="Arial" w:cs="Arial"/>
          <w:sz w:val="20"/>
          <w:szCs w:val="20"/>
          <w:lang w:val="pl-PL"/>
        </w:rPr>
        <w:t xml:space="preserve">zaczynają </w:t>
      </w:r>
      <w:r w:rsidR="009D0953" w:rsidRPr="00F71E23">
        <w:rPr>
          <w:rFonts w:ascii="Arial" w:hAnsi="Arial" w:cs="Arial"/>
          <w:sz w:val="20"/>
          <w:szCs w:val="20"/>
          <w:lang w:val="pl-PL"/>
        </w:rPr>
        <w:t>wzrastać</w:t>
      </w:r>
      <w:r w:rsidR="000A7859" w:rsidRPr="005B5969">
        <w:rPr>
          <w:rFonts w:ascii="Arial" w:hAnsi="Arial" w:cs="Arial"/>
          <w:sz w:val="20"/>
          <w:szCs w:val="20"/>
          <w:lang w:val="pl-PL"/>
        </w:rPr>
        <w:t xml:space="preserve">, </w:t>
      </w:r>
      <w:r w:rsidR="009D0953" w:rsidRPr="005B5969">
        <w:rPr>
          <w:rFonts w:ascii="Arial" w:hAnsi="Arial" w:cs="Arial"/>
          <w:sz w:val="20"/>
          <w:szCs w:val="20"/>
          <w:lang w:val="pl-PL"/>
        </w:rPr>
        <w:t xml:space="preserve">przy jednoczesnej kompresji stóp kapitalizacji dla parków i centrów handlowych </w:t>
      </w:r>
      <w:r w:rsidR="00531932" w:rsidRPr="005B5969">
        <w:rPr>
          <w:rFonts w:ascii="Arial" w:hAnsi="Arial" w:cs="Arial"/>
          <w:sz w:val="20"/>
          <w:szCs w:val="20"/>
          <w:lang w:val="pl-PL"/>
        </w:rPr>
        <w:t>w ostatnich kilku kwartał</w:t>
      </w:r>
      <w:r w:rsidR="00760DE3">
        <w:rPr>
          <w:rFonts w:ascii="Arial" w:hAnsi="Arial" w:cs="Arial"/>
          <w:sz w:val="20"/>
          <w:szCs w:val="20"/>
          <w:lang w:val="pl-PL"/>
        </w:rPr>
        <w:t>ach</w:t>
      </w:r>
      <w:r w:rsidR="00531932" w:rsidRPr="005B5969">
        <w:rPr>
          <w:rFonts w:ascii="Arial" w:hAnsi="Arial" w:cs="Arial"/>
          <w:sz w:val="20"/>
          <w:szCs w:val="20"/>
          <w:lang w:val="pl-PL"/>
        </w:rPr>
        <w:t xml:space="preserve">. </w:t>
      </w:r>
      <w:r w:rsidR="004A6E15" w:rsidRPr="005B5969">
        <w:rPr>
          <w:rFonts w:ascii="Arial" w:hAnsi="Arial" w:cs="Arial"/>
          <w:sz w:val="20"/>
          <w:szCs w:val="20"/>
          <w:lang w:val="pl-PL"/>
        </w:rPr>
        <w:t>Ten trend może się utrzymać w najbliższym czasie</w:t>
      </w:r>
      <w:r w:rsidR="007A03BC" w:rsidRPr="005B5969">
        <w:rPr>
          <w:rFonts w:ascii="Arial" w:hAnsi="Arial" w:cs="Arial"/>
          <w:sz w:val="20"/>
          <w:szCs w:val="20"/>
          <w:lang w:val="pl-PL"/>
        </w:rPr>
        <w:t>, a stopy kapitalizacji dla najlepszych aktywów w Europie mogą spaść w latach 2026-2029 o 15</w:t>
      </w:r>
      <w:r w:rsidR="006B0DCC" w:rsidRPr="005B5969">
        <w:rPr>
          <w:rFonts w:ascii="Arial" w:hAnsi="Arial" w:cs="Arial"/>
          <w:sz w:val="20"/>
          <w:szCs w:val="20"/>
          <w:lang w:val="pl-PL"/>
        </w:rPr>
        <w:t>-55 punktów bazowych</w:t>
      </w:r>
      <w:r w:rsidR="001F298D" w:rsidRPr="005B5969">
        <w:rPr>
          <w:rFonts w:ascii="Arial" w:hAnsi="Arial" w:cs="Arial"/>
          <w:sz w:val="20"/>
          <w:szCs w:val="20"/>
          <w:lang w:val="pl-PL"/>
        </w:rPr>
        <w:t xml:space="preserve">. </w:t>
      </w:r>
    </w:p>
    <w:p w14:paraId="569ADA97" w14:textId="77777777" w:rsidR="00861003" w:rsidRDefault="00F4270A" w:rsidP="00247901">
      <w:pPr>
        <w:tabs>
          <w:tab w:val="left" w:pos="5630"/>
        </w:tabs>
        <w:spacing w:line="240" w:lineRule="auto"/>
        <w:jc w:val="both"/>
        <w:rPr>
          <w:lang w:val="pl-PL"/>
        </w:rPr>
      </w:pPr>
      <w:r w:rsidRPr="005B5969">
        <w:rPr>
          <w:rFonts w:ascii="Arial" w:hAnsi="Arial" w:cs="Arial"/>
          <w:b/>
          <w:bCs/>
          <w:sz w:val="20"/>
          <w:szCs w:val="20"/>
          <w:lang w:val="pl-PL"/>
        </w:rPr>
        <w:t xml:space="preserve">Sektor </w:t>
      </w:r>
      <w:proofErr w:type="spellStart"/>
      <w:r w:rsidRPr="005B5969">
        <w:rPr>
          <w:rFonts w:ascii="Arial" w:hAnsi="Arial" w:cs="Arial"/>
          <w:b/>
          <w:bCs/>
          <w:sz w:val="20"/>
          <w:szCs w:val="20"/>
          <w:lang w:val="pl-PL"/>
        </w:rPr>
        <w:t>l</w:t>
      </w:r>
      <w:r w:rsidR="001F298D" w:rsidRPr="005B5969">
        <w:rPr>
          <w:rFonts w:ascii="Arial" w:hAnsi="Arial" w:cs="Arial"/>
          <w:b/>
          <w:bCs/>
          <w:sz w:val="20"/>
          <w:szCs w:val="20"/>
          <w:lang w:val="pl-PL"/>
        </w:rPr>
        <w:t>iving</w:t>
      </w:r>
      <w:proofErr w:type="spellEnd"/>
      <w:r w:rsidR="001F298D" w:rsidRPr="005B5969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 w:rsidRPr="005B5969">
        <w:rPr>
          <w:rFonts w:ascii="Arial" w:hAnsi="Arial" w:cs="Arial"/>
          <w:b/>
          <w:bCs/>
          <w:sz w:val="20"/>
          <w:szCs w:val="20"/>
          <w:lang w:val="pl-PL"/>
        </w:rPr>
        <w:t xml:space="preserve">– </w:t>
      </w:r>
      <w:r w:rsidR="00CD1980" w:rsidRPr="005B5969">
        <w:rPr>
          <w:rFonts w:ascii="Arial" w:hAnsi="Arial" w:cs="Arial"/>
          <w:b/>
          <w:bCs/>
          <w:sz w:val="20"/>
          <w:szCs w:val="20"/>
          <w:lang w:val="pl-PL"/>
        </w:rPr>
        <w:t>utrzymujący się popyt i wsparcie rządowe fundamentem wzrostu</w:t>
      </w:r>
      <w:r w:rsidR="00CD1980" w:rsidRPr="005B5969">
        <w:rPr>
          <w:lang w:val="pl-PL"/>
        </w:rPr>
        <w:t xml:space="preserve"> </w:t>
      </w:r>
    </w:p>
    <w:p w14:paraId="4B67B6D5" w14:textId="5A2B1FF8" w:rsidR="00861003" w:rsidRPr="00275194" w:rsidRDefault="00967985" w:rsidP="00247901">
      <w:pPr>
        <w:tabs>
          <w:tab w:val="left" w:pos="5630"/>
        </w:tabs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5B5969">
        <w:rPr>
          <w:rFonts w:ascii="Arial" w:hAnsi="Arial" w:cs="Arial"/>
          <w:sz w:val="20"/>
          <w:szCs w:val="20"/>
          <w:lang w:val="pl-PL"/>
        </w:rPr>
        <w:t>Ze względu na trendy demograficzne i społeczne p</w:t>
      </w:r>
      <w:r w:rsidR="005D755D" w:rsidRPr="005B5969">
        <w:rPr>
          <w:rFonts w:ascii="Arial" w:hAnsi="Arial" w:cs="Arial"/>
          <w:sz w:val="20"/>
          <w:szCs w:val="20"/>
          <w:lang w:val="pl-PL"/>
        </w:rPr>
        <w:t xml:space="preserve">opyt w sektorze </w:t>
      </w:r>
      <w:proofErr w:type="spellStart"/>
      <w:r w:rsidR="005D755D" w:rsidRPr="005B5969">
        <w:rPr>
          <w:rFonts w:ascii="Arial" w:hAnsi="Arial" w:cs="Arial"/>
          <w:sz w:val="20"/>
          <w:szCs w:val="20"/>
          <w:lang w:val="pl-PL"/>
        </w:rPr>
        <w:t>living</w:t>
      </w:r>
      <w:proofErr w:type="spellEnd"/>
      <w:r w:rsidR="005D755D" w:rsidRPr="005B5969">
        <w:rPr>
          <w:rFonts w:ascii="Arial" w:hAnsi="Arial" w:cs="Arial"/>
          <w:sz w:val="20"/>
          <w:szCs w:val="20"/>
          <w:lang w:val="pl-PL"/>
        </w:rPr>
        <w:t xml:space="preserve"> utrzyma się na wysokim poziomie</w:t>
      </w:r>
      <w:r w:rsidR="00615957" w:rsidRPr="005B5969">
        <w:rPr>
          <w:rFonts w:ascii="Arial" w:hAnsi="Arial" w:cs="Arial"/>
          <w:sz w:val="20"/>
          <w:szCs w:val="20"/>
          <w:lang w:val="pl-PL"/>
        </w:rPr>
        <w:t xml:space="preserve">, </w:t>
      </w:r>
      <w:r w:rsidR="00617463" w:rsidRPr="005B5969">
        <w:rPr>
          <w:rFonts w:ascii="Arial" w:hAnsi="Arial" w:cs="Arial"/>
          <w:sz w:val="20"/>
          <w:szCs w:val="20"/>
          <w:lang w:val="pl-PL"/>
        </w:rPr>
        <w:t xml:space="preserve">wciąż </w:t>
      </w:r>
      <w:r w:rsidR="00615957" w:rsidRPr="005B5969">
        <w:rPr>
          <w:rFonts w:ascii="Arial" w:hAnsi="Arial" w:cs="Arial"/>
          <w:sz w:val="20"/>
          <w:szCs w:val="20"/>
          <w:lang w:val="pl-PL"/>
        </w:rPr>
        <w:t>przewyższając podaż.</w:t>
      </w:r>
      <w:r w:rsidR="00180797" w:rsidRPr="005B5969">
        <w:rPr>
          <w:rFonts w:ascii="Arial" w:hAnsi="Arial" w:cs="Arial"/>
          <w:sz w:val="20"/>
          <w:szCs w:val="20"/>
          <w:lang w:val="pl-PL"/>
        </w:rPr>
        <w:t xml:space="preserve"> </w:t>
      </w:r>
      <w:r w:rsidR="00DB214E" w:rsidRPr="005B5969">
        <w:rPr>
          <w:rFonts w:ascii="Arial" w:hAnsi="Arial" w:cs="Arial"/>
          <w:sz w:val="20"/>
          <w:szCs w:val="20"/>
          <w:lang w:val="pl-PL"/>
        </w:rPr>
        <w:t xml:space="preserve">Liczba pozwoleń na budowę w krajach takich jak Wielka Brytania i Niemcy </w:t>
      </w:r>
      <w:r w:rsidR="003325FB" w:rsidRPr="005B5969">
        <w:rPr>
          <w:rFonts w:ascii="Arial" w:hAnsi="Arial" w:cs="Arial"/>
          <w:sz w:val="20"/>
          <w:szCs w:val="20"/>
          <w:lang w:val="pl-PL"/>
        </w:rPr>
        <w:t xml:space="preserve">spadła </w:t>
      </w:r>
      <w:r w:rsidR="00A628FB" w:rsidRPr="005B5969">
        <w:rPr>
          <w:rFonts w:ascii="Arial" w:hAnsi="Arial" w:cs="Arial"/>
          <w:sz w:val="20"/>
          <w:szCs w:val="20"/>
          <w:lang w:val="pl-PL"/>
        </w:rPr>
        <w:t xml:space="preserve">najniższego poziomu </w:t>
      </w:r>
      <w:r w:rsidR="00EA2846" w:rsidRPr="005B5969">
        <w:rPr>
          <w:rFonts w:ascii="Arial" w:hAnsi="Arial" w:cs="Arial"/>
          <w:sz w:val="20"/>
          <w:szCs w:val="20"/>
          <w:lang w:val="pl-PL"/>
        </w:rPr>
        <w:t xml:space="preserve">od wielu lat, co przełoży się na </w:t>
      </w:r>
      <w:r w:rsidR="003B5912">
        <w:rPr>
          <w:rFonts w:ascii="Arial" w:hAnsi="Arial" w:cs="Arial"/>
          <w:sz w:val="20"/>
          <w:szCs w:val="20"/>
          <w:lang w:val="pl-PL"/>
        </w:rPr>
        <w:t xml:space="preserve">dalszą </w:t>
      </w:r>
      <w:r w:rsidR="00EA2846" w:rsidRPr="005B5969">
        <w:rPr>
          <w:rFonts w:ascii="Arial" w:hAnsi="Arial" w:cs="Arial"/>
          <w:sz w:val="20"/>
          <w:szCs w:val="20"/>
          <w:lang w:val="pl-PL"/>
        </w:rPr>
        <w:t xml:space="preserve">presję </w:t>
      </w:r>
      <w:r w:rsidR="00C16299" w:rsidRPr="005B5969">
        <w:rPr>
          <w:rFonts w:ascii="Arial" w:hAnsi="Arial" w:cs="Arial"/>
          <w:sz w:val="20"/>
          <w:szCs w:val="20"/>
          <w:lang w:val="pl-PL"/>
        </w:rPr>
        <w:t xml:space="preserve">na </w:t>
      </w:r>
      <w:r w:rsidR="00EA2846" w:rsidRPr="005B5969">
        <w:rPr>
          <w:rFonts w:ascii="Arial" w:hAnsi="Arial" w:cs="Arial"/>
          <w:sz w:val="20"/>
          <w:szCs w:val="20"/>
          <w:lang w:val="pl-PL"/>
        </w:rPr>
        <w:t>poda</w:t>
      </w:r>
      <w:r w:rsidR="00C16299" w:rsidRPr="005B5969">
        <w:rPr>
          <w:rFonts w:ascii="Arial" w:hAnsi="Arial" w:cs="Arial"/>
          <w:sz w:val="20"/>
          <w:szCs w:val="20"/>
          <w:lang w:val="pl-PL"/>
        </w:rPr>
        <w:t>ż</w:t>
      </w:r>
      <w:r w:rsidR="00623C15" w:rsidRPr="005B5969">
        <w:rPr>
          <w:rFonts w:ascii="Arial" w:hAnsi="Arial" w:cs="Arial"/>
          <w:sz w:val="20"/>
          <w:szCs w:val="20"/>
          <w:lang w:val="pl-PL"/>
        </w:rPr>
        <w:t xml:space="preserve">. </w:t>
      </w:r>
      <w:r w:rsidR="003762D7" w:rsidRPr="005B5969">
        <w:rPr>
          <w:rFonts w:ascii="Arial" w:hAnsi="Arial" w:cs="Arial"/>
          <w:sz w:val="20"/>
          <w:szCs w:val="20"/>
          <w:lang w:val="pl-PL"/>
        </w:rPr>
        <w:t>W 2026 roku c</w:t>
      </w:r>
      <w:r w:rsidR="00623C15" w:rsidRPr="005B5969">
        <w:rPr>
          <w:rFonts w:ascii="Arial" w:hAnsi="Arial" w:cs="Arial"/>
          <w:sz w:val="20"/>
          <w:szCs w:val="20"/>
          <w:lang w:val="pl-PL"/>
        </w:rPr>
        <w:t>zynsze</w:t>
      </w:r>
      <w:r w:rsidR="00BC61BD" w:rsidRPr="005B5969">
        <w:rPr>
          <w:rFonts w:ascii="Arial" w:hAnsi="Arial" w:cs="Arial"/>
          <w:sz w:val="20"/>
          <w:szCs w:val="20"/>
          <w:lang w:val="pl-PL"/>
        </w:rPr>
        <w:t xml:space="preserve"> w sektorze PRS</w:t>
      </w:r>
      <w:r w:rsidR="003762D7" w:rsidRPr="005B5969">
        <w:rPr>
          <w:rFonts w:ascii="Arial" w:hAnsi="Arial" w:cs="Arial"/>
          <w:sz w:val="20"/>
          <w:szCs w:val="20"/>
          <w:lang w:val="pl-PL"/>
        </w:rPr>
        <w:t xml:space="preserve"> mogą wzrosnąć o 3,7% w Wielkiej Brytanii, o 3,1% w Niemczech</w:t>
      </w:r>
      <w:r w:rsidR="002F68A1" w:rsidRPr="005B5969">
        <w:rPr>
          <w:rFonts w:ascii="Arial" w:hAnsi="Arial" w:cs="Arial"/>
          <w:sz w:val="20"/>
          <w:szCs w:val="20"/>
          <w:lang w:val="pl-PL"/>
        </w:rPr>
        <w:t xml:space="preserve"> i o 5,3% w Hiszpanii, przy jednocześnie znacznych wzrostach prognozowanych w Holandii. </w:t>
      </w:r>
      <w:r w:rsidR="006A5EEB" w:rsidRPr="005B5969">
        <w:rPr>
          <w:rFonts w:ascii="Arial" w:hAnsi="Arial" w:cs="Arial"/>
          <w:sz w:val="20"/>
          <w:szCs w:val="20"/>
          <w:lang w:val="pl-PL"/>
        </w:rPr>
        <w:t xml:space="preserve">Choć </w:t>
      </w:r>
      <w:r w:rsidR="00CD1980" w:rsidRPr="005B5969">
        <w:rPr>
          <w:rFonts w:ascii="Arial" w:hAnsi="Arial" w:cs="Arial"/>
          <w:sz w:val="20"/>
          <w:szCs w:val="20"/>
          <w:lang w:val="pl-PL"/>
        </w:rPr>
        <w:t>k</w:t>
      </w:r>
      <w:r w:rsidR="00E066D9" w:rsidRPr="005B5969">
        <w:rPr>
          <w:rFonts w:ascii="Arial" w:hAnsi="Arial" w:cs="Arial"/>
          <w:sz w:val="20"/>
          <w:szCs w:val="20"/>
          <w:lang w:val="pl-PL"/>
        </w:rPr>
        <w:t xml:space="preserve">oszty budowy pozostają wysokie, </w:t>
      </w:r>
      <w:r w:rsidR="006A5EEB" w:rsidRPr="005B5969">
        <w:rPr>
          <w:rFonts w:ascii="Arial" w:hAnsi="Arial" w:cs="Arial"/>
          <w:sz w:val="20"/>
          <w:szCs w:val="20"/>
          <w:lang w:val="pl-PL"/>
        </w:rPr>
        <w:t xml:space="preserve">rozwiązania </w:t>
      </w:r>
      <w:r w:rsidR="0045307A" w:rsidRPr="005B5969">
        <w:rPr>
          <w:rFonts w:ascii="Arial" w:hAnsi="Arial" w:cs="Arial"/>
          <w:sz w:val="20"/>
          <w:szCs w:val="20"/>
          <w:lang w:val="pl-PL"/>
        </w:rPr>
        <w:t>wprowadzane przez rząd</w:t>
      </w:r>
      <w:r w:rsidR="003B5912">
        <w:rPr>
          <w:rFonts w:ascii="Arial" w:hAnsi="Arial" w:cs="Arial"/>
          <w:sz w:val="20"/>
          <w:szCs w:val="20"/>
          <w:lang w:val="pl-PL"/>
        </w:rPr>
        <w:t>y</w:t>
      </w:r>
      <w:r w:rsidR="0045307A" w:rsidRPr="005B5969">
        <w:rPr>
          <w:rFonts w:ascii="Arial" w:hAnsi="Arial" w:cs="Arial"/>
          <w:sz w:val="20"/>
          <w:szCs w:val="20"/>
          <w:lang w:val="pl-PL"/>
        </w:rPr>
        <w:t xml:space="preserve"> poszczególnych państw</w:t>
      </w:r>
      <w:r w:rsidR="006A1CCE" w:rsidRPr="005B5969">
        <w:rPr>
          <w:rFonts w:ascii="Arial" w:hAnsi="Arial" w:cs="Arial"/>
          <w:sz w:val="20"/>
          <w:szCs w:val="20"/>
          <w:lang w:val="pl-PL"/>
        </w:rPr>
        <w:t xml:space="preserve">, takie jak obniżki stawki podatku VAT w Irlandii i Portugalii </w:t>
      </w:r>
      <w:r w:rsidR="00F42AB6" w:rsidRPr="005B5969">
        <w:rPr>
          <w:rFonts w:ascii="Arial" w:hAnsi="Arial" w:cs="Arial"/>
          <w:sz w:val="20"/>
          <w:szCs w:val="20"/>
          <w:lang w:val="pl-PL"/>
        </w:rPr>
        <w:t xml:space="preserve">czy </w:t>
      </w:r>
      <w:r w:rsidR="00F42AB6" w:rsidRPr="00F664D1">
        <w:rPr>
          <w:rFonts w:ascii="Arial" w:hAnsi="Arial" w:cs="Arial"/>
          <w:sz w:val="20"/>
          <w:szCs w:val="20"/>
          <w:lang w:val="pl-PL"/>
        </w:rPr>
        <w:t>ulgi</w:t>
      </w:r>
      <w:r w:rsidR="001B6774" w:rsidRPr="00F664D1">
        <w:rPr>
          <w:rFonts w:ascii="Arial" w:hAnsi="Arial" w:cs="Arial"/>
          <w:sz w:val="20"/>
          <w:szCs w:val="20"/>
          <w:lang w:val="pl-PL"/>
        </w:rPr>
        <w:t xml:space="preserve"> podatkowe</w:t>
      </w:r>
      <w:r w:rsidR="001B6774" w:rsidRPr="005B5969">
        <w:rPr>
          <w:rFonts w:ascii="Arial" w:hAnsi="Arial" w:cs="Arial"/>
          <w:sz w:val="20"/>
          <w:szCs w:val="20"/>
          <w:lang w:val="pl-PL"/>
        </w:rPr>
        <w:t xml:space="preserve"> w Wielkiej Brytanii, wpływają pozytywnie na </w:t>
      </w:r>
      <w:r w:rsidR="00D70340" w:rsidRPr="005B5969">
        <w:rPr>
          <w:rFonts w:ascii="Arial" w:hAnsi="Arial" w:cs="Arial"/>
          <w:sz w:val="20"/>
          <w:szCs w:val="20"/>
          <w:lang w:val="pl-PL"/>
        </w:rPr>
        <w:t>rentowność realizowanych inwestycji.</w:t>
      </w:r>
    </w:p>
    <w:p w14:paraId="325AC999" w14:textId="7139A479" w:rsidR="00861003" w:rsidRDefault="001F298D" w:rsidP="00247901">
      <w:pPr>
        <w:tabs>
          <w:tab w:val="left" w:pos="5630"/>
        </w:tabs>
        <w:spacing w:line="240" w:lineRule="auto"/>
        <w:jc w:val="both"/>
        <w:rPr>
          <w:lang w:val="pl-PL"/>
        </w:rPr>
      </w:pPr>
      <w:r w:rsidRPr="005B5969">
        <w:rPr>
          <w:rFonts w:ascii="Arial" w:hAnsi="Arial" w:cs="Arial"/>
          <w:b/>
          <w:bCs/>
          <w:sz w:val="20"/>
          <w:szCs w:val="20"/>
          <w:lang w:val="pl-PL"/>
        </w:rPr>
        <w:t>Hotel</w:t>
      </w:r>
      <w:r w:rsidR="00887146" w:rsidRPr="005B5969">
        <w:rPr>
          <w:rFonts w:ascii="Arial" w:hAnsi="Arial" w:cs="Arial"/>
          <w:b/>
          <w:bCs/>
          <w:sz w:val="20"/>
          <w:szCs w:val="20"/>
          <w:lang w:val="pl-PL"/>
        </w:rPr>
        <w:t>e – ożywienie ruchu turystycznego napędza</w:t>
      </w:r>
      <w:r w:rsidR="00464DCF" w:rsidRPr="005B5969">
        <w:rPr>
          <w:rFonts w:ascii="Arial" w:hAnsi="Arial" w:cs="Arial"/>
          <w:b/>
          <w:bCs/>
          <w:sz w:val="20"/>
          <w:szCs w:val="20"/>
          <w:lang w:val="pl-PL"/>
        </w:rPr>
        <w:t xml:space="preserve"> aktywność inwestycyjną w największych miastach europejskich</w:t>
      </w:r>
      <w:r w:rsidR="00464DCF" w:rsidRPr="005B5969">
        <w:rPr>
          <w:lang w:val="pl-PL"/>
        </w:rPr>
        <w:t xml:space="preserve"> </w:t>
      </w:r>
    </w:p>
    <w:p w14:paraId="7CF9B08B" w14:textId="77EEDB0A" w:rsidR="001F298D" w:rsidRPr="005B5969" w:rsidRDefault="00FC17CB" w:rsidP="00247901">
      <w:pPr>
        <w:tabs>
          <w:tab w:val="left" w:pos="5630"/>
        </w:tabs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5B5969">
        <w:rPr>
          <w:rFonts w:ascii="Arial" w:hAnsi="Arial" w:cs="Arial"/>
          <w:sz w:val="20"/>
          <w:szCs w:val="20"/>
          <w:lang w:val="pl-PL"/>
        </w:rPr>
        <w:t xml:space="preserve">Rok 2026 przyniesie znaczący wzrost </w:t>
      </w:r>
      <w:r w:rsidR="00F1722E" w:rsidRPr="005B5969">
        <w:rPr>
          <w:rFonts w:ascii="Arial" w:hAnsi="Arial" w:cs="Arial"/>
          <w:sz w:val="20"/>
          <w:szCs w:val="20"/>
          <w:lang w:val="pl-PL"/>
        </w:rPr>
        <w:t>ruchu turystycznego w Europie</w:t>
      </w:r>
      <w:r w:rsidR="00914094" w:rsidRPr="005B5969">
        <w:rPr>
          <w:rFonts w:ascii="Arial" w:hAnsi="Arial" w:cs="Arial"/>
          <w:sz w:val="20"/>
          <w:szCs w:val="20"/>
          <w:lang w:val="pl-PL"/>
        </w:rPr>
        <w:t>, a liczba noclegów</w:t>
      </w:r>
      <w:r w:rsidR="00FC636F" w:rsidRPr="005B5969">
        <w:rPr>
          <w:rFonts w:ascii="Arial" w:hAnsi="Arial" w:cs="Arial"/>
          <w:sz w:val="20"/>
          <w:szCs w:val="20"/>
          <w:lang w:val="pl-PL"/>
        </w:rPr>
        <w:t xml:space="preserve"> w hotelach </w:t>
      </w:r>
      <w:r w:rsidR="0099782F" w:rsidRPr="005B5969">
        <w:rPr>
          <w:rFonts w:ascii="Arial" w:hAnsi="Arial" w:cs="Arial"/>
          <w:sz w:val="20"/>
          <w:szCs w:val="20"/>
          <w:lang w:val="pl-PL"/>
        </w:rPr>
        <w:t>może wzrosnąć o 5,6%, głównie</w:t>
      </w:r>
      <w:r w:rsidR="007F53B2" w:rsidRPr="005B5969">
        <w:rPr>
          <w:rFonts w:ascii="Arial" w:hAnsi="Arial" w:cs="Arial"/>
          <w:sz w:val="20"/>
          <w:szCs w:val="20"/>
          <w:lang w:val="pl-PL"/>
        </w:rPr>
        <w:t xml:space="preserve"> </w:t>
      </w:r>
      <w:r w:rsidR="003703C1" w:rsidRPr="005B5969">
        <w:rPr>
          <w:rFonts w:ascii="Arial" w:hAnsi="Arial" w:cs="Arial"/>
          <w:sz w:val="20"/>
          <w:szCs w:val="20"/>
          <w:lang w:val="pl-PL"/>
        </w:rPr>
        <w:t xml:space="preserve">tych </w:t>
      </w:r>
      <w:r w:rsidR="007F53B2" w:rsidRPr="005B5969">
        <w:rPr>
          <w:rFonts w:ascii="Arial" w:hAnsi="Arial" w:cs="Arial"/>
          <w:sz w:val="20"/>
          <w:szCs w:val="20"/>
          <w:lang w:val="pl-PL"/>
        </w:rPr>
        <w:t>udziel</w:t>
      </w:r>
      <w:r w:rsidR="003703C1" w:rsidRPr="005B5969">
        <w:rPr>
          <w:rFonts w:ascii="Arial" w:hAnsi="Arial" w:cs="Arial"/>
          <w:sz w:val="20"/>
          <w:szCs w:val="20"/>
          <w:lang w:val="pl-PL"/>
        </w:rPr>
        <w:t>a</w:t>
      </w:r>
      <w:r w:rsidR="007F53B2" w:rsidRPr="005B5969">
        <w:rPr>
          <w:rFonts w:ascii="Arial" w:hAnsi="Arial" w:cs="Arial"/>
          <w:sz w:val="20"/>
          <w:szCs w:val="20"/>
          <w:lang w:val="pl-PL"/>
        </w:rPr>
        <w:t>nych gościom zagranicznym.</w:t>
      </w:r>
      <w:r w:rsidR="002A5EC4" w:rsidRPr="005B5969">
        <w:rPr>
          <w:rFonts w:ascii="Arial" w:hAnsi="Arial" w:cs="Arial"/>
          <w:sz w:val="20"/>
          <w:szCs w:val="20"/>
          <w:lang w:val="pl-PL"/>
        </w:rPr>
        <w:t xml:space="preserve"> Według prognoz na największe wzrosty mogą liczyć miasta takie jak </w:t>
      </w:r>
      <w:r w:rsidR="001F298D" w:rsidRPr="005B5969">
        <w:rPr>
          <w:rFonts w:ascii="Arial" w:hAnsi="Arial" w:cs="Arial"/>
          <w:sz w:val="20"/>
          <w:szCs w:val="20"/>
          <w:lang w:val="pl-PL"/>
        </w:rPr>
        <w:t>Wars</w:t>
      </w:r>
      <w:r w:rsidR="002A5EC4" w:rsidRPr="005B5969">
        <w:rPr>
          <w:rFonts w:ascii="Arial" w:hAnsi="Arial" w:cs="Arial"/>
          <w:sz w:val="20"/>
          <w:szCs w:val="20"/>
          <w:lang w:val="pl-PL"/>
        </w:rPr>
        <w:t>z</w:t>
      </w:r>
      <w:r w:rsidR="001F298D" w:rsidRPr="005B5969">
        <w:rPr>
          <w:rFonts w:ascii="Arial" w:hAnsi="Arial" w:cs="Arial"/>
          <w:sz w:val="20"/>
          <w:szCs w:val="20"/>
          <w:lang w:val="pl-PL"/>
        </w:rPr>
        <w:t>aw</w:t>
      </w:r>
      <w:r w:rsidR="002A5EC4" w:rsidRPr="005B5969">
        <w:rPr>
          <w:rFonts w:ascii="Arial" w:hAnsi="Arial" w:cs="Arial"/>
          <w:sz w:val="20"/>
          <w:szCs w:val="20"/>
          <w:lang w:val="pl-PL"/>
        </w:rPr>
        <w:t>a</w:t>
      </w:r>
      <w:r w:rsidR="001F298D" w:rsidRPr="005B5969">
        <w:rPr>
          <w:rFonts w:ascii="Arial" w:hAnsi="Arial" w:cs="Arial"/>
          <w:sz w:val="20"/>
          <w:szCs w:val="20"/>
          <w:lang w:val="pl-PL"/>
        </w:rPr>
        <w:t>, Aten</w:t>
      </w:r>
      <w:r w:rsidR="002A5EC4" w:rsidRPr="005B5969">
        <w:rPr>
          <w:rFonts w:ascii="Arial" w:hAnsi="Arial" w:cs="Arial"/>
          <w:sz w:val="20"/>
          <w:szCs w:val="20"/>
          <w:lang w:val="pl-PL"/>
        </w:rPr>
        <w:t>y i</w:t>
      </w:r>
      <w:r w:rsidR="001F298D" w:rsidRPr="005B5969">
        <w:rPr>
          <w:rFonts w:ascii="Arial" w:hAnsi="Arial" w:cs="Arial"/>
          <w:sz w:val="20"/>
          <w:szCs w:val="20"/>
          <w:lang w:val="pl-PL"/>
        </w:rPr>
        <w:t xml:space="preserve"> S</w:t>
      </w:r>
      <w:r w:rsidR="002A5EC4" w:rsidRPr="005B5969">
        <w:rPr>
          <w:rFonts w:ascii="Arial" w:hAnsi="Arial" w:cs="Arial"/>
          <w:sz w:val="20"/>
          <w:szCs w:val="20"/>
          <w:lang w:val="pl-PL"/>
        </w:rPr>
        <w:t>z</w:t>
      </w:r>
      <w:r w:rsidR="001F298D" w:rsidRPr="005B5969">
        <w:rPr>
          <w:rFonts w:ascii="Arial" w:hAnsi="Arial" w:cs="Arial"/>
          <w:sz w:val="20"/>
          <w:szCs w:val="20"/>
          <w:lang w:val="pl-PL"/>
        </w:rPr>
        <w:t>tokholm</w:t>
      </w:r>
      <w:r w:rsidR="002A5EC4" w:rsidRPr="005B5969">
        <w:rPr>
          <w:rFonts w:ascii="Arial" w:hAnsi="Arial" w:cs="Arial"/>
          <w:sz w:val="20"/>
          <w:szCs w:val="20"/>
          <w:lang w:val="pl-PL"/>
        </w:rPr>
        <w:t>,</w:t>
      </w:r>
      <w:r w:rsidR="00EA1B35" w:rsidRPr="005B5969">
        <w:rPr>
          <w:rFonts w:ascii="Arial" w:hAnsi="Arial" w:cs="Arial"/>
          <w:sz w:val="20"/>
          <w:szCs w:val="20"/>
          <w:lang w:val="pl-PL"/>
        </w:rPr>
        <w:t xml:space="preserve"> natomiast Lizbona, Dublin i Edynburg mogą odnotować nieznaczne spadki</w:t>
      </w:r>
      <w:r w:rsidR="00BE6D40">
        <w:rPr>
          <w:rFonts w:ascii="Arial" w:hAnsi="Arial" w:cs="Arial"/>
          <w:sz w:val="20"/>
          <w:szCs w:val="20"/>
          <w:lang w:val="pl-PL"/>
        </w:rPr>
        <w:t xml:space="preserve"> - </w:t>
      </w:r>
      <w:r w:rsidR="00EA1B35" w:rsidRPr="005B5969">
        <w:rPr>
          <w:rFonts w:ascii="Arial" w:hAnsi="Arial" w:cs="Arial"/>
          <w:sz w:val="20"/>
          <w:szCs w:val="20"/>
          <w:lang w:val="pl-PL"/>
        </w:rPr>
        <w:t xml:space="preserve">po dobrym roku 2025. </w:t>
      </w:r>
      <w:r w:rsidR="00243399" w:rsidRPr="005B5969">
        <w:rPr>
          <w:rFonts w:ascii="Arial" w:hAnsi="Arial" w:cs="Arial"/>
          <w:sz w:val="20"/>
          <w:szCs w:val="20"/>
          <w:lang w:val="pl-PL"/>
        </w:rPr>
        <w:t>Wolumen transakcji inwestycyjnych, który w 2025 roku wyniósł 25 mld euro,</w:t>
      </w:r>
      <w:r w:rsidR="00D83566">
        <w:rPr>
          <w:rFonts w:ascii="Arial" w:hAnsi="Arial" w:cs="Arial"/>
          <w:sz w:val="20"/>
          <w:szCs w:val="20"/>
          <w:lang w:val="pl-PL"/>
        </w:rPr>
        <w:t xml:space="preserve"> w 2026 roku</w:t>
      </w:r>
      <w:r w:rsidR="00243399" w:rsidRPr="005B5969">
        <w:rPr>
          <w:rFonts w:ascii="Arial" w:hAnsi="Arial" w:cs="Arial"/>
          <w:sz w:val="20"/>
          <w:szCs w:val="20"/>
          <w:lang w:val="pl-PL"/>
        </w:rPr>
        <w:t xml:space="preserve"> może </w:t>
      </w:r>
      <w:r w:rsidR="00A73F73" w:rsidRPr="005B5969">
        <w:rPr>
          <w:rFonts w:ascii="Arial" w:hAnsi="Arial" w:cs="Arial"/>
          <w:sz w:val="20"/>
          <w:szCs w:val="20"/>
          <w:lang w:val="pl-PL"/>
        </w:rPr>
        <w:t>przekroczyć 27 mld euro</w:t>
      </w:r>
      <w:r w:rsidR="00687400" w:rsidRPr="005B5969">
        <w:rPr>
          <w:rFonts w:ascii="Arial" w:hAnsi="Arial" w:cs="Arial"/>
          <w:sz w:val="20"/>
          <w:szCs w:val="20"/>
          <w:lang w:val="pl-PL"/>
        </w:rPr>
        <w:t>.</w:t>
      </w:r>
      <w:r w:rsidR="00B104D5" w:rsidRPr="005B5969">
        <w:rPr>
          <w:rFonts w:ascii="Arial" w:hAnsi="Arial" w:cs="Arial"/>
          <w:sz w:val="20"/>
          <w:szCs w:val="20"/>
          <w:lang w:val="pl-PL"/>
        </w:rPr>
        <w:t xml:space="preserve"> </w:t>
      </w:r>
      <w:r w:rsidR="00560F56" w:rsidRPr="005B5969">
        <w:rPr>
          <w:rFonts w:ascii="Arial" w:hAnsi="Arial" w:cs="Arial"/>
          <w:sz w:val="20"/>
          <w:szCs w:val="20"/>
          <w:lang w:val="pl-PL"/>
        </w:rPr>
        <w:t xml:space="preserve">Liderami pod względem napływu kapitału pozostają Wielka Brytania, Hiszpania i Francja, ale </w:t>
      </w:r>
      <w:r w:rsidR="00AC59A6">
        <w:rPr>
          <w:rFonts w:ascii="Arial" w:hAnsi="Arial" w:cs="Arial"/>
          <w:sz w:val="20"/>
          <w:szCs w:val="20"/>
          <w:lang w:val="pl-PL"/>
        </w:rPr>
        <w:t>bardzo duży</w:t>
      </w:r>
      <w:r w:rsidR="00662F05" w:rsidRPr="005B5969">
        <w:rPr>
          <w:rFonts w:ascii="Arial" w:hAnsi="Arial" w:cs="Arial"/>
          <w:sz w:val="20"/>
          <w:szCs w:val="20"/>
          <w:lang w:val="pl-PL"/>
        </w:rPr>
        <w:t xml:space="preserve"> wzrost aktywności inwestycyjnej aż o 71% </w:t>
      </w:r>
      <w:r w:rsidR="00507A95" w:rsidRPr="005B5969">
        <w:rPr>
          <w:rFonts w:ascii="Arial" w:hAnsi="Arial" w:cs="Arial"/>
          <w:sz w:val="20"/>
          <w:szCs w:val="20"/>
          <w:lang w:val="pl-PL"/>
        </w:rPr>
        <w:t xml:space="preserve">od początku roku do września odnotowano w regionie DACH (Niemcy, Austria i Szwajcaria), </w:t>
      </w:r>
      <w:r w:rsidR="00E03B00">
        <w:rPr>
          <w:rFonts w:ascii="Arial" w:hAnsi="Arial" w:cs="Arial"/>
          <w:sz w:val="20"/>
          <w:szCs w:val="20"/>
          <w:lang w:val="pl-PL"/>
        </w:rPr>
        <w:t>przede wszystkim</w:t>
      </w:r>
      <w:r w:rsidR="00507A95" w:rsidRPr="005B5969">
        <w:rPr>
          <w:rFonts w:ascii="Arial" w:hAnsi="Arial" w:cs="Arial"/>
          <w:sz w:val="20"/>
          <w:szCs w:val="20"/>
          <w:lang w:val="pl-PL"/>
        </w:rPr>
        <w:t xml:space="preserve"> w wyniku powrotu inwestorów typu </w:t>
      </w:r>
      <w:proofErr w:type="spellStart"/>
      <w:r w:rsidR="00507A95" w:rsidRPr="005B5969">
        <w:rPr>
          <w:rFonts w:ascii="Arial" w:hAnsi="Arial" w:cs="Arial"/>
          <w:sz w:val="20"/>
          <w:szCs w:val="20"/>
          <w:lang w:val="pl-PL"/>
        </w:rPr>
        <w:t>core</w:t>
      </w:r>
      <w:proofErr w:type="spellEnd"/>
      <w:r w:rsidR="00507A95" w:rsidRPr="005B5969">
        <w:rPr>
          <w:rFonts w:ascii="Arial" w:hAnsi="Arial" w:cs="Arial"/>
          <w:sz w:val="20"/>
          <w:szCs w:val="20"/>
          <w:lang w:val="pl-PL"/>
        </w:rPr>
        <w:t xml:space="preserve">. </w:t>
      </w:r>
      <w:r w:rsidR="00B04C89" w:rsidRPr="005B5969">
        <w:rPr>
          <w:rFonts w:ascii="Arial" w:hAnsi="Arial" w:cs="Arial"/>
          <w:sz w:val="20"/>
          <w:szCs w:val="20"/>
          <w:lang w:val="pl-PL"/>
        </w:rPr>
        <w:t xml:space="preserve">Głównym celem kupujących są obiekty luksusowe (wzrost o 72% w </w:t>
      </w:r>
      <w:r w:rsidR="00120D3C" w:rsidRPr="005B5969">
        <w:rPr>
          <w:rFonts w:ascii="Arial" w:hAnsi="Arial" w:cs="Arial"/>
          <w:sz w:val="20"/>
          <w:szCs w:val="20"/>
          <w:lang w:val="pl-PL"/>
        </w:rPr>
        <w:t xml:space="preserve">I poł. 2025 r.) z uwagi na ich dobre wyniki, a także hotele </w:t>
      </w:r>
      <w:r w:rsidR="00834DE0" w:rsidRPr="005B5969">
        <w:rPr>
          <w:rFonts w:ascii="Arial" w:hAnsi="Arial" w:cs="Arial"/>
          <w:sz w:val="20"/>
          <w:szCs w:val="20"/>
          <w:lang w:val="pl-PL"/>
        </w:rPr>
        <w:t xml:space="preserve">klasy ekonomicznej i średniej (50%), które cenione są za efektywność i </w:t>
      </w:r>
      <w:r w:rsidR="00546A82" w:rsidRPr="005B5969">
        <w:rPr>
          <w:rFonts w:ascii="Arial" w:hAnsi="Arial" w:cs="Arial"/>
          <w:sz w:val="20"/>
          <w:szCs w:val="20"/>
          <w:lang w:val="pl-PL"/>
        </w:rPr>
        <w:t>niższe koszty pracy</w:t>
      </w:r>
      <w:r w:rsidR="001F298D" w:rsidRPr="005B5969">
        <w:rPr>
          <w:rFonts w:ascii="Arial" w:hAnsi="Arial" w:cs="Arial"/>
          <w:sz w:val="20"/>
          <w:szCs w:val="20"/>
          <w:lang w:val="pl-PL"/>
        </w:rPr>
        <w:t>.</w:t>
      </w:r>
    </w:p>
    <w:p w14:paraId="5728525F" w14:textId="77777777" w:rsidR="00861003" w:rsidRDefault="00546A82" w:rsidP="00247901">
      <w:pPr>
        <w:tabs>
          <w:tab w:val="left" w:pos="5630"/>
        </w:tabs>
        <w:spacing w:line="240" w:lineRule="auto"/>
        <w:jc w:val="both"/>
        <w:rPr>
          <w:lang w:val="pl-PL"/>
        </w:rPr>
      </w:pPr>
      <w:r w:rsidRPr="005B5969">
        <w:rPr>
          <w:rFonts w:ascii="Arial" w:hAnsi="Arial" w:cs="Arial"/>
          <w:b/>
          <w:bCs/>
          <w:sz w:val="20"/>
          <w:szCs w:val="20"/>
          <w:lang w:val="pl-PL"/>
        </w:rPr>
        <w:t xml:space="preserve">Centra danych </w:t>
      </w:r>
      <w:r w:rsidR="00737667" w:rsidRPr="005B5969">
        <w:rPr>
          <w:rFonts w:ascii="Arial" w:hAnsi="Arial" w:cs="Arial"/>
          <w:b/>
          <w:bCs/>
          <w:sz w:val="20"/>
          <w:szCs w:val="20"/>
          <w:lang w:val="pl-PL"/>
        </w:rPr>
        <w:t>–</w:t>
      </w:r>
      <w:r w:rsidRPr="005B5969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 w:rsidR="00EE356E">
        <w:rPr>
          <w:rFonts w:ascii="Arial" w:hAnsi="Arial" w:cs="Arial"/>
          <w:b/>
          <w:bCs/>
          <w:sz w:val="20"/>
          <w:szCs w:val="20"/>
          <w:lang w:val="pl-PL"/>
        </w:rPr>
        <w:t>digitalizacja</w:t>
      </w:r>
      <w:r w:rsidR="00737667" w:rsidRPr="005B5969">
        <w:rPr>
          <w:rFonts w:ascii="Arial" w:hAnsi="Arial" w:cs="Arial"/>
          <w:b/>
          <w:bCs/>
          <w:sz w:val="20"/>
          <w:szCs w:val="20"/>
          <w:lang w:val="pl-PL"/>
        </w:rPr>
        <w:t xml:space="preserve"> i infrastruktura energetyczna</w:t>
      </w:r>
      <w:r w:rsidR="00FF7163" w:rsidRPr="005B5969">
        <w:rPr>
          <w:rFonts w:ascii="Arial" w:hAnsi="Arial" w:cs="Arial"/>
          <w:b/>
          <w:bCs/>
          <w:sz w:val="20"/>
          <w:szCs w:val="20"/>
          <w:lang w:val="pl-PL"/>
        </w:rPr>
        <w:t xml:space="preserve"> wpływają na kierunek ekspansji w regionie EMEA</w:t>
      </w:r>
      <w:r w:rsidR="00FF7163" w:rsidRPr="005B5969">
        <w:rPr>
          <w:lang w:val="pl-PL"/>
        </w:rPr>
        <w:t xml:space="preserve"> </w:t>
      </w:r>
    </w:p>
    <w:p w14:paraId="11F6CCB8" w14:textId="31C7D45F" w:rsidR="001F298D" w:rsidRPr="00861003" w:rsidRDefault="00B53726" w:rsidP="00247901">
      <w:pPr>
        <w:tabs>
          <w:tab w:val="left" w:pos="5630"/>
        </w:tabs>
        <w:spacing w:line="240" w:lineRule="auto"/>
        <w:jc w:val="both"/>
        <w:rPr>
          <w:lang w:val="pl-PL"/>
        </w:rPr>
      </w:pPr>
      <w:r w:rsidRPr="005B5969">
        <w:rPr>
          <w:rFonts w:ascii="Arial" w:hAnsi="Arial" w:cs="Arial"/>
          <w:sz w:val="20"/>
          <w:szCs w:val="20"/>
          <w:lang w:val="pl-PL"/>
        </w:rPr>
        <w:t>Popyt na centra danych w regionie EMEA szybko rośnie</w:t>
      </w:r>
      <w:r w:rsidR="00001971">
        <w:rPr>
          <w:rFonts w:ascii="Arial" w:hAnsi="Arial" w:cs="Arial"/>
          <w:sz w:val="20"/>
          <w:szCs w:val="20"/>
          <w:lang w:val="pl-PL"/>
        </w:rPr>
        <w:t xml:space="preserve"> </w:t>
      </w:r>
      <w:r w:rsidR="00543D02" w:rsidRPr="005B5969">
        <w:rPr>
          <w:rFonts w:ascii="Arial" w:hAnsi="Arial" w:cs="Arial"/>
          <w:sz w:val="20"/>
          <w:szCs w:val="20"/>
          <w:lang w:val="pl-PL"/>
        </w:rPr>
        <w:t xml:space="preserve">napędzany </w:t>
      </w:r>
      <w:r w:rsidR="00001971">
        <w:rPr>
          <w:rFonts w:ascii="Arial" w:hAnsi="Arial" w:cs="Arial"/>
          <w:sz w:val="20"/>
          <w:szCs w:val="20"/>
          <w:lang w:val="pl-PL"/>
        </w:rPr>
        <w:t xml:space="preserve"> </w:t>
      </w:r>
      <w:r w:rsidR="00543D02" w:rsidRPr="005B5969">
        <w:rPr>
          <w:rFonts w:ascii="Arial" w:hAnsi="Arial" w:cs="Arial"/>
          <w:sz w:val="20"/>
          <w:szCs w:val="20"/>
          <w:lang w:val="pl-PL"/>
        </w:rPr>
        <w:t xml:space="preserve">przez </w:t>
      </w:r>
      <w:r w:rsidR="005D0B99" w:rsidRPr="005B5969">
        <w:rPr>
          <w:rFonts w:ascii="Arial" w:hAnsi="Arial" w:cs="Arial"/>
          <w:sz w:val="20"/>
          <w:szCs w:val="20"/>
          <w:lang w:val="pl-PL"/>
        </w:rPr>
        <w:t>czynniki takie jak</w:t>
      </w:r>
      <w:r w:rsidR="00BE6D40">
        <w:rPr>
          <w:rFonts w:ascii="Arial" w:hAnsi="Arial" w:cs="Arial"/>
          <w:sz w:val="20"/>
          <w:szCs w:val="20"/>
          <w:lang w:val="pl-PL"/>
        </w:rPr>
        <w:t>:</w:t>
      </w:r>
      <w:r w:rsidR="005D0B99" w:rsidRPr="005B5969">
        <w:rPr>
          <w:rFonts w:ascii="Arial" w:hAnsi="Arial" w:cs="Arial"/>
          <w:sz w:val="20"/>
          <w:szCs w:val="20"/>
          <w:lang w:val="pl-PL"/>
        </w:rPr>
        <w:t xml:space="preserve"> </w:t>
      </w:r>
      <w:r w:rsidR="00543D02" w:rsidRPr="005B5969">
        <w:rPr>
          <w:rFonts w:ascii="Arial" w:hAnsi="Arial" w:cs="Arial"/>
          <w:sz w:val="20"/>
          <w:szCs w:val="20"/>
          <w:lang w:val="pl-PL"/>
        </w:rPr>
        <w:t>rozwój sztucznej inteligencji</w:t>
      </w:r>
      <w:r w:rsidR="00354B1C">
        <w:rPr>
          <w:rFonts w:ascii="Arial" w:hAnsi="Arial" w:cs="Arial"/>
          <w:sz w:val="20"/>
          <w:szCs w:val="20"/>
          <w:lang w:val="pl-PL"/>
        </w:rPr>
        <w:t xml:space="preserve"> i</w:t>
      </w:r>
      <w:r w:rsidR="00543D02" w:rsidRPr="005B5969">
        <w:rPr>
          <w:rFonts w:ascii="Arial" w:hAnsi="Arial" w:cs="Arial"/>
          <w:sz w:val="20"/>
          <w:szCs w:val="20"/>
          <w:lang w:val="pl-PL"/>
        </w:rPr>
        <w:t xml:space="preserve"> usług chmurowych oraz </w:t>
      </w:r>
      <w:r w:rsidR="005D0B99" w:rsidRPr="005B5969">
        <w:rPr>
          <w:rFonts w:ascii="Arial" w:hAnsi="Arial" w:cs="Arial"/>
          <w:sz w:val="20"/>
          <w:szCs w:val="20"/>
          <w:lang w:val="pl-PL"/>
        </w:rPr>
        <w:t>postępując</w:t>
      </w:r>
      <w:r w:rsidR="00BE6D40">
        <w:rPr>
          <w:rFonts w:ascii="Arial" w:hAnsi="Arial" w:cs="Arial"/>
          <w:sz w:val="20"/>
          <w:szCs w:val="20"/>
          <w:lang w:val="pl-PL"/>
        </w:rPr>
        <w:t>ą</w:t>
      </w:r>
      <w:r w:rsidR="005D0B99" w:rsidRPr="005B5969">
        <w:rPr>
          <w:rFonts w:ascii="Arial" w:hAnsi="Arial" w:cs="Arial"/>
          <w:sz w:val="20"/>
          <w:szCs w:val="20"/>
          <w:lang w:val="pl-PL"/>
        </w:rPr>
        <w:t xml:space="preserve"> transformacj</w:t>
      </w:r>
      <w:r w:rsidR="00BE6D40">
        <w:rPr>
          <w:rFonts w:ascii="Arial" w:hAnsi="Arial" w:cs="Arial"/>
          <w:sz w:val="20"/>
          <w:szCs w:val="20"/>
          <w:lang w:val="pl-PL"/>
        </w:rPr>
        <w:t>ę</w:t>
      </w:r>
      <w:r w:rsidR="005D0B99" w:rsidRPr="005B5969">
        <w:rPr>
          <w:rFonts w:ascii="Arial" w:hAnsi="Arial" w:cs="Arial"/>
          <w:sz w:val="20"/>
          <w:szCs w:val="20"/>
          <w:lang w:val="pl-PL"/>
        </w:rPr>
        <w:t xml:space="preserve"> cyfrow</w:t>
      </w:r>
      <w:r w:rsidR="00BE6D40">
        <w:rPr>
          <w:rFonts w:ascii="Arial" w:hAnsi="Arial" w:cs="Arial"/>
          <w:sz w:val="20"/>
          <w:szCs w:val="20"/>
          <w:lang w:val="pl-PL"/>
        </w:rPr>
        <w:t>ą</w:t>
      </w:r>
      <w:r w:rsidR="005D0B99" w:rsidRPr="005B5969">
        <w:rPr>
          <w:rFonts w:ascii="Arial" w:hAnsi="Arial" w:cs="Arial"/>
          <w:sz w:val="20"/>
          <w:szCs w:val="20"/>
          <w:lang w:val="pl-PL"/>
        </w:rPr>
        <w:t xml:space="preserve">, które </w:t>
      </w:r>
      <w:r w:rsidR="003E3518">
        <w:rPr>
          <w:rFonts w:ascii="Arial" w:hAnsi="Arial" w:cs="Arial"/>
          <w:sz w:val="20"/>
          <w:szCs w:val="20"/>
          <w:lang w:val="pl-PL"/>
        </w:rPr>
        <w:t>kształtują</w:t>
      </w:r>
      <w:r w:rsidR="005015AB">
        <w:rPr>
          <w:rFonts w:ascii="Arial" w:hAnsi="Arial" w:cs="Arial"/>
          <w:sz w:val="20"/>
          <w:szCs w:val="20"/>
          <w:lang w:val="pl-PL"/>
        </w:rPr>
        <w:t xml:space="preserve"> zapotrzebowanie na </w:t>
      </w:r>
      <w:r w:rsidR="00513710">
        <w:rPr>
          <w:rFonts w:ascii="Arial" w:hAnsi="Arial" w:cs="Arial"/>
          <w:sz w:val="20"/>
          <w:szCs w:val="20"/>
          <w:lang w:val="pl-PL"/>
        </w:rPr>
        <w:t>infrastruktur</w:t>
      </w:r>
      <w:r w:rsidR="005015AB">
        <w:rPr>
          <w:rFonts w:ascii="Arial" w:hAnsi="Arial" w:cs="Arial"/>
          <w:sz w:val="20"/>
          <w:szCs w:val="20"/>
          <w:lang w:val="pl-PL"/>
        </w:rPr>
        <w:t>ę</w:t>
      </w:r>
      <w:r w:rsidR="003A5C41" w:rsidRPr="005B5969">
        <w:rPr>
          <w:rFonts w:ascii="Arial" w:hAnsi="Arial" w:cs="Arial"/>
          <w:sz w:val="20"/>
          <w:szCs w:val="20"/>
          <w:lang w:val="pl-PL"/>
        </w:rPr>
        <w:t>. Główne rynki Europy Zachodniej</w:t>
      </w:r>
      <w:r w:rsidR="00691EDB" w:rsidRPr="005B5969">
        <w:rPr>
          <w:rFonts w:ascii="Arial" w:hAnsi="Arial" w:cs="Arial"/>
          <w:sz w:val="20"/>
          <w:szCs w:val="20"/>
          <w:lang w:val="pl-PL"/>
        </w:rPr>
        <w:t xml:space="preserve"> stają w obliczu </w:t>
      </w:r>
      <w:r w:rsidR="00691EDB" w:rsidRPr="0019251A">
        <w:rPr>
          <w:rFonts w:ascii="Arial" w:hAnsi="Arial" w:cs="Arial"/>
          <w:sz w:val="20"/>
          <w:szCs w:val="20"/>
          <w:lang w:val="pl-PL"/>
        </w:rPr>
        <w:t>wyzwań związanych mocą operacyjną</w:t>
      </w:r>
      <w:r w:rsidR="00691EDB" w:rsidRPr="005B5969">
        <w:rPr>
          <w:rFonts w:ascii="Arial" w:hAnsi="Arial" w:cs="Arial"/>
          <w:sz w:val="20"/>
          <w:szCs w:val="20"/>
          <w:lang w:val="pl-PL"/>
        </w:rPr>
        <w:t xml:space="preserve"> ze względu na </w:t>
      </w:r>
      <w:r w:rsidR="00276E04">
        <w:rPr>
          <w:rFonts w:ascii="Arial" w:hAnsi="Arial" w:cs="Arial"/>
          <w:sz w:val="20"/>
          <w:szCs w:val="20"/>
          <w:lang w:val="pl-PL"/>
        </w:rPr>
        <w:t xml:space="preserve">ograniczony </w:t>
      </w:r>
      <w:r w:rsidR="001F0B75" w:rsidRPr="005B5969">
        <w:rPr>
          <w:rFonts w:ascii="Arial" w:hAnsi="Arial" w:cs="Arial"/>
          <w:sz w:val="20"/>
          <w:szCs w:val="20"/>
          <w:lang w:val="pl-PL"/>
        </w:rPr>
        <w:t xml:space="preserve">dostęp do energii, co przekłada się na wzrost zainteresowania </w:t>
      </w:r>
      <w:r w:rsidR="00716220" w:rsidRPr="005B5969">
        <w:rPr>
          <w:rFonts w:ascii="Arial" w:hAnsi="Arial" w:cs="Arial"/>
          <w:sz w:val="20"/>
          <w:szCs w:val="20"/>
          <w:lang w:val="pl-PL"/>
        </w:rPr>
        <w:t xml:space="preserve">dużymi </w:t>
      </w:r>
      <w:r w:rsidR="00946D1A" w:rsidRPr="005B5969">
        <w:rPr>
          <w:rFonts w:ascii="Arial" w:hAnsi="Arial" w:cs="Arial"/>
          <w:sz w:val="20"/>
          <w:szCs w:val="20"/>
          <w:lang w:val="pl-PL"/>
        </w:rPr>
        <w:t xml:space="preserve">terenami </w:t>
      </w:r>
      <w:r w:rsidR="007B2D63" w:rsidRPr="005B5969">
        <w:rPr>
          <w:rFonts w:ascii="Arial" w:hAnsi="Arial" w:cs="Arial"/>
          <w:sz w:val="20"/>
          <w:szCs w:val="20"/>
          <w:lang w:val="pl-PL"/>
        </w:rPr>
        <w:t xml:space="preserve">typu </w:t>
      </w:r>
      <w:proofErr w:type="spellStart"/>
      <w:r w:rsidR="00770DEE" w:rsidRPr="005B5969">
        <w:rPr>
          <w:rFonts w:ascii="Arial" w:hAnsi="Arial" w:cs="Arial"/>
          <w:i/>
          <w:iCs/>
          <w:sz w:val="20"/>
          <w:szCs w:val="20"/>
          <w:lang w:val="pl-PL"/>
        </w:rPr>
        <w:t>brownfield</w:t>
      </w:r>
      <w:proofErr w:type="spellEnd"/>
      <w:r w:rsidR="00770DEE" w:rsidRPr="005B5969">
        <w:rPr>
          <w:rFonts w:ascii="Arial" w:hAnsi="Arial" w:cs="Arial"/>
          <w:sz w:val="20"/>
          <w:szCs w:val="20"/>
          <w:lang w:val="pl-PL"/>
        </w:rPr>
        <w:t xml:space="preserve"> </w:t>
      </w:r>
      <w:r w:rsidR="007B2D63" w:rsidRPr="005B5969">
        <w:rPr>
          <w:rFonts w:ascii="Arial" w:hAnsi="Arial" w:cs="Arial"/>
          <w:sz w:val="20"/>
          <w:szCs w:val="20"/>
          <w:lang w:val="pl-PL"/>
        </w:rPr>
        <w:t>oraz alternatywnymi strategiami inwestycyjnymi.</w:t>
      </w:r>
      <w:r w:rsidR="00D723BE" w:rsidRPr="005B5969">
        <w:rPr>
          <w:rFonts w:ascii="Arial" w:hAnsi="Arial" w:cs="Arial"/>
          <w:sz w:val="20"/>
          <w:szCs w:val="20"/>
          <w:lang w:val="pl-PL"/>
        </w:rPr>
        <w:t xml:space="preserve"> </w:t>
      </w:r>
      <w:r w:rsidR="00A725FF" w:rsidRPr="005B5969">
        <w:rPr>
          <w:rFonts w:ascii="Arial" w:hAnsi="Arial" w:cs="Arial"/>
          <w:sz w:val="20"/>
          <w:szCs w:val="20"/>
          <w:lang w:val="pl-PL"/>
        </w:rPr>
        <w:t xml:space="preserve">Na kluczową lokalizację wyrastają  kraje nordyckie, które oferują </w:t>
      </w:r>
      <w:r w:rsidR="00EA6E39" w:rsidRPr="005B5969">
        <w:rPr>
          <w:rFonts w:ascii="Arial" w:hAnsi="Arial" w:cs="Arial"/>
          <w:sz w:val="20"/>
          <w:szCs w:val="20"/>
          <w:lang w:val="pl-PL"/>
        </w:rPr>
        <w:t xml:space="preserve">dostęp do energii </w:t>
      </w:r>
      <w:r w:rsidR="00EA3BBB" w:rsidRPr="005B5969">
        <w:rPr>
          <w:rFonts w:ascii="Arial" w:hAnsi="Arial" w:cs="Arial"/>
          <w:sz w:val="20"/>
          <w:szCs w:val="20"/>
          <w:lang w:val="pl-PL"/>
        </w:rPr>
        <w:t>zero</w:t>
      </w:r>
      <w:r w:rsidR="00EA6E39" w:rsidRPr="005B5969">
        <w:rPr>
          <w:rFonts w:ascii="Arial" w:hAnsi="Arial" w:cs="Arial"/>
          <w:sz w:val="20"/>
          <w:szCs w:val="20"/>
          <w:lang w:val="pl-PL"/>
        </w:rPr>
        <w:t xml:space="preserve">emisyjnej </w:t>
      </w:r>
      <w:r w:rsidR="00EA3BBB" w:rsidRPr="005B5969">
        <w:rPr>
          <w:rFonts w:ascii="Arial" w:hAnsi="Arial" w:cs="Arial"/>
          <w:sz w:val="20"/>
          <w:szCs w:val="20"/>
          <w:lang w:val="pl-PL"/>
        </w:rPr>
        <w:t xml:space="preserve">oraz </w:t>
      </w:r>
      <w:r w:rsidR="00DB0F69" w:rsidRPr="005B5969">
        <w:rPr>
          <w:rFonts w:ascii="Arial" w:hAnsi="Arial" w:cs="Arial"/>
          <w:sz w:val="20"/>
          <w:szCs w:val="20"/>
          <w:lang w:val="pl-PL"/>
        </w:rPr>
        <w:t xml:space="preserve">możliwości skalowania dla operatorów </w:t>
      </w:r>
      <w:proofErr w:type="spellStart"/>
      <w:r w:rsidR="00B86797" w:rsidRPr="005B5969">
        <w:rPr>
          <w:rFonts w:ascii="Arial" w:hAnsi="Arial" w:cs="Arial"/>
          <w:sz w:val="20"/>
          <w:szCs w:val="20"/>
          <w:lang w:val="pl-PL"/>
        </w:rPr>
        <w:t>hiperskalowych</w:t>
      </w:r>
      <w:proofErr w:type="spellEnd"/>
      <w:r w:rsidR="00B86797" w:rsidRPr="005B5969">
        <w:rPr>
          <w:rFonts w:ascii="Arial" w:hAnsi="Arial" w:cs="Arial"/>
          <w:sz w:val="20"/>
          <w:szCs w:val="20"/>
          <w:lang w:val="pl-PL"/>
        </w:rPr>
        <w:t xml:space="preserve"> centrów danych.</w:t>
      </w:r>
      <w:r w:rsidR="00D751C0" w:rsidRPr="005B5969">
        <w:rPr>
          <w:rFonts w:ascii="Arial" w:hAnsi="Arial" w:cs="Arial"/>
          <w:sz w:val="20"/>
          <w:szCs w:val="20"/>
          <w:lang w:val="pl-PL"/>
        </w:rPr>
        <w:t xml:space="preserve"> </w:t>
      </w:r>
      <w:r w:rsidR="001C4845" w:rsidRPr="005B5969">
        <w:rPr>
          <w:rFonts w:ascii="Arial" w:hAnsi="Arial" w:cs="Arial"/>
          <w:sz w:val="20"/>
          <w:szCs w:val="20"/>
          <w:lang w:val="pl-PL"/>
        </w:rPr>
        <w:t xml:space="preserve">Rozwój centrów danych obserwuje się nie tylko na rynkach dojrzałych </w:t>
      </w:r>
      <w:r w:rsidR="004C6CDF" w:rsidRPr="005B5969">
        <w:rPr>
          <w:rFonts w:ascii="Arial" w:hAnsi="Arial" w:cs="Arial"/>
          <w:sz w:val="20"/>
          <w:szCs w:val="20"/>
          <w:lang w:val="pl-PL"/>
        </w:rPr>
        <w:t>–</w:t>
      </w:r>
      <w:r w:rsidR="001C4845" w:rsidRPr="005B5969">
        <w:rPr>
          <w:rFonts w:ascii="Arial" w:hAnsi="Arial" w:cs="Arial"/>
          <w:sz w:val="20"/>
          <w:szCs w:val="20"/>
          <w:lang w:val="pl-PL"/>
        </w:rPr>
        <w:t xml:space="preserve"> </w:t>
      </w:r>
      <w:r w:rsidR="004C6CDF" w:rsidRPr="005B5969">
        <w:rPr>
          <w:rFonts w:ascii="Arial" w:hAnsi="Arial" w:cs="Arial"/>
          <w:sz w:val="20"/>
          <w:szCs w:val="20"/>
          <w:lang w:val="pl-PL"/>
        </w:rPr>
        <w:t xml:space="preserve">również lokalizacje w Europie Południowej i Środkowej, które </w:t>
      </w:r>
      <w:r w:rsidR="003B5912">
        <w:rPr>
          <w:rFonts w:ascii="Arial" w:hAnsi="Arial" w:cs="Arial"/>
          <w:sz w:val="20"/>
          <w:szCs w:val="20"/>
          <w:lang w:val="pl-PL"/>
        </w:rPr>
        <w:t xml:space="preserve">pełnią funkcję </w:t>
      </w:r>
      <w:r w:rsidR="00081A66" w:rsidRPr="005B5969">
        <w:rPr>
          <w:rFonts w:ascii="Arial" w:hAnsi="Arial" w:cs="Arial"/>
          <w:sz w:val="20"/>
          <w:szCs w:val="20"/>
          <w:lang w:val="pl-PL"/>
        </w:rPr>
        <w:t>strategiczn</w:t>
      </w:r>
      <w:r w:rsidR="003B5912">
        <w:rPr>
          <w:rFonts w:ascii="Arial" w:hAnsi="Arial" w:cs="Arial"/>
          <w:sz w:val="20"/>
          <w:szCs w:val="20"/>
          <w:lang w:val="pl-PL"/>
        </w:rPr>
        <w:t>ych</w:t>
      </w:r>
      <w:r w:rsidR="00081A66" w:rsidRPr="005B5969">
        <w:rPr>
          <w:rFonts w:ascii="Arial" w:hAnsi="Arial" w:cs="Arial"/>
          <w:sz w:val="20"/>
          <w:szCs w:val="20"/>
          <w:lang w:val="pl-PL"/>
        </w:rPr>
        <w:t xml:space="preserve"> węzł</w:t>
      </w:r>
      <w:r w:rsidR="003B5912">
        <w:rPr>
          <w:rFonts w:ascii="Arial" w:hAnsi="Arial" w:cs="Arial"/>
          <w:sz w:val="20"/>
          <w:szCs w:val="20"/>
          <w:lang w:val="pl-PL"/>
        </w:rPr>
        <w:t>ów</w:t>
      </w:r>
      <w:r w:rsidR="00081A66" w:rsidRPr="005B5969">
        <w:rPr>
          <w:rFonts w:ascii="Arial" w:hAnsi="Arial" w:cs="Arial"/>
          <w:sz w:val="20"/>
          <w:szCs w:val="20"/>
          <w:lang w:val="pl-PL"/>
        </w:rPr>
        <w:t xml:space="preserve"> łączności</w:t>
      </w:r>
      <w:r w:rsidR="00486BEB" w:rsidRPr="005B5969">
        <w:rPr>
          <w:rFonts w:ascii="Arial" w:hAnsi="Arial" w:cs="Arial"/>
          <w:sz w:val="20"/>
          <w:szCs w:val="20"/>
          <w:lang w:val="pl-PL"/>
        </w:rPr>
        <w:t xml:space="preserve">, przyciągają znaczące inwestycje. </w:t>
      </w:r>
      <w:r w:rsidR="00C609B1">
        <w:rPr>
          <w:rFonts w:ascii="Arial" w:hAnsi="Arial" w:cs="Arial"/>
          <w:sz w:val="20"/>
          <w:szCs w:val="20"/>
          <w:lang w:val="pl-PL"/>
        </w:rPr>
        <w:t xml:space="preserve">Moc </w:t>
      </w:r>
      <w:r w:rsidR="00BA62B6">
        <w:rPr>
          <w:rFonts w:ascii="Arial" w:hAnsi="Arial" w:cs="Arial"/>
          <w:sz w:val="20"/>
          <w:szCs w:val="20"/>
          <w:lang w:val="pl-PL"/>
        </w:rPr>
        <w:t xml:space="preserve">IT centrów danych </w:t>
      </w:r>
      <w:r w:rsidR="00352A77" w:rsidRPr="005B5969">
        <w:rPr>
          <w:rFonts w:ascii="Arial" w:hAnsi="Arial" w:cs="Arial"/>
          <w:sz w:val="20"/>
          <w:szCs w:val="20"/>
          <w:lang w:val="pl-PL"/>
        </w:rPr>
        <w:t>w regionie EMEA</w:t>
      </w:r>
      <w:r w:rsidR="00312469" w:rsidRPr="005B5969">
        <w:rPr>
          <w:rFonts w:ascii="Arial" w:hAnsi="Arial" w:cs="Arial"/>
          <w:sz w:val="20"/>
          <w:szCs w:val="20"/>
          <w:lang w:val="pl-PL"/>
        </w:rPr>
        <w:t xml:space="preserve"> będzie rosnąć</w:t>
      </w:r>
      <w:r w:rsidR="00046B24" w:rsidRPr="005B5969">
        <w:rPr>
          <w:rFonts w:ascii="Arial" w:hAnsi="Arial" w:cs="Arial"/>
          <w:sz w:val="20"/>
          <w:szCs w:val="20"/>
          <w:lang w:val="pl-PL"/>
        </w:rPr>
        <w:t xml:space="preserve"> w latach 2025-2030 </w:t>
      </w:r>
      <w:r w:rsidR="005E58B2">
        <w:rPr>
          <w:rFonts w:ascii="Arial" w:hAnsi="Arial" w:cs="Arial"/>
          <w:sz w:val="20"/>
          <w:szCs w:val="20"/>
          <w:lang w:val="pl-PL"/>
        </w:rPr>
        <w:t>w</w:t>
      </w:r>
      <w:r w:rsidR="00E32F51" w:rsidRPr="005B5969">
        <w:rPr>
          <w:rFonts w:ascii="Arial" w:hAnsi="Arial" w:cs="Arial"/>
          <w:sz w:val="20"/>
          <w:szCs w:val="20"/>
          <w:lang w:val="pl-PL"/>
        </w:rPr>
        <w:t xml:space="preserve"> </w:t>
      </w:r>
      <w:r w:rsidR="00E32F51">
        <w:rPr>
          <w:rFonts w:ascii="Arial" w:hAnsi="Arial" w:cs="Arial"/>
          <w:sz w:val="20"/>
          <w:szCs w:val="20"/>
          <w:lang w:val="pl-PL"/>
        </w:rPr>
        <w:t>skumulowanym</w:t>
      </w:r>
      <w:r w:rsidR="00AE6B41">
        <w:rPr>
          <w:rFonts w:ascii="Arial" w:hAnsi="Arial" w:cs="Arial"/>
          <w:sz w:val="20"/>
          <w:szCs w:val="20"/>
          <w:lang w:val="pl-PL"/>
        </w:rPr>
        <w:t xml:space="preserve"> rocznym</w:t>
      </w:r>
      <w:r w:rsidR="00E32F51">
        <w:rPr>
          <w:rFonts w:ascii="Arial" w:hAnsi="Arial" w:cs="Arial"/>
          <w:sz w:val="20"/>
          <w:szCs w:val="20"/>
          <w:lang w:val="pl-PL"/>
        </w:rPr>
        <w:t xml:space="preserve"> </w:t>
      </w:r>
      <w:r w:rsidR="00BD2F50">
        <w:rPr>
          <w:rFonts w:ascii="Arial" w:hAnsi="Arial" w:cs="Arial"/>
          <w:sz w:val="20"/>
          <w:szCs w:val="20"/>
          <w:lang w:val="pl-PL"/>
        </w:rPr>
        <w:t>tempie</w:t>
      </w:r>
      <w:r w:rsidR="00046B24" w:rsidRPr="005B5969">
        <w:rPr>
          <w:rFonts w:ascii="Arial" w:hAnsi="Arial" w:cs="Arial"/>
          <w:sz w:val="20"/>
          <w:szCs w:val="20"/>
          <w:lang w:val="pl-PL"/>
        </w:rPr>
        <w:t xml:space="preserve"> sięgającym nawet 32%</w:t>
      </w:r>
      <w:r w:rsidR="006116C5" w:rsidRPr="005B5969">
        <w:rPr>
          <w:rFonts w:ascii="Arial" w:hAnsi="Arial" w:cs="Arial"/>
          <w:sz w:val="20"/>
          <w:szCs w:val="20"/>
          <w:lang w:val="pl-PL"/>
        </w:rPr>
        <w:t xml:space="preserve">, co sprawia, że </w:t>
      </w:r>
      <w:r w:rsidR="005B537C">
        <w:rPr>
          <w:rFonts w:ascii="Arial" w:hAnsi="Arial" w:cs="Arial"/>
          <w:sz w:val="20"/>
          <w:szCs w:val="20"/>
          <w:lang w:val="pl-PL"/>
        </w:rPr>
        <w:t>obiekty te</w:t>
      </w:r>
      <w:r w:rsidR="006116C5" w:rsidRPr="005B5969">
        <w:rPr>
          <w:rFonts w:ascii="Arial" w:hAnsi="Arial" w:cs="Arial"/>
          <w:sz w:val="20"/>
          <w:szCs w:val="20"/>
          <w:lang w:val="pl-PL"/>
        </w:rPr>
        <w:t xml:space="preserve"> są jedną </w:t>
      </w:r>
      <w:r w:rsidR="0038122F" w:rsidRPr="005B5969">
        <w:rPr>
          <w:rFonts w:ascii="Arial" w:hAnsi="Arial" w:cs="Arial"/>
          <w:sz w:val="20"/>
          <w:szCs w:val="20"/>
          <w:lang w:val="pl-PL"/>
        </w:rPr>
        <w:t>z naj</w:t>
      </w:r>
      <w:r w:rsidR="00F21616" w:rsidRPr="005B5969">
        <w:rPr>
          <w:rFonts w:ascii="Arial" w:hAnsi="Arial" w:cs="Arial"/>
          <w:sz w:val="20"/>
          <w:szCs w:val="20"/>
          <w:lang w:val="pl-PL"/>
        </w:rPr>
        <w:t xml:space="preserve">szybciej rozwijających się i najbardziej konkurencyjnych klas aktywów </w:t>
      </w:r>
      <w:r w:rsidR="00C62092" w:rsidRPr="005B5969">
        <w:rPr>
          <w:rFonts w:ascii="Arial" w:hAnsi="Arial" w:cs="Arial"/>
          <w:sz w:val="20"/>
          <w:szCs w:val="20"/>
          <w:lang w:val="pl-PL"/>
        </w:rPr>
        <w:t>w tej części świata</w:t>
      </w:r>
      <w:r w:rsidR="001F298D" w:rsidRPr="005B5969">
        <w:rPr>
          <w:rFonts w:ascii="Arial" w:hAnsi="Arial" w:cs="Arial"/>
          <w:sz w:val="20"/>
          <w:szCs w:val="20"/>
          <w:lang w:val="pl-PL"/>
        </w:rPr>
        <w:t>.</w:t>
      </w:r>
    </w:p>
    <w:p w14:paraId="44186B03" w14:textId="7ADC60DE" w:rsidR="001F298D" w:rsidRPr="005B5969" w:rsidRDefault="00687763" w:rsidP="00247901">
      <w:pPr>
        <w:tabs>
          <w:tab w:val="left" w:pos="5630"/>
        </w:tabs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i/>
          <w:iCs/>
          <w:sz w:val="20"/>
          <w:szCs w:val="20"/>
          <w:lang w:val="pl-PL"/>
        </w:rPr>
        <w:lastRenderedPageBreak/>
        <w:t>–</w:t>
      </w:r>
      <w:r w:rsidR="00861003">
        <w:rPr>
          <w:rFonts w:ascii="Arial" w:hAnsi="Arial" w:cs="Arial"/>
          <w:i/>
          <w:iCs/>
          <w:sz w:val="20"/>
          <w:szCs w:val="20"/>
          <w:lang w:val="pl-PL"/>
        </w:rPr>
        <w:t xml:space="preserve"> </w:t>
      </w:r>
      <w:r w:rsidR="001330F9" w:rsidRPr="005B5969">
        <w:rPr>
          <w:rFonts w:ascii="Arial" w:hAnsi="Arial" w:cs="Arial"/>
          <w:i/>
          <w:iCs/>
          <w:sz w:val="20"/>
          <w:szCs w:val="20"/>
          <w:lang w:val="pl-PL"/>
        </w:rPr>
        <w:t>Ożywienie</w:t>
      </w:r>
      <w:r w:rsidR="0012782B" w:rsidRPr="005B5969">
        <w:rPr>
          <w:rFonts w:ascii="Arial" w:hAnsi="Arial" w:cs="Arial"/>
          <w:i/>
          <w:iCs/>
          <w:sz w:val="20"/>
          <w:szCs w:val="20"/>
          <w:lang w:val="pl-PL"/>
        </w:rPr>
        <w:t xml:space="preserve"> na europejskim rynku nieruchomości napędza stopniowa poprawa wskaźników ekono</w:t>
      </w:r>
      <w:r w:rsidR="00C411E2" w:rsidRPr="005B5969">
        <w:rPr>
          <w:rFonts w:ascii="Arial" w:hAnsi="Arial" w:cs="Arial"/>
          <w:i/>
          <w:iCs/>
          <w:sz w:val="20"/>
          <w:szCs w:val="20"/>
          <w:lang w:val="pl-PL"/>
        </w:rPr>
        <w:t>micznych.</w:t>
      </w:r>
      <w:r w:rsidR="00B914F5" w:rsidRPr="005B5969">
        <w:rPr>
          <w:rFonts w:ascii="Arial" w:hAnsi="Arial" w:cs="Arial"/>
          <w:i/>
          <w:iCs/>
          <w:sz w:val="20"/>
          <w:szCs w:val="20"/>
          <w:lang w:val="pl-PL"/>
        </w:rPr>
        <w:t xml:space="preserve"> Największe ośrodki biurowe</w:t>
      </w:r>
      <w:r w:rsidR="001C7E34" w:rsidRPr="005B5969">
        <w:rPr>
          <w:rFonts w:ascii="Arial" w:hAnsi="Arial" w:cs="Arial"/>
          <w:i/>
          <w:iCs/>
          <w:sz w:val="20"/>
          <w:szCs w:val="20"/>
          <w:lang w:val="pl-PL"/>
        </w:rPr>
        <w:t xml:space="preserve"> takie jak Londyn, Paryż i Frankfurt odnotowują silny popyt ze strony najemców, natomiast aktywa logistyczne </w:t>
      </w:r>
      <w:r w:rsidR="00F15346" w:rsidRPr="005B5969">
        <w:rPr>
          <w:rFonts w:ascii="Arial" w:hAnsi="Arial" w:cs="Arial"/>
          <w:i/>
          <w:iCs/>
          <w:sz w:val="20"/>
          <w:szCs w:val="20"/>
          <w:lang w:val="pl-PL"/>
        </w:rPr>
        <w:t xml:space="preserve">pozostają głównym celem inwestorów. Jednocześnie trendy takie jak </w:t>
      </w:r>
      <w:r w:rsidR="007A61D6">
        <w:rPr>
          <w:rFonts w:ascii="Arial" w:hAnsi="Arial" w:cs="Arial"/>
          <w:i/>
          <w:iCs/>
          <w:sz w:val="20"/>
          <w:szCs w:val="20"/>
          <w:lang w:val="pl-PL"/>
        </w:rPr>
        <w:t>digitalizacja</w:t>
      </w:r>
      <w:r w:rsidR="000A0F1C" w:rsidRPr="005B5969">
        <w:rPr>
          <w:rFonts w:ascii="Arial" w:hAnsi="Arial" w:cs="Arial"/>
          <w:i/>
          <w:iCs/>
          <w:sz w:val="20"/>
          <w:szCs w:val="20"/>
          <w:lang w:val="pl-PL"/>
        </w:rPr>
        <w:t xml:space="preserve"> i zrównoważony rozwój</w:t>
      </w:r>
      <w:r w:rsidR="00243E4B" w:rsidRPr="005B5969">
        <w:rPr>
          <w:rFonts w:ascii="Arial" w:hAnsi="Arial" w:cs="Arial"/>
          <w:i/>
          <w:iCs/>
          <w:sz w:val="20"/>
          <w:szCs w:val="20"/>
          <w:lang w:val="pl-PL"/>
        </w:rPr>
        <w:t xml:space="preserve"> </w:t>
      </w:r>
      <w:r w:rsidR="005A08E7" w:rsidRPr="005B5969">
        <w:rPr>
          <w:rFonts w:ascii="Arial" w:hAnsi="Arial" w:cs="Arial"/>
          <w:i/>
          <w:iCs/>
          <w:sz w:val="20"/>
          <w:szCs w:val="20"/>
          <w:lang w:val="pl-PL"/>
        </w:rPr>
        <w:t xml:space="preserve">przyczyniają się do </w:t>
      </w:r>
      <w:r w:rsidR="00B013FF" w:rsidRPr="005B5969">
        <w:rPr>
          <w:rFonts w:ascii="Arial" w:hAnsi="Arial" w:cs="Arial"/>
          <w:i/>
          <w:iCs/>
          <w:sz w:val="20"/>
          <w:szCs w:val="20"/>
          <w:lang w:val="pl-PL"/>
        </w:rPr>
        <w:t>zmian w strategiach inwestycyjnych</w:t>
      </w:r>
      <w:r w:rsidR="00243E4B" w:rsidRPr="005B5969">
        <w:rPr>
          <w:rFonts w:ascii="Arial" w:hAnsi="Arial" w:cs="Arial"/>
          <w:i/>
          <w:iCs/>
          <w:sz w:val="20"/>
          <w:szCs w:val="20"/>
          <w:lang w:val="pl-PL"/>
        </w:rPr>
        <w:t xml:space="preserve"> i otwierają nowe możliwości przed </w:t>
      </w:r>
      <w:r w:rsidR="00241D7A" w:rsidRPr="005B5969">
        <w:rPr>
          <w:rFonts w:ascii="Arial" w:hAnsi="Arial" w:cs="Arial"/>
          <w:i/>
          <w:iCs/>
          <w:sz w:val="20"/>
          <w:szCs w:val="20"/>
          <w:lang w:val="pl-PL"/>
        </w:rPr>
        <w:t>tymi, którzy</w:t>
      </w:r>
      <w:r w:rsidR="003A3249" w:rsidRPr="005B5969">
        <w:rPr>
          <w:rFonts w:ascii="Arial" w:hAnsi="Arial" w:cs="Arial"/>
          <w:i/>
          <w:iCs/>
          <w:sz w:val="20"/>
          <w:szCs w:val="20"/>
          <w:lang w:val="pl-PL"/>
        </w:rPr>
        <w:t xml:space="preserve"> są gotowi </w:t>
      </w:r>
      <w:r w:rsidR="00E94D2C" w:rsidRPr="005B5969">
        <w:rPr>
          <w:rFonts w:ascii="Arial" w:hAnsi="Arial" w:cs="Arial"/>
          <w:i/>
          <w:iCs/>
          <w:sz w:val="20"/>
          <w:szCs w:val="20"/>
          <w:lang w:val="pl-PL"/>
        </w:rPr>
        <w:t xml:space="preserve">podjąć </w:t>
      </w:r>
      <w:r w:rsidR="00125A94">
        <w:rPr>
          <w:rFonts w:ascii="Arial" w:hAnsi="Arial" w:cs="Arial"/>
          <w:i/>
          <w:iCs/>
          <w:sz w:val="20"/>
          <w:szCs w:val="20"/>
          <w:lang w:val="pl-PL"/>
        </w:rPr>
        <w:t xml:space="preserve">szybkie </w:t>
      </w:r>
      <w:r w:rsidR="00E94D2C" w:rsidRPr="005B5969">
        <w:rPr>
          <w:rFonts w:ascii="Arial" w:hAnsi="Arial" w:cs="Arial"/>
          <w:i/>
          <w:iCs/>
          <w:sz w:val="20"/>
          <w:szCs w:val="20"/>
          <w:lang w:val="pl-PL"/>
        </w:rPr>
        <w:t>działania</w:t>
      </w:r>
      <w:r w:rsidR="00861003">
        <w:rPr>
          <w:rFonts w:ascii="Arial" w:hAnsi="Arial" w:cs="Arial"/>
          <w:i/>
          <w:iCs/>
          <w:sz w:val="20"/>
          <w:szCs w:val="20"/>
          <w:lang w:val="pl-PL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val="pl-PL"/>
        </w:rPr>
        <w:t>–</w:t>
      </w:r>
      <w:r w:rsidR="00861003">
        <w:rPr>
          <w:rFonts w:ascii="Arial" w:hAnsi="Arial" w:cs="Arial"/>
          <w:i/>
          <w:iCs/>
          <w:sz w:val="20"/>
          <w:szCs w:val="20"/>
          <w:lang w:val="pl-PL"/>
        </w:rPr>
        <w:t xml:space="preserve"> </w:t>
      </w:r>
      <w:r w:rsidR="002B4E55" w:rsidRPr="005B5969">
        <w:rPr>
          <w:rFonts w:ascii="Arial" w:hAnsi="Arial" w:cs="Arial"/>
          <w:sz w:val="20"/>
          <w:szCs w:val="20"/>
          <w:lang w:val="pl-PL"/>
        </w:rPr>
        <w:t xml:space="preserve">mówi </w:t>
      </w:r>
      <w:proofErr w:type="spellStart"/>
      <w:r w:rsidR="002B4E55" w:rsidRPr="005B5969">
        <w:rPr>
          <w:rFonts w:ascii="Arial" w:hAnsi="Arial" w:cs="Arial"/>
          <w:b/>
          <w:bCs/>
          <w:sz w:val="20"/>
          <w:szCs w:val="20"/>
          <w:lang w:val="pl-PL"/>
        </w:rPr>
        <w:t>Guilherme</w:t>
      </w:r>
      <w:proofErr w:type="spellEnd"/>
      <w:r w:rsidR="002B4E55" w:rsidRPr="005B5969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proofErr w:type="spellStart"/>
      <w:r w:rsidR="002B4E55" w:rsidRPr="005B5969">
        <w:rPr>
          <w:rFonts w:ascii="Arial" w:hAnsi="Arial" w:cs="Arial"/>
          <w:b/>
          <w:bCs/>
          <w:sz w:val="20"/>
          <w:szCs w:val="20"/>
          <w:lang w:val="pl-PL"/>
        </w:rPr>
        <w:t>Neves</w:t>
      </w:r>
      <w:proofErr w:type="spellEnd"/>
      <w:r w:rsidR="002B4E55" w:rsidRPr="005B5969">
        <w:rPr>
          <w:rFonts w:ascii="Arial" w:hAnsi="Arial" w:cs="Arial"/>
          <w:b/>
          <w:bCs/>
          <w:sz w:val="20"/>
          <w:szCs w:val="20"/>
          <w:lang w:val="pl-PL"/>
        </w:rPr>
        <w:t>, S</w:t>
      </w:r>
      <w:r w:rsidR="00C061AA" w:rsidRPr="005B5969">
        <w:rPr>
          <w:rFonts w:ascii="Arial" w:hAnsi="Arial" w:cs="Arial"/>
          <w:b/>
          <w:bCs/>
          <w:sz w:val="20"/>
          <w:szCs w:val="20"/>
          <w:lang w:val="pl-PL"/>
        </w:rPr>
        <w:t xml:space="preserve">tarszy Analityk </w:t>
      </w:r>
      <w:r w:rsidR="001330F9" w:rsidRPr="005B5969">
        <w:rPr>
          <w:rFonts w:ascii="Arial" w:hAnsi="Arial" w:cs="Arial"/>
          <w:b/>
          <w:bCs/>
          <w:sz w:val="20"/>
          <w:szCs w:val="20"/>
          <w:lang w:val="pl-PL"/>
        </w:rPr>
        <w:t>ds. Prognoz w regionie EMEA, Cushman &amp; Wakefield.</w:t>
      </w:r>
    </w:p>
    <w:p w14:paraId="77CE2675" w14:textId="77777777" w:rsidR="001F298D" w:rsidRPr="005B5969" w:rsidRDefault="001F298D" w:rsidP="001F298D">
      <w:pPr>
        <w:tabs>
          <w:tab w:val="left" w:pos="5630"/>
        </w:tabs>
        <w:rPr>
          <w:rFonts w:ascii="Arial" w:hAnsi="Arial" w:cs="Arial"/>
          <w:bCs/>
          <w:sz w:val="20"/>
          <w:szCs w:val="20"/>
          <w:lang w:val="pl-PL"/>
        </w:rPr>
      </w:pPr>
    </w:p>
    <w:p w14:paraId="3AA64493" w14:textId="103C94AA" w:rsidR="001F298D" w:rsidRPr="005B5969" w:rsidRDefault="001F298D" w:rsidP="001F298D">
      <w:pPr>
        <w:tabs>
          <w:tab w:val="left" w:pos="5630"/>
        </w:tabs>
        <w:jc w:val="center"/>
        <w:rPr>
          <w:rFonts w:ascii="Arial" w:eastAsia="Microsoft JhengHei" w:hAnsi="Arial" w:cs="Arial"/>
          <w:b/>
          <w:color w:val="4E5050"/>
          <w:sz w:val="20"/>
          <w:szCs w:val="20"/>
          <w:lang w:val="pl-PL"/>
        </w:rPr>
      </w:pPr>
      <w:r w:rsidRPr="005B5969">
        <w:rPr>
          <w:rFonts w:ascii="Arial" w:eastAsia="Microsoft JhengHei" w:hAnsi="Arial" w:cs="Arial"/>
          <w:b/>
          <w:color w:val="4E5050"/>
          <w:sz w:val="20"/>
          <w:szCs w:val="20"/>
          <w:lang w:val="pl-PL"/>
        </w:rPr>
        <w:t>-</w:t>
      </w:r>
      <w:r w:rsidR="007A6DEC" w:rsidRPr="005B5969">
        <w:rPr>
          <w:rFonts w:ascii="Arial" w:eastAsia="Microsoft JhengHei" w:hAnsi="Arial" w:cs="Arial"/>
          <w:b/>
          <w:color w:val="4E5050"/>
          <w:sz w:val="20"/>
          <w:szCs w:val="20"/>
          <w:lang w:val="pl-PL"/>
        </w:rPr>
        <w:t>KONIEC</w:t>
      </w:r>
      <w:r w:rsidRPr="005B5969">
        <w:rPr>
          <w:rFonts w:ascii="Arial" w:eastAsia="Microsoft JhengHei" w:hAnsi="Arial" w:cs="Arial"/>
          <w:b/>
          <w:color w:val="4E5050"/>
          <w:sz w:val="20"/>
          <w:szCs w:val="20"/>
          <w:lang w:val="pl-PL"/>
        </w:rPr>
        <w:t>-</w:t>
      </w:r>
    </w:p>
    <w:p w14:paraId="54817A36" w14:textId="4C97CE47" w:rsidR="00C939A3" w:rsidRPr="005B5969" w:rsidRDefault="00BB612F" w:rsidP="005B5969">
      <w:pPr>
        <w:rPr>
          <w:rFonts w:ascii="Arial" w:hAnsi="Arial" w:cs="Arial"/>
          <w:sz w:val="18"/>
          <w:szCs w:val="18"/>
          <w:lang w:val="pl-PL"/>
        </w:rPr>
      </w:pPr>
      <w:r w:rsidRPr="005B5969">
        <w:rPr>
          <w:rFonts w:ascii="Arial" w:hAnsi="Arial" w:cs="Arial"/>
          <w:b/>
          <w:bCs/>
          <w:sz w:val="20"/>
          <w:szCs w:val="20"/>
          <w:bdr w:val="none" w:sz="0" w:space="0" w:color="auto" w:frame="1"/>
          <w:shd w:val="clear" w:color="auto" w:fill="FFFFFF"/>
          <w:lang w:val="pl-PL"/>
        </w:rPr>
        <w:t>O</w:t>
      </w:r>
      <w:r w:rsidR="001E5EDD" w:rsidRPr="005B5969">
        <w:rPr>
          <w:rFonts w:ascii="Arial" w:hAnsi="Arial" w:cs="Arial"/>
          <w:b/>
          <w:bCs/>
          <w:sz w:val="20"/>
          <w:szCs w:val="20"/>
          <w:bdr w:val="none" w:sz="0" w:space="0" w:color="auto" w:frame="1"/>
          <w:shd w:val="clear" w:color="auto" w:fill="FFFFFF"/>
          <w:lang w:val="pl-PL"/>
        </w:rPr>
        <w:t xml:space="preserve"> Cushman &amp; Wakefield </w:t>
      </w:r>
      <w:r w:rsidR="001E5EDD" w:rsidRPr="005B5969">
        <w:rPr>
          <w:rFonts w:ascii="Arial" w:hAnsi="Arial" w:cs="Arial"/>
          <w:b/>
          <w:bCs/>
          <w:sz w:val="18"/>
          <w:szCs w:val="18"/>
          <w:lang w:val="pl-PL"/>
        </w:rPr>
        <w:br/>
      </w:r>
      <w:r w:rsidR="005B5969" w:rsidRPr="005B5969">
        <w:rPr>
          <w:rFonts w:ascii="Arial" w:hAnsi="Arial" w:cs="Arial"/>
          <w:sz w:val="18"/>
          <w:szCs w:val="18"/>
          <w:lang w:val="pl-PL"/>
        </w:rPr>
        <w:t>Cushman &amp; Wakefield (NYSE: CWK) jest wiodącą na świecie firmą świadczącą usługi na rzecz właścicieli i najemców nieruchomości komercyjnych. Zatrudnia ok. 52 tys. pracowników w niemal 400 biurach i 60 krajach na całym świecie. W 2024 roku jej przychody wyniosły 9,4 mld USD. Do najważniejszych usług świadczonych przez firmę należą m.in. zarządzanie nieruchomościami, obiektami i projektami, pośrednictwo w wynajmie powierzchni, obsługa transakcji na rynkach kapitałowych oraz wyceny. Za nieustanne dążenie do doskonałości zgodnie z zasadą </w:t>
      </w:r>
      <w:proofErr w:type="spellStart"/>
      <w:r w:rsidR="005B5969" w:rsidRPr="005B5969">
        <w:rPr>
          <w:rFonts w:ascii="Arial" w:hAnsi="Arial" w:cs="Arial"/>
          <w:i/>
          <w:iCs/>
          <w:sz w:val="18"/>
          <w:szCs w:val="18"/>
          <w:lang w:val="pl-PL"/>
        </w:rPr>
        <w:t>Better</w:t>
      </w:r>
      <w:proofErr w:type="spellEnd"/>
      <w:r w:rsidR="005B5969" w:rsidRPr="005B5969">
        <w:rPr>
          <w:rFonts w:ascii="Arial" w:hAnsi="Arial" w:cs="Arial"/>
          <w:i/>
          <w:iCs/>
          <w:sz w:val="18"/>
          <w:szCs w:val="18"/>
          <w:lang w:val="pl-PL"/>
        </w:rPr>
        <w:t xml:space="preserve"> </w:t>
      </w:r>
      <w:proofErr w:type="spellStart"/>
      <w:r w:rsidR="005B5969" w:rsidRPr="005B5969">
        <w:rPr>
          <w:rFonts w:ascii="Arial" w:hAnsi="Arial" w:cs="Arial"/>
          <w:i/>
          <w:iCs/>
          <w:sz w:val="18"/>
          <w:szCs w:val="18"/>
          <w:lang w:val="pl-PL"/>
        </w:rPr>
        <w:t>never</w:t>
      </w:r>
      <w:proofErr w:type="spellEnd"/>
      <w:r w:rsidR="005B5969" w:rsidRPr="005B5969">
        <w:rPr>
          <w:rFonts w:ascii="Arial" w:hAnsi="Arial" w:cs="Arial"/>
          <w:i/>
          <w:iCs/>
          <w:sz w:val="18"/>
          <w:szCs w:val="18"/>
          <w:lang w:val="pl-PL"/>
        </w:rPr>
        <w:t xml:space="preserve"> </w:t>
      </w:r>
      <w:proofErr w:type="spellStart"/>
      <w:r w:rsidR="005B5969" w:rsidRPr="005B5969">
        <w:rPr>
          <w:rFonts w:ascii="Arial" w:hAnsi="Arial" w:cs="Arial"/>
          <w:i/>
          <w:iCs/>
          <w:sz w:val="18"/>
          <w:szCs w:val="18"/>
          <w:lang w:val="pl-PL"/>
        </w:rPr>
        <w:t>settles</w:t>
      </w:r>
      <w:proofErr w:type="spellEnd"/>
      <w:r w:rsidR="005B5969" w:rsidRPr="005B5969">
        <w:rPr>
          <w:rFonts w:ascii="Arial" w:hAnsi="Arial" w:cs="Arial"/>
          <w:i/>
          <w:iCs/>
          <w:sz w:val="18"/>
          <w:szCs w:val="18"/>
          <w:lang w:val="pl-PL"/>
        </w:rPr>
        <w:t> </w:t>
      </w:r>
      <w:r w:rsidR="005B5969" w:rsidRPr="005B5969">
        <w:rPr>
          <w:rFonts w:ascii="Arial" w:hAnsi="Arial" w:cs="Arial"/>
          <w:sz w:val="18"/>
          <w:szCs w:val="18"/>
          <w:lang w:val="pl-PL"/>
        </w:rPr>
        <w:t>Cushman &amp; Wakefield otrzymuje wiele wyróżnień oraz nagród w konkursach branżowych i biznesowych. Dodatkowe informacje na stronie</w:t>
      </w:r>
      <w:r w:rsidR="005B5969" w:rsidRPr="005B5969">
        <w:rPr>
          <w:sz w:val="16"/>
          <w:szCs w:val="16"/>
          <w:lang w:val="pl-PL"/>
        </w:rPr>
        <w:t> </w:t>
      </w:r>
      <w:hyperlink r:id="rId8" w:tgtFrame="_blank" w:tooltip="http://www.cushmanwakefield.com/" w:history="1">
        <w:r w:rsidR="00C939A3" w:rsidRPr="005B5969">
          <w:rPr>
            <w:rStyle w:val="Hipercze"/>
            <w:rFonts w:ascii="Arial" w:hAnsi="Arial" w:cs="Arial"/>
            <w:sz w:val="18"/>
            <w:szCs w:val="18"/>
            <w:lang w:val="pl-PL"/>
          </w:rPr>
          <w:t>www.cushmanwakefield.com</w:t>
        </w:r>
      </w:hyperlink>
      <w:r w:rsidR="00C939A3" w:rsidRPr="005B5969">
        <w:rPr>
          <w:rFonts w:ascii="Arial" w:hAnsi="Arial" w:cs="Arial"/>
          <w:sz w:val="18"/>
          <w:szCs w:val="18"/>
          <w:lang w:val="pl-PL"/>
        </w:rPr>
        <w:t>.</w:t>
      </w:r>
    </w:p>
    <w:sectPr w:rsidR="00C939A3" w:rsidRPr="005B5969" w:rsidSect="001E5EDD">
      <w:headerReference w:type="default" r:id="rId9"/>
      <w:footerReference w:type="default" r:id="rId10"/>
      <w:headerReference w:type="first" r:id="rId11"/>
      <w:footerReference w:type="first" r:id="rId12"/>
      <w:pgSz w:w="11909" w:h="16834" w:code="9"/>
      <w:pgMar w:top="3600" w:right="1008" w:bottom="2880" w:left="1224" w:header="180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C50A8" w14:textId="77777777" w:rsidR="00BB1CEC" w:rsidRDefault="00BB1CEC" w:rsidP="001E5EDD">
      <w:pPr>
        <w:spacing w:after="0" w:line="240" w:lineRule="auto"/>
      </w:pPr>
      <w:r>
        <w:separator/>
      </w:r>
    </w:p>
  </w:endnote>
  <w:endnote w:type="continuationSeparator" w:id="0">
    <w:p w14:paraId="7BB506E5" w14:textId="77777777" w:rsidR="00BB1CEC" w:rsidRDefault="00BB1CEC" w:rsidP="001E5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7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0"/>
    </w:tblGrid>
    <w:tr w:rsidR="002B653E" w:rsidRPr="00F27BA6" w14:paraId="7077B96D" w14:textId="77777777" w:rsidTr="00A30D8E">
      <w:trPr>
        <w:trHeight w:val="1260"/>
      </w:trPr>
      <w:tc>
        <w:tcPr>
          <w:tcW w:w="5670" w:type="dxa"/>
          <w:vAlign w:val="bottom"/>
        </w:tcPr>
        <w:p w14:paraId="57945FB9" w14:textId="449AFCD9" w:rsidR="00104CC1" w:rsidRPr="001E5EDD" w:rsidRDefault="007F75D4" w:rsidP="002B653E">
          <w:pPr>
            <w:pStyle w:val="ContactName"/>
            <w:rPr>
              <w:rFonts w:ascii="Arial" w:hAnsi="Arial" w:cs="Arial"/>
              <w:color w:val="696B6B"/>
              <w:szCs w:val="18"/>
            </w:rPr>
          </w:pPr>
          <w:r>
            <w:rPr>
              <w:rFonts w:ascii="Arial" w:hAnsi="Arial" w:cs="Arial"/>
              <w:color w:val="696B6B"/>
              <w:szCs w:val="18"/>
            </w:rPr>
            <w:t>Lauren</w:t>
          </w:r>
          <w:r w:rsidR="00104CC1" w:rsidRPr="001E5EDD">
            <w:rPr>
              <w:rFonts w:ascii="Arial" w:hAnsi="Arial" w:cs="Arial"/>
              <w:color w:val="696B6B"/>
              <w:szCs w:val="18"/>
            </w:rPr>
            <w:t xml:space="preserve"> </w:t>
          </w:r>
          <w:r>
            <w:rPr>
              <w:rFonts w:ascii="Arial" w:hAnsi="Arial" w:cs="Arial"/>
              <w:color w:val="696B6B"/>
              <w:szCs w:val="18"/>
            </w:rPr>
            <w:t>Joselyn</w:t>
          </w:r>
        </w:p>
        <w:p w14:paraId="722927BA" w14:textId="1DBEF968" w:rsidR="00104CC1" w:rsidRPr="001E5EDD" w:rsidRDefault="007F75D4" w:rsidP="002B653E">
          <w:pPr>
            <w:pStyle w:val="ContactDetail"/>
            <w:rPr>
              <w:rFonts w:ascii="Arial" w:hAnsi="Arial" w:cs="Arial"/>
              <w:color w:val="696B6B"/>
              <w:szCs w:val="18"/>
            </w:rPr>
          </w:pPr>
          <w:r>
            <w:rPr>
              <w:rFonts w:ascii="Arial" w:hAnsi="Arial" w:cs="Arial"/>
              <w:color w:val="696B6B"/>
              <w:szCs w:val="18"/>
            </w:rPr>
            <w:t>Associate Director,</w:t>
          </w:r>
          <w:r w:rsidR="00104CC1" w:rsidRPr="001E5EDD">
            <w:rPr>
              <w:rFonts w:ascii="Arial" w:hAnsi="Arial" w:cs="Arial"/>
              <w:color w:val="696B6B"/>
              <w:szCs w:val="18"/>
            </w:rPr>
            <w:t xml:space="preserve"> Communications</w:t>
          </w:r>
        </w:p>
        <w:p w14:paraId="3845771C" w14:textId="77777777" w:rsidR="007F75D4" w:rsidRPr="001E5EDD" w:rsidRDefault="007F75D4" w:rsidP="007F75D4">
          <w:pPr>
            <w:spacing w:after="0" w:line="216" w:lineRule="atLeast"/>
            <w:rPr>
              <w:rFonts w:ascii="Arial" w:eastAsia="Times New Roman" w:hAnsi="Arial" w:cs="Arial"/>
              <w:color w:val="696B6B"/>
              <w:sz w:val="18"/>
              <w:szCs w:val="18"/>
              <w:lang w:val="es-ES_tradnl" w:eastAsia="en-GB"/>
            </w:rPr>
          </w:pPr>
          <w:r w:rsidRPr="001E5EDD">
            <w:rPr>
              <w:rFonts w:ascii="Arial" w:eastAsia="Times New Roman" w:hAnsi="Arial" w:cs="Arial"/>
              <w:color w:val="696B6B"/>
              <w:sz w:val="18"/>
              <w:szCs w:val="18"/>
              <w:lang w:val="es-ES_tradnl" w:eastAsia="en-GB"/>
            </w:rPr>
            <w:t xml:space="preserve">+44(0)203 296 </w:t>
          </w:r>
          <w:r>
            <w:rPr>
              <w:rFonts w:ascii="Arial" w:eastAsia="Times New Roman" w:hAnsi="Arial" w:cs="Arial"/>
              <w:color w:val="696B6B"/>
              <w:sz w:val="18"/>
              <w:szCs w:val="18"/>
              <w:lang w:val="es-ES_tradnl" w:eastAsia="en-GB"/>
            </w:rPr>
            <w:t>3034</w:t>
          </w:r>
        </w:p>
        <w:p w14:paraId="253B56A5" w14:textId="5BF74390" w:rsidR="00104CC1" w:rsidRPr="001E5EDD" w:rsidRDefault="007F75D4" w:rsidP="007F75D4">
          <w:pPr>
            <w:pStyle w:val="ContactDetail"/>
            <w:rPr>
              <w:rFonts w:ascii="Arial" w:hAnsi="Arial" w:cs="Arial"/>
              <w:color w:val="4E5050"/>
              <w:lang w:val="es-ES_tradnl"/>
            </w:rPr>
          </w:pPr>
          <w:hyperlink r:id="rId1" w:history="1">
            <w:r>
              <w:rPr>
                <w:rFonts w:ascii="Arial" w:hAnsi="Arial" w:cs="Arial"/>
                <w:color w:val="0093B2"/>
                <w:szCs w:val="18"/>
                <w:u w:val="single"/>
                <w:lang w:val="es-ES_tradnl"/>
              </w:rPr>
              <w:t>lauren.joselyn@cushwake.com</w:t>
            </w:r>
          </w:hyperlink>
        </w:p>
      </w:tc>
    </w:tr>
  </w:tbl>
  <w:p w14:paraId="3C11815C" w14:textId="77777777" w:rsidR="00104CC1" w:rsidRDefault="00104C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13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5"/>
      <w:gridCol w:w="3065"/>
    </w:tblGrid>
    <w:tr w:rsidR="001E5EDD" w:rsidRPr="001E5EDD" w14:paraId="0D5F9232" w14:textId="77777777" w:rsidTr="00AE6F33">
      <w:trPr>
        <w:trHeight w:val="650"/>
      </w:trPr>
      <w:tc>
        <w:tcPr>
          <w:tcW w:w="6130" w:type="dxa"/>
          <w:gridSpan w:val="2"/>
          <w:vAlign w:val="bottom"/>
        </w:tcPr>
        <w:p w14:paraId="3896D469" w14:textId="6C283AFD" w:rsidR="001E5EDD" w:rsidRPr="001E5EDD" w:rsidRDefault="00751E03" w:rsidP="001E5EDD">
          <w:pPr>
            <w:keepNext/>
            <w:keepLines/>
            <w:spacing w:after="100" w:line="240" w:lineRule="atLeast"/>
            <w:outlineLvl w:val="1"/>
            <w:rPr>
              <w:rFonts w:ascii="Arial" w:eastAsia="Times New Roman" w:hAnsi="Arial" w:cs="Arial"/>
              <w:b/>
              <w:bCs/>
              <w:caps/>
              <w:color w:val="4E5050"/>
              <w:sz w:val="18"/>
              <w:szCs w:val="26"/>
              <w:lang w:eastAsia="en-GB"/>
            </w:rPr>
          </w:pPr>
          <w:r w:rsidRPr="00751E03">
            <w:rPr>
              <w:rFonts w:ascii="Arial" w:eastAsia="Times New Roman" w:hAnsi="Arial" w:cs="Arial"/>
              <w:b/>
              <w:bCs/>
              <w:color w:val="4E5050"/>
              <w:sz w:val="18"/>
              <w:szCs w:val="26"/>
              <w:lang w:val="pl-PL" w:eastAsia="en-GB"/>
            </w:rPr>
            <w:t>Dodatkowe informacje</w:t>
          </w:r>
          <w:r w:rsidR="001E5EDD" w:rsidRPr="001E5EDD">
            <w:rPr>
              <w:rFonts w:ascii="Arial" w:eastAsia="Times New Roman" w:hAnsi="Arial" w:cs="Arial"/>
              <w:b/>
              <w:bCs/>
              <w:color w:val="4E5050"/>
              <w:sz w:val="18"/>
              <w:szCs w:val="26"/>
              <w:lang w:eastAsia="en-GB"/>
            </w:rPr>
            <w:t>:</w:t>
          </w:r>
        </w:p>
      </w:tc>
    </w:tr>
    <w:tr w:rsidR="001E5EDD" w:rsidRPr="001E5EDD" w14:paraId="76C3C1CA" w14:textId="77777777" w:rsidTr="00AE6F33">
      <w:trPr>
        <w:trHeight w:val="1300"/>
      </w:trPr>
      <w:tc>
        <w:tcPr>
          <w:tcW w:w="3065" w:type="dxa"/>
          <w:vAlign w:val="bottom"/>
        </w:tcPr>
        <w:p w14:paraId="267837AC" w14:textId="7B6642F0" w:rsidR="001E5EDD" w:rsidRPr="001E5EDD" w:rsidRDefault="00AE6F33" w:rsidP="001E5EDD">
          <w:pPr>
            <w:keepNext/>
            <w:keepLines/>
            <w:spacing w:after="0" w:line="216" w:lineRule="atLeast"/>
            <w:outlineLvl w:val="2"/>
            <w:rPr>
              <w:rFonts w:ascii="Arial" w:eastAsia="Times New Roman" w:hAnsi="Arial" w:cs="Arial"/>
              <w:b/>
              <w:bCs/>
              <w:color w:val="696B6B"/>
              <w:sz w:val="18"/>
              <w:szCs w:val="18"/>
              <w:lang w:eastAsia="en-GB"/>
            </w:rPr>
          </w:pPr>
          <w:r>
            <w:rPr>
              <w:rFonts w:ascii="Arial" w:eastAsia="Times New Roman" w:hAnsi="Arial" w:cs="Arial"/>
              <w:b/>
              <w:bCs/>
              <w:color w:val="696B6B"/>
              <w:sz w:val="18"/>
              <w:szCs w:val="18"/>
              <w:lang w:eastAsia="en-GB"/>
            </w:rPr>
            <w:t>Lauren</w:t>
          </w:r>
          <w:r w:rsidR="001E5EDD" w:rsidRPr="001E5EDD">
            <w:rPr>
              <w:rFonts w:ascii="Arial" w:eastAsia="Times New Roman" w:hAnsi="Arial" w:cs="Arial"/>
              <w:b/>
              <w:bCs/>
              <w:color w:val="696B6B"/>
              <w:sz w:val="18"/>
              <w:szCs w:val="18"/>
              <w:lang w:eastAsia="en-GB"/>
            </w:rPr>
            <w:t xml:space="preserve"> </w:t>
          </w:r>
          <w:r>
            <w:rPr>
              <w:rFonts w:ascii="Arial" w:eastAsia="Times New Roman" w:hAnsi="Arial" w:cs="Arial"/>
              <w:b/>
              <w:bCs/>
              <w:color w:val="696B6B"/>
              <w:sz w:val="18"/>
              <w:szCs w:val="18"/>
              <w:lang w:eastAsia="en-GB"/>
            </w:rPr>
            <w:t>Joselyn</w:t>
          </w:r>
        </w:p>
        <w:p w14:paraId="6CFC7B1A" w14:textId="331BBF84" w:rsidR="001E5EDD" w:rsidRPr="001E5EDD" w:rsidRDefault="00AE6F33" w:rsidP="001E5EDD">
          <w:pPr>
            <w:spacing w:after="0" w:line="216" w:lineRule="atLeast"/>
            <w:rPr>
              <w:rFonts w:ascii="Arial" w:eastAsia="Times New Roman" w:hAnsi="Arial" w:cs="Arial"/>
              <w:color w:val="696B6B"/>
              <w:sz w:val="18"/>
              <w:szCs w:val="18"/>
              <w:lang w:eastAsia="en-GB"/>
            </w:rPr>
          </w:pPr>
          <w:r>
            <w:rPr>
              <w:rFonts w:ascii="Arial" w:eastAsia="Times New Roman" w:hAnsi="Arial" w:cs="Arial"/>
              <w:color w:val="696B6B"/>
              <w:sz w:val="18"/>
              <w:szCs w:val="18"/>
              <w:lang w:eastAsia="en-GB"/>
            </w:rPr>
            <w:t>Associate Director,</w:t>
          </w:r>
          <w:r w:rsidR="001E5EDD" w:rsidRPr="001E5EDD">
            <w:rPr>
              <w:rFonts w:ascii="Arial" w:eastAsia="Times New Roman" w:hAnsi="Arial" w:cs="Arial"/>
              <w:color w:val="696B6B"/>
              <w:sz w:val="18"/>
              <w:szCs w:val="18"/>
              <w:lang w:eastAsia="en-GB"/>
            </w:rPr>
            <w:t xml:space="preserve"> Communications</w:t>
          </w:r>
        </w:p>
        <w:p w14:paraId="2D0B8870" w14:textId="17618848" w:rsidR="001E5EDD" w:rsidRPr="001E5EDD" w:rsidRDefault="001E5EDD" w:rsidP="001E5EDD">
          <w:pPr>
            <w:spacing w:after="0" w:line="216" w:lineRule="atLeast"/>
            <w:rPr>
              <w:rFonts w:ascii="Arial" w:eastAsia="Times New Roman" w:hAnsi="Arial" w:cs="Arial"/>
              <w:color w:val="696B6B"/>
              <w:sz w:val="18"/>
              <w:szCs w:val="18"/>
              <w:lang w:val="es-ES_tradnl" w:eastAsia="en-GB"/>
            </w:rPr>
          </w:pPr>
          <w:r w:rsidRPr="001E5EDD">
            <w:rPr>
              <w:rFonts w:ascii="Arial" w:eastAsia="Times New Roman" w:hAnsi="Arial" w:cs="Arial"/>
              <w:color w:val="696B6B"/>
              <w:sz w:val="18"/>
              <w:szCs w:val="18"/>
              <w:lang w:val="es-ES_tradnl" w:eastAsia="en-GB"/>
            </w:rPr>
            <w:t xml:space="preserve">+44(0)203 296 </w:t>
          </w:r>
          <w:r w:rsidR="00AE6F33">
            <w:rPr>
              <w:rFonts w:ascii="Arial" w:eastAsia="Times New Roman" w:hAnsi="Arial" w:cs="Arial"/>
              <w:color w:val="696B6B"/>
              <w:sz w:val="18"/>
              <w:szCs w:val="18"/>
              <w:lang w:val="es-ES_tradnl" w:eastAsia="en-GB"/>
            </w:rPr>
            <w:t>3034</w:t>
          </w:r>
        </w:p>
        <w:p w14:paraId="2E7DEB0F" w14:textId="2D36CE02" w:rsidR="001E5EDD" w:rsidRPr="001E5EDD" w:rsidRDefault="00AE6F33" w:rsidP="001E5EDD">
          <w:pPr>
            <w:spacing w:after="0" w:line="216" w:lineRule="atLeast"/>
            <w:rPr>
              <w:rFonts w:ascii="Arial" w:eastAsia="Times New Roman" w:hAnsi="Arial" w:cs="Arial"/>
              <w:color w:val="4E5050"/>
              <w:sz w:val="18"/>
              <w:szCs w:val="18"/>
              <w:lang w:eastAsia="en-GB"/>
            </w:rPr>
          </w:pPr>
          <w:hyperlink r:id="rId1" w:history="1">
            <w:r>
              <w:rPr>
                <w:rFonts w:ascii="Arial" w:eastAsia="Times New Roman" w:hAnsi="Arial" w:cs="Arial"/>
                <w:color w:val="0093B2"/>
                <w:sz w:val="18"/>
                <w:szCs w:val="18"/>
                <w:u w:val="single"/>
                <w:lang w:val="es-ES_tradnl" w:eastAsia="en-GB"/>
              </w:rPr>
              <w:t>lauren.joselyn@cushwake.com</w:t>
            </w:r>
          </w:hyperlink>
        </w:p>
      </w:tc>
      <w:tc>
        <w:tcPr>
          <w:tcW w:w="3065" w:type="dxa"/>
          <w:vAlign w:val="bottom"/>
        </w:tcPr>
        <w:p w14:paraId="2FAF6508" w14:textId="77777777" w:rsidR="001E5EDD" w:rsidRPr="001E5EDD" w:rsidRDefault="001E5EDD" w:rsidP="001E5EDD">
          <w:pPr>
            <w:spacing w:after="0" w:line="216" w:lineRule="atLeast"/>
            <w:rPr>
              <w:rFonts w:ascii="Arial" w:eastAsia="Times New Roman" w:hAnsi="Arial" w:cs="Arial"/>
              <w:color w:val="4E5050"/>
              <w:sz w:val="18"/>
              <w:szCs w:val="18"/>
              <w:lang w:val="es-ES_tradnl" w:eastAsia="en-GB"/>
            </w:rPr>
          </w:pPr>
        </w:p>
      </w:tc>
    </w:tr>
  </w:tbl>
  <w:p w14:paraId="054AD49B" w14:textId="22808C65" w:rsidR="00104CC1" w:rsidRDefault="00104C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1157E" w14:textId="77777777" w:rsidR="00BB1CEC" w:rsidRDefault="00BB1CEC" w:rsidP="001E5EDD">
      <w:pPr>
        <w:spacing w:after="0" w:line="240" w:lineRule="auto"/>
      </w:pPr>
      <w:r>
        <w:separator/>
      </w:r>
    </w:p>
  </w:footnote>
  <w:footnote w:type="continuationSeparator" w:id="0">
    <w:p w14:paraId="4D4E1BC8" w14:textId="77777777" w:rsidR="00BB1CEC" w:rsidRDefault="00BB1CEC" w:rsidP="001E5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AA93B" w14:textId="77777777" w:rsidR="00104CC1" w:rsidRDefault="00104CC1">
    <w:pPr>
      <w:pStyle w:val="Nagwek"/>
    </w:pPr>
    <w:r>
      <w:rPr>
        <w:noProof/>
        <w:lang w:eastAsia="en-GB"/>
      </w:rPr>
      <w:drawing>
        <wp:inline distT="0" distB="0" distL="0" distR="0" wp14:anchorId="60C9C53F" wp14:editId="37A0F607">
          <wp:extent cx="2303780" cy="484505"/>
          <wp:effectExtent l="0" t="0" r="1270" b="0"/>
          <wp:docPr id="1" name="Picture 1" descr="E:\CW REBRAND\Assets\CW Logo Suite\Cushman &amp; Wakefield\CW_Logo_PMS.em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E:\CW REBRAND\Assets\CW Logo Suite\Cushman &amp; Wakefield\CW_Logo_PMS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78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A27B" w14:textId="77777777" w:rsidR="00104CC1" w:rsidRDefault="00104CC1">
    <w:pPr>
      <w:pStyle w:val="Nagwek"/>
    </w:pPr>
    <w:r>
      <w:rPr>
        <w:noProof/>
        <w:lang w:eastAsia="en-GB"/>
      </w:rPr>
      <w:drawing>
        <wp:inline distT="0" distB="0" distL="0" distR="0" wp14:anchorId="350B32DA" wp14:editId="09AA938A">
          <wp:extent cx="2303780" cy="484505"/>
          <wp:effectExtent l="0" t="0" r="1270" b="0"/>
          <wp:docPr id="6" name="Picture 6" descr="E:\CW REBRAND\Assets\CW Logo Suite\Cushman &amp; Wakefield\CW_Logo_PMS.em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E:\CW REBRAND\Assets\CW Logo Suite\Cushman &amp; Wakefield\CW_Logo_PMS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78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14A10"/>
    <w:multiLevelType w:val="hybridMultilevel"/>
    <w:tmpl w:val="37FC0D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B665F2"/>
    <w:multiLevelType w:val="hybridMultilevel"/>
    <w:tmpl w:val="8918E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299484">
    <w:abstractNumId w:val="0"/>
  </w:num>
  <w:num w:numId="2" w16cid:durableId="1798839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EDD"/>
    <w:rsid w:val="00001971"/>
    <w:rsid w:val="00006590"/>
    <w:rsid w:val="000212B3"/>
    <w:rsid w:val="00021677"/>
    <w:rsid w:val="000216E2"/>
    <w:rsid w:val="00025F02"/>
    <w:rsid w:val="00027224"/>
    <w:rsid w:val="000309AE"/>
    <w:rsid w:val="000360EC"/>
    <w:rsid w:val="00043B30"/>
    <w:rsid w:val="000443F2"/>
    <w:rsid w:val="00046B24"/>
    <w:rsid w:val="0004779C"/>
    <w:rsid w:val="00050727"/>
    <w:rsid w:val="00050E0A"/>
    <w:rsid w:val="00050F69"/>
    <w:rsid w:val="00054A8D"/>
    <w:rsid w:val="00073B6F"/>
    <w:rsid w:val="00074E6D"/>
    <w:rsid w:val="00081A66"/>
    <w:rsid w:val="00085B48"/>
    <w:rsid w:val="000963C3"/>
    <w:rsid w:val="000A0F1C"/>
    <w:rsid w:val="000A1B60"/>
    <w:rsid w:val="000A61B5"/>
    <w:rsid w:val="000A7339"/>
    <w:rsid w:val="000A7549"/>
    <w:rsid w:val="000A7859"/>
    <w:rsid w:val="000B1BAB"/>
    <w:rsid w:val="000B37C6"/>
    <w:rsid w:val="000B3B94"/>
    <w:rsid w:val="000C0720"/>
    <w:rsid w:val="000C57AE"/>
    <w:rsid w:val="000D2ED0"/>
    <w:rsid w:val="000D7ED1"/>
    <w:rsid w:val="000E1F6F"/>
    <w:rsid w:val="000E2079"/>
    <w:rsid w:val="000E34DA"/>
    <w:rsid w:val="000E4554"/>
    <w:rsid w:val="000F54BD"/>
    <w:rsid w:val="00100497"/>
    <w:rsid w:val="00103A95"/>
    <w:rsid w:val="00104CC1"/>
    <w:rsid w:val="00111E19"/>
    <w:rsid w:val="00112395"/>
    <w:rsid w:val="001151D4"/>
    <w:rsid w:val="00120D3C"/>
    <w:rsid w:val="00122CB5"/>
    <w:rsid w:val="001239A3"/>
    <w:rsid w:val="0012426A"/>
    <w:rsid w:val="00124F66"/>
    <w:rsid w:val="00125A94"/>
    <w:rsid w:val="0012782B"/>
    <w:rsid w:val="001330F9"/>
    <w:rsid w:val="00133CC5"/>
    <w:rsid w:val="00142C4B"/>
    <w:rsid w:val="00144A06"/>
    <w:rsid w:val="00145556"/>
    <w:rsid w:val="001464A7"/>
    <w:rsid w:val="0015560A"/>
    <w:rsid w:val="0016106B"/>
    <w:rsid w:val="001611CD"/>
    <w:rsid w:val="00163E7F"/>
    <w:rsid w:val="001674B5"/>
    <w:rsid w:val="001678C1"/>
    <w:rsid w:val="00170727"/>
    <w:rsid w:val="001712C4"/>
    <w:rsid w:val="0017248D"/>
    <w:rsid w:val="00180797"/>
    <w:rsid w:val="00186799"/>
    <w:rsid w:val="0019251A"/>
    <w:rsid w:val="001A00E0"/>
    <w:rsid w:val="001A2B7F"/>
    <w:rsid w:val="001A7F10"/>
    <w:rsid w:val="001B6774"/>
    <w:rsid w:val="001C43FD"/>
    <w:rsid w:val="001C4845"/>
    <w:rsid w:val="001C6965"/>
    <w:rsid w:val="001C7C37"/>
    <w:rsid w:val="001C7E34"/>
    <w:rsid w:val="001D0BA2"/>
    <w:rsid w:val="001D35D4"/>
    <w:rsid w:val="001D79B1"/>
    <w:rsid w:val="001E5EDD"/>
    <w:rsid w:val="001F090C"/>
    <w:rsid w:val="001F0B75"/>
    <w:rsid w:val="001F298D"/>
    <w:rsid w:val="001F2AC6"/>
    <w:rsid w:val="001F6A93"/>
    <w:rsid w:val="001F6D52"/>
    <w:rsid w:val="00212B87"/>
    <w:rsid w:val="00212C61"/>
    <w:rsid w:val="00212E69"/>
    <w:rsid w:val="00217D39"/>
    <w:rsid w:val="0023061F"/>
    <w:rsid w:val="00230ACC"/>
    <w:rsid w:val="00231CA5"/>
    <w:rsid w:val="00235951"/>
    <w:rsid w:val="00236B13"/>
    <w:rsid w:val="00241D7A"/>
    <w:rsid w:val="00243399"/>
    <w:rsid w:val="00243E4B"/>
    <w:rsid w:val="0024757B"/>
    <w:rsid w:val="00247901"/>
    <w:rsid w:val="002509C4"/>
    <w:rsid w:val="00253F83"/>
    <w:rsid w:val="00255D1D"/>
    <w:rsid w:val="0025717C"/>
    <w:rsid w:val="002623AE"/>
    <w:rsid w:val="00265F4C"/>
    <w:rsid w:val="00272F84"/>
    <w:rsid w:val="00275194"/>
    <w:rsid w:val="00276E04"/>
    <w:rsid w:val="002902B4"/>
    <w:rsid w:val="002A02D1"/>
    <w:rsid w:val="002A172F"/>
    <w:rsid w:val="002A5EC4"/>
    <w:rsid w:val="002A6017"/>
    <w:rsid w:val="002A6D47"/>
    <w:rsid w:val="002B0DAD"/>
    <w:rsid w:val="002B1149"/>
    <w:rsid w:val="002B343F"/>
    <w:rsid w:val="002B4862"/>
    <w:rsid w:val="002B4E55"/>
    <w:rsid w:val="002C0B55"/>
    <w:rsid w:val="002C6137"/>
    <w:rsid w:val="002D1AE9"/>
    <w:rsid w:val="002D5946"/>
    <w:rsid w:val="002D7997"/>
    <w:rsid w:val="002E130B"/>
    <w:rsid w:val="002E3054"/>
    <w:rsid w:val="002E31B3"/>
    <w:rsid w:val="002E406E"/>
    <w:rsid w:val="002E77BB"/>
    <w:rsid w:val="002E79C6"/>
    <w:rsid w:val="002E79F5"/>
    <w:rsid w:val="002F68A1"/>
    <w:rsid w:val="0030508F"/>
    <w:rsid w:val="00305E12"/>
    <w:rsid w:val="0030762E"/>
    <w:rsid w:val="00312469"/>
    <w:rsid w:val="003125A7"/>
    <w:rsid w:val="003149C9"/>
    <w:rsid w:val="00314DAC"/>
    <w:rsid w:val="00323BB9"/>
    <w:rsid w:val="00324B31"/>
    <w:rsid w:val="003325FB"/>
    <w:rsid w:val="003328C9"/>
    <w:rsid w:val="003343C4"/>
    <w:rsid w:val="00334FFA"/>
    <w:rsid w:val="00335A0D"/>
    <w:rsid w:val="0033798F"/>
    <w:rsid w:val="00342214"/>
    <w:rsid w:val="003428AD"/>
    <w:rsid w:val="00351D95"/>
    <w:rsid w:val="003524FB"/>
    <w:rsid w:val="00352A77"/>
    <w:rsid w:val="00353BEA"/>
    <w:rsid w:val="00354B1C"/>
    <w:rsid w:val="00355C27"/>
    <w:rsid w:val="0036096F"/>
    <w:rsid w:val="00361CFC"/>
    <w:rsid w:val="00364595"/>
    <w:rsid w:val="003651E1"/>
    <w:rsid w:val="003703C1"/>
    <w:rsid w:val="00373605"/>
    <w:rsid w:val="003762D7"/>
    <w:rsid w:val="00376F3E"/>
    <w:rsid w:val="00377783"/>
    <w:rsid w:val="0038122F"/>
    <w:rsid w:val="00384618"/>
    <w:rsid w:val="00392526"/>
    <w:rsid w:val="003926DD"/>
    <w:rsid w:val="00392ACD"/>
    <w:rsid w:val="00393076"/>
    <w:rsid w:val="00395491"/>
    <w:rsid w:val="003A1210"/>
    <w:rsid w:val="003A2939"/>
    <w:rsid w:val="003A3249"/>
    <w:rsid w:val="003A33F6"/>
    <w:rsid w:val="003A5C41"/>
    <w:rsid w:val="003B175A"/>
    <w:rsid w:val="003B5367"/>
    <w:rsid w:val="003B5912"/>
    <w:rsid w:val="003C0B24"/>
    <w:rsid w:val="003C3194"/>
    <w:rsid w:val="003C33A7"/>
    <w:rsid w:val="003C52CD"/>
    <w:rsid w:val="003C579B"/>
    <w:rsid w:val="003D2BAF"/>
    <w:rsid w:val="003D3E2A"/>
    <w:rsid w:val="003E08C0"/>
    <w:rsid w:val="003E1027"/>
    <w:rsid w:val="003E23A3"/>
    <w:rsid w:val="003E3518"/>
    <w:rsid w:val="003E5345"/>
    <w:rsid w:val="003F0FC5"/>
    <w:rsid w:val="003F26DC"/>
    <w:rsid w:val="00423C3D"/>
    <w:rsid w:val="004270C7"/>
    <w:rsid w:val="004277BF"/>
    <w:rsid w:val="004306F2"/>
    <w:rsid w:val="00431DE3"/>
    <w:rsid w:val="004326F5"/>
    <w:rsid w:val="0043304E"/>
    <w:rsid w:val="00441936"/>
    <w:rsid w:val="0044367D"/>
    <w:rsid w:val="00445350"/>
    <w:rsid w:val="00450ED2"/>
    <w:rsid w:val="0045307A"/>
    <w:rsid w:val="00454BC3"/>
    <w:rsid w:val="00456C36"/>
    <w:rsid w:val="00460E60"/>
    <w:rsid w:val="00464DCF"/>
    <w:rsid w:val="0047106D"/>
    <w:rsid w:val="0047300A"/>
    <w:rsid w:val="00473673"/>
    <w:rsid w:val="0048015C"/>
    <w:rsid w:val="00481734"/>
    <w:rsid w:val="00482F3E"/>
    <w:rsid w:val="00483155"/>
    <w:rsid w:val="004832B8"/>
    <w:rsid w:val="00483984"/>
    <w:rsid w:val="00484F74"/>
    <w:rsid w:val="00486BEB"/>
    <w:rsid w:val="004929C2"/>
    <w:rsid w:val="004960E7"/>
    <w:rsid w:val="00496151"/>
    <w:rsid w:val="004977E4"/>
    <w:rsid w:val="004A184E"/>
    <w:rsid w:val="004A1A03"/>
    <w:rsid w:val="004A6E15"/>
    <w:rsid w:val="004B0C40"/>
    <w:rsid w:val="004C177A"/>
    <w:rsid w:val="004C6CDF"/>
    <w:rsid w:val="004C7E60"/>
    <w:rsid w:val="004D0D62"/>
    <w:rsid w:val="004E259B"/>
    <w:rsid w:val="004E63AA"/>
    <w:rsid w:val="004E734A"/>
    <w:rsid w:val="004F4F7C"/>
    <w:rsid w:val="004F5383"/>
    <w:rsid w:val="004F68D4"/>
    <w:rsid w:val="005015AB"/>
    <w:rsid w:val="00503A84"/>
    <w:rsid w:val="0050416C"/>
    <w:rsid w:val="005078C0"/>
    <w:rsid w:val="005079C8"/>
    <w:rsid w:val="00507A95"/>
    <w:rsid w:val="00513283"/>
    <w:rsid w:val="00513710"/>
    <w:rsid w:val="00520179"/>
    <w:rsid w:val="00523854"/>
    <w:rsid w:val="0052702F"/>
    <w:rsid w:val="0053060C"/>
    <w:rsid w:val="00530E91"/>
    <w:rsid w:val="00531932"/>
    <w:rsid w:val="00543D02"/>
    <w:rsid w:val="00546A82"/>
    <w:rsid w:val="00556A7D"/>
    <w:rsid w:val="00560EE8"/>
    <w:rsid w:val="00560F56"/>
    <w:rsid w:val="00561ED2"/>
    <w:rsid w:val="0056276A"/>
    <w:rsid w:val="00563135"/>
    <w:rsid w:val="00575174"/>
    <w:rsid w:val="00575F56"/>
    <w:rsid w:val="00592EF0"/>
    <w:rsid w:val="0059308E"/>
    <w:rsid w:val="0059768A"/>
    <w:rsid w:val="005A08E7"/>
    <w:rsid w:val="005A0E66"/>
    <w:rsid w:val="005A17C7"/>
    <w:rsid w:val="005A7D7E"/>
    <w:rsid w:val="005B4C7C"/>
    <w:rsid w:val="005B537C"/>
    <w:rsid w:val="005B5969"/>
    <w:rsid w:val="005C5D90"/>
    <w:rsid w:val="005D0B99"/>
    <w:rsid w:val="005D3AB7"/>
    <w:rsid w:val="005D755D"/>
    <w:rsid w:val="005E58B2"/>
    <w:rsid w:val="005E7342"/>
    <w:rsid w:val="005F54D4"/>
    <w:rsid w:val="005F59FB"/>
    <w:rsid w:val="006001FD"/>
    <w:rsid w:val="00605ADC"/>
    <w:rsid w:val="00606DC1"/>
    <w:rsid w:val="006116AA"/>
    <w:rsid w:val="006116C5"/>
    <w:rsid w:val="00612695"/>
    <w:rsid w:val="00615957"/>
    <w:rsid w:val="00617463"/>
    <w:rsid w:val="006176E6"/>
    <w:rsid w:val="00623527"/>
    <w:rsid w:val="00623C15"/>
    <w:rsid w:val="00626E46"/>
    <w:rsid w:val="0063101E"/>
    <w:rsid w:val="00632BFF"/>
    <w:rsid w:val="00634891"/>
    <w:rsid w:val="006368BF"/>
    <w:rsid w:val="00636A3D"/>
    <w:rsid w:val="00637EA3"/>
    <w:rsid w:val="00643A5C"/>
    <w:rsid w:val="006578F1"/>
    <w:rsid w:val="00662F05"/>
    <w:rsid w:val="00666EC8"/>
    <w:rsid w:val="00667E57"/>
    <w:rsid w:val="00672D49"/>
    <w:rsid w:val="00674737"/>
    <w:rsid w:val="00674C62"/>
    <w:rsid w:val="00674E5C"/>
    <w:rsid w:val="00676490"/>
    <w:rsid w:val="0067689F"/>
    <w:rsid w:val="00687243"/>
    <w:rsid w:val="0068736C"/>
    <w:rsid w:val="00687400"/>
    <w:rsid w:val="00687763"/>
    <w:rsid w:val="00691EDB"/>
    <w:rsid w:val="00696116"/>
    <w:rsid w:val="006A1CCE"/>
    <w:rsid w:val="006A5C94"/>
    <w:rsid w:val="006A5EEB"/>
    <w:rsid w:val="006B0DCC"/>
    <w:rsid w:val="006B21EE"/>
    <w:rsid w:val="006B28BF"/>
    <w:rsid w:val="006B403F"/>
    <w:rsid w:val="006B6114"/>
    <w:rsid w:val="006C689B"/>
    <w:rsid w:val="006D0285"/>
    <w:rsid w:val="006D15E7"/>
    <w:rsid w:val="006D2071"/>
    <w:rsid w:val="006D39E3"/>
    <w:rsid w:val="006D5E9A"/>
    <w:rsid w:val="006E3C1B"/>
    <w:rsid w:val="006E47DB"/>
    <w:rsid w:val="006F4C14"/>
    <w:rsid w:val="006F7C99"/>
    <w:rsid w:val="006F7F0A"/>
    <w:rsid w:val="0070379F"/>
    <w:rsid w:val="00704611"/>
    <w:rsid w:val="0070653E"/>
    <w:rsid w:val="00716220"/>
    <w:rsid w:val="007209C0"/>
    <w:rsid w:val="007230F7"/>
    <w:rsid w:val="00731ECB"/>
    <w:rsid w:val="00734152"/>
    <w:rsid w:val="0073562B"/>
    <w:rsid w:val="00737667"/>
    <w:rsid w:val="0074498C"/>
    <w:rsid w:val="00746CB9"/>
    <w:rsid w:val="007474E0"/>
    <w:rsid w:val="0074764C"/>
    <w:rsid w:val="0075021B"/>
    <w:rsid w:val="00751E03"/>
    <w:rsid w:val="00753BBA"/>
    <w:rsid w:val="00754366"/>
    <w:rsid w:val="007555D8"/>
    <w:rsid w:val="00755C41"/>
    <w:rsid w:val="007561AC"/>
    <w:rsid w:val="00760DE3"/>
    <w:rsid w:val="00763ECA"/>
    <w:rsid w:val="0076401B"/>
    <w:rsid w:val="007647FC"/>
    <w:rsid w:val="00770DEE"/>
    <w:rsid w:val="00772B16"/>
    <w:rsid w:val="0077366C"/>
    <w:rsid w:val="00784D28"/>
    <w:rsid w:val="00792CFE"/>
    <w:rsid w:val="00793174"/>
    <w:rsid w:val="007944F7"/>
    <w:rsid w:val="007A03BC"/>
    <w:rsid w:val="007A3BC8"/>
    <w:rsid w:val="007A5D86"/>
    <w:rsid w:val="007A61D6"/>
    <w:rsid w:val="007A6DEC"/>
    <w:rsid w:val="007B0966"/>
    <w:rsid w:val="007B2D63"/>
    <w:rsid w:val="007B3E09"/>
    <w:rsid w:val="007B5BAB"/>
    <w:rsid w:val="007B6DA4"/>
    <w:rsid w:val="007C7C31"/>
    <w:rsid w:val="007D3353"/>
    <w:rsid w:val="007F53B2"/>
    <w:rsid w:val="007F57C5"/>
    <w:rsid w:val="007F75D4"/>
    <w:rsid w:val="007F773B"/>
    <w:rsid w:val="00800413"/>
    <w:rsid w:val="00800ED0"/>
    <w:rsid w:val="00802F6C"/>
    <w:rsid w:val="00804C2E"/>
    <w:rsid w:val="00815892"/>
    <w:rsid w:val="00834DE0"/>
    <w:rsid w:val="00836BA1"/>
    <w:rsid w:val="0084065B"/>
    <w:rsid w:val="00842E48"/>
    <w:rsid w:val="00846403"/>
    <w:rsid w:val="00851613"/>
    <w:rsid w:val="00852F35"/>
    <w:rsid w:val="00854B39"/>
    <w:rsid w:val="00856165"/>
    <w:rsid w:val="00857607"/>
    <w:rsid w:val="00860B09"/>
    <w:rsid w:val="00860E2E"/>
    <w:rsid w:val="00861003"/>
    <w:rsid w:val="00864609"/>
    <w:rsid w:val="008751D7"/>
    <w:rsid w:val="00875B1A"/>
    <w:rsid w:val="00887146"/>
    <w:rsid w:val="0088777A"/>
    <w:rsid w:val="008942DD"/>
    <w:rsid w:val="00895D1F"/>
    <w:rsid w:val="0089619D"/>
    <w:rsid w:val="008A1306"/>
    <w:rsid w:val="008B3B7C"/>
    <w:rsid w:val="008B51E8"/>
    <w:rsid w:val="008B6294"/>
    <w:rsid w:val="008C084B"/>
    <w:rsid w:val="008C6487"/>
    <w:rsid w:val="008D0375"/>
    <w:rsid w:val="008D0E65"/>
    <w:rsid w:val="008F074D"/>
    <w:rsid w:val="00902D9A"/>
    <w:rsid w:val="00903A6F"/>
    <w:rsid w:val="00905132"/>
    <w:rsid w:val="00911CE4"/>
    <w:rsid w:val="00913571"/>
    <w:rsid w:val="00914094"/>
    <w:rsid w:val="009212B3"/>
    <w:rsid w:val="00921D12"/>
    <w:rsid w:val="00922A32"/>
    <w:rsid w:val="00925361"/>
    <w:rsid w:val="00932272"/>
    <w:rsid w:val="00932377"/>
    <w:rsid w:val="009340BA"/>
    <w:rsid w:val="00941A02"/>
    <w:rsid w:val="00945453"/>
    <w:rsid w:val="00946D1A"/>
    <w:rsid w:val="0095039F"/>
    <w:rsid w:val="00950D1A"/>
    <w:rsid w:val="009529D5"/>
    <w:rsid w:val="00955879"/>
    <w:rsid w:val="00964630"/>
    <w:rsid w:val="0096636D"/>
    <w:rsid w:val="00967985"/>
    <w:rsid w:val="0097642E"/>
    <w:rsid w:val="00977332"/>
    <w:rsid w:val="00983BF9"/>
    <w:rsid w:val="0099648B"/>
    <w:rsid w:val="00996E1C"/>
    <w:rsid w:val="0099782F"/>
    <w:rsid w:val="009A6ED8"/>
    <w:rsid w:val="009B2ECF"/>
    <w:rsid w:val="009B503A"/>
    <w:rsid w:val="009C0D31"/>
    <w:rsid w:val="009C323E"/>
    <w:rsid w:val="009D0953"/>
    <w:rsid w:val="009D3944"/>
    <w:rsid w:val="009D7E4B"/>
    <w:rsid w:val="009D7EBB"/>
    <w:rsid w:val="009E1335"/>
    <w:rsid w:val="009F237A"/>
    <w:rsid w:val="009F6B4C"/>
    <w:rsid w:val="009F7D5B"/>
    <w:rsid w:val="00A00113"/>
    <w:rsid w:val="00A1134C"/>
    <w:rsid w:val="00A237E8"/>
    <w:rsid w:val="00A23A15"/>
    <w:rsid w:val="00A31FE8"/>
    <w:rsid w:val="00A35CFF"/>
    <w:rsid w:val="00A40E06"/>
    <w:rsid w:val="00A45C59"/>
    <w:rsid w:val="00A47197"/>
    <w:rsid w:val="00A53608"/>
    <w:rsid w:val="00A628FB"/>
    <w:rsid w:val="00A63A12"/>
    <w:rsid w:val="00A63F8B"/>
    <w:rsid w:val="00A6512E"/>
    <w:rsid w:val="00A66148"/>
    <w:rsid w:val="00A71D5A"/>
    <w:rsid w:val="00A725FF"/>
    <w:rsid w:val="00A73F73"/>
    <w:rsid w:val="00A76C73"/>
    <w:rsid w:val="00A85F3E"/>
    <w:rsid w:val="00A91F28"/>
    <w:rsid w:val="00A93178"/>
    <w:rsid w:val="00A96E83"/>
    <w:rsid w:val="00AA622E"/>
    <w:rsid w:val="00AA639F"/>
    <w:rsid w:val="00AB193F"/>
    <w:rsid w:val="00AB30BE"/>
    <w:rsid w:val="00AC59A6"/>
    <w:rsid w:val="00AD03C2"/>
    <w:rsid w:val="00AD2692"/>
    <w:rsid w:val="00AD43D3"/>
    <w:rsid w:val="00AE0379"/>
    <w:rsid w:val="00AE3136"/>
    <w:rsid w:val="00AE637D"/>
    <w:rsid w:val="00AE6B41"/>
    <w:rsid w:val="00AE6F33"/>
    <w:rsid w:val="00AE73CD"/>
    <w:rsid w:val="00B013FF"/>
    <w:rsid w:val="00B0310F"/>
    <w:rsid w:val="00B04C89"/>
    <w:rsid w:val="00B05A0A"/>
    <w:rsid w:val="00B104D5"/>
    <w:rsid w:val="00B15FD9"/>
    <w:rsid w:val="00B210EB"/>
    <w:rsid w:val="00B21A38"/>
    <w:rsid w:val="00B25392"/>
    <w:rsid w:val="00B258F2"/>
    <w:rsid w:val="00B27060"/>
    <w:rsid w:val="00B270F3"/>
    <w:rsid w:val="00B30574"/>
    <w:rsid w:val="00B35B50"/>
    <w:rsid w:val="00B46F72"/>
    <w:rsid w:val="00B51B82"/>
    <w:rsid w:val="00B52676"/>
    <w:rsid w:val="00B53726"/>
    <w:rsid w:val="00B54040"/>
    <w:rsid w:val="00B570D6"/>
    <w:rsid w:val="00B64752"/>
    <w:rsid w:val="00B64EB9"/>
    <w:rsid w:val="00B8347D"/>
    <w:rsid w:val="00B86797"/>
    <w:rsid w:val="00B90E22"/>
    <w:rsid w:val="00B914F5"/>
    <w:rsid w:val="00B92EBE"/>
    <w:rsid w:val="00B95AE3"/>
    <w:rsid w:val="00BA182C"/>
    <w:rsid w:val="00BA62B6"/>
    <w:rsid w:val="00BB1CEC"/>
    <w:rsid w:val="00BB2F1E"/>
    <w:rsid w:val="00BB304B"/>
    <w:rsid w:val="00BB375C"/>
    <w:rsid w:val="00BB3CE0"/>
    <w:rsid w:val="00BB497A"/>
    <w:rsid w:val="00BB4D30"/>
    <w:rsid w:val="00BB5779"/>
    <w:rsid w:val="00BB5CEA"/>
    <w:rsid w:val="00BB612F"/>
    <w:rsid w:val="00BC61BD"/>
    <w:rsid w:val="00BC7CCC"/>
    <w:rsid w:val="00BD10B4"/>
    <w:rsid w:val="00BD2F50"/>
    <w:rsid w:val="00BD3630"/>
    <w:rsid w:val="00BD5DB5"/>
    <w:rsid w:val="00BE01E6"/>
    <w:rsid w:val="00BE2EA2"/>
    <w:rsid w:val="00BE6D40"/>
    <w:rsid w:val="00BE767D"/>
    <w:rsid w:val="00BE76FC"/>
    <w:rsid w:val="00BF7B03"/>
    <w:rsid w:val="00C00009"/>
    <w:rsid w:val="00C00246"/>
    <w:rsid w:val="00C00B6A"/>
    <w:rsid w:val="00C02A83"/>
    <w:rsid w:val="00C02AD6"/>
    <w:rsid w:val="00C04C31"/>
    <w:rsid w:val="00C061AA"/>
    <w:rsid w:val="00C06933"/>
    <w:rsid w:val="00C0756C"/>
    <w:rsid w:val="00C1083C"/>
    <w:rsid w:val="00C10C16"/>
    <w:rsid w:val="00C16299"/>
    <w:rsid w:val="00C2435A"/>
    <w:rsid w:val="00C25164"/>
    <w:rsid w:val="00C301EA"/>
    <w:rsid w:val="00C31D3B"/>
    <w:rsid w:val="00C33B98"/>
    <w:rsid w:val="00C3451A"/>
    <w:rsid w:val="00C35B5F"/>
    <w:rsid w:val="00C411E2"/>
    <w:rsid w:val="00C4237E"/>
    <w:rsid w:val="00C44E24"/>
    <w:rsid w:val="00C51A6E"/>
    <w:rsid w:val="00C51BA9"/>
    <w:rsid w:val="00C52A16"/>
    <w:rsid w:val="00C537A7"/>
    <w:rsid w:val="00C56965"/>
    <w:rsid w:val="00C56EBD"/>
    <w:rsid w:val="00C575E9"/>
    <w:rsid w:val="00C57F59"/>
    <w:rsid w:val="00C609B1"/>
    <w:rsid w:val="00C61A85"/>
    <w:rsid w:val="00C62092"/>
    <w:rsid w:val="00C621CE"/>
    <w:rsid w:val="00C7711D"/>
    <w:rsid w:val="00C808F4"/>
    <w:rsid w:val="00C80CDF"/>
    <w:rsid w:val="00C845D9"/>
    <w:rsid w:val="00C91793"/>
    <w:rsid w:val="00C939A3"/>
    <w:rsid w:val="00CA3F71"/>
    <w:rsid w:val="00CA55D4"/>
    <w:rsid w:val="00CA72E7"/>
    <w:rsid w:val="00CB0589"/>
    <w:rsid w:val="00CC14BA"/>
    <w:rsid w:val="00CC1C73"/>
    <w:rsid w:val="00CC1F5C"/>
    <w:rsid w:val="00CC4AAE"/>
    <w:rsid w:val="00CC5830"/>
    <w:rsid w:val="00CD0195"/>
    <w:rsid w:val="00CD1980"/>
    <w:rsid w:val="00CD3690"/>
    <w:rsid w:val="00D14B54"/>
    <w:rsid w:val="00D206BF"/>
    <w:rsid w:val="00D248B2"/>
    <w:rsid w:val="00D334D2"/>
    <w:rsid w:val="00D37402"/>
    <w:rsid w:val="00D506D1"/>
    <w:rsid w:val="00D70340"/>
    <w:rsid w:val="00D7189D"/>
    <w:rsid w:val="00D723BE"/>
    <w:rsid w:val="00D751C0"/>
    <w:rsid w:val="00D80B6A"/>
    <w:rsid w:val="00D80EC6"/>
    <w:rsid w:val="00D83566"/>
    <w:rsid w:val="00D84588"/>
    <w:rsid w:val="00D85401"/>
    <w:rsid w:val="00D90962"/>
    <w:rsid w:val="00D913BE"/>
    <w:rsid w:val="00D92DEA"/>
    <w:rsid w:val="00D931CB"/>
    <w:rsid w:val="00D946BF"/>
    <w:rsid w:val="00D97BBD"/>
    <w:rsid w:val="00DA62C9"/>
    <w:rsid w:val="00DB0F69"/>
    <w:rsid w:val="00DB194C"/>
    <w:rsid w:val="00DB214E"/>
    <w:rsid w:val="00DC0B08"/>
    <w:rsid w:val="00DC1616"/>
    <w:rsid w:val="00DC4C86"/>
    <w:rsid w:val="00DC5483"/>
    <w:rsid w:val="00DD0263"/>
    <w:rsid w:val="00DD53CD"/>
    <w:rsid w:val="00DD78B2"/>
    <w:rsid w:val="00DE1ACE"/>
    <w:rsid w:val="00DE22D9"/>
    <w:rsid w:val="00DE4704"/>
    <w:rsid w:val="00DF20C2"/>
    <w:rsid w:val="00DF5939"/>
    <w:rsid w:val="00DF655A"/>
    <w:rsid w:val="00DF73D8"/>
    <w:rsid w:val="00E02217"/>
    <w:rsid w:val="00E02536"/>
    <w:rsid w:val="00E03552"/>
    <w:rsid w:val="00E03B00"/>
    <w:rsid w:val="00E04AFB"/>
    <w:rsid w:val="00E05B08"/>
    <w:rsid w:val="00E066D9"/>
    <w:rsid w:val="00E13D5A"/>
    <w:rsid w:val="00E14A85"/>
    <w:rsid w:val="00E20A98"/>
    <w:rsid w:val="00E20D76"/>
    <w:rsid w:val="00E25482"/>
    <w:rsid w:val="00E25BF6"/>
    <w:rsid w:val="00E274C2"/>
    <w:rsid w:val="00E27FA4"/>
    <w:rsid w:val="00E32A14"/>
    <w:rsid w:val="00E32F51"/>
    <w:rsid w:val="00E3591A"/>
    <w:rsid w:val="00E35A97"/>
    <w:rsid w:val="00E4123C"/>
    <w:rsid w:val="00E4353E"/>
    <w:rsid w:val="00E437F0"/>
    <w:rsid w:val="00E438D6"/>
    <w:rsid w:val="00E46B94"/>
    <w:rsid w:val="00E548E6"/>
    <w:rsid w:val="00E5655F"/>
    <w:rsid w:val="00E62EE5"/>
    <w:rsid w:val="00E6658E"/>
    <w:rsid w:val="00E67AD0"/>
    <w:rsid w:val="00E70167"/>
    <w:rsid w:val="00E7142F"/>
    <w:rsid w:val="00E7688C"/>
    <w:rsid w:val="00E77BE9"/>
    <w:rsid w:val="00E825BF"/>
    <w:rsid w:val="00E82CE2"/>
    <w:rsid w:val="00E83F98"/>
    <w:rsid w:val="00E91FF9"/>
    <w:rsid w:val="00E92107"/>
    <w:rsid w:val="00E923C4"/>
    <w:rsid w:val="00E94D2C"/>
    <w:rsid w:val="00E96986"/>
    <w:rsid w:val="00EA05C6"/>
    <w:rsid w:val="00EA1B35"/>
    <w:rsid w:val="00EA2520"/>
    <w:rsid w:val="00EA2846"/>
    <w:rsid w:val="00EA3BBB"/>
    <w:rsid w:val="00EA6B30"/>
    <w:rsid w:val="00EA6E39"/>
    <w:rsid w:val="00EB1ADC"/>
    <w:rsid w:val="00EB35CE"/>
    <w:rsid w:val="00EC4D82"/>
    <w:rsid w:val="00EC5697"/>
    <w:rsid w:val="00EC748F"/>
    <w:rsid w:val="00ED64A6"/>
    <w:rsid w:val="00EE356E"/>
    <w:rsid w:val="00EE503C"/>
    <w:rsid w:val="00EE6453"/>
    <w:rsid w:val="00EF08A6"/>
    <w:rsid w:val="00F05CA0"/>
    <w:rsid w:val="00F06A64"/>
    <w:rsid w:val="00F15346"/>
    <w:rsid w:val="00F15533"/>
    <w:rsid w:val="00F1722E"/>
    <w:rsid w:val="00F21616"/>
    <w:rsid w:val="00F32FEC"/>
    <w:rsid w:val="00F33ADD"/>
    <w:rsid w:val="00F34A2F"/>
    <w:rsid w:val="00F34A97"/>
    <w:rsid w:val="00F35834"/>
    <w:rsid w:val="00F4270A"/>
    <w:rsid w:val="00F42AB6"/>
    <w:rsid w:val="00F432B1"/>
    <w:rsid w:val="00F47988"/>
    <w:rsid w:val="00F500DA"/>
    <w:rsid w:val="00F542F8"/>
    <w:rsid w:val="00F545C7"/>
    <w:rsid w:val="00F54CA2"/>
    <w:rsid w:val="00F54EEA"/>
    <w:rsid w:val="00F642EF"/>
    <w:rsid w:val="00F64C70"/>
    <w:rsid w:val="00F664D1"/>
    <w:rsid w:val="00F66EFB"/>
    <w:rsid w:val="00F703AB"/>
    <w:rsid w:val="00F71678"/>
    <w:rsid w:val="00F71E23"/>
    <w:rsid w:val="00F75B71"/>
    <w:rsid w:val="00F82D54"/>
    <w:rsid w:val="00F84AE3"/>
    <w:rsid w:val="00F95F75"/>
    <w:rsid w:val="00FA1C69"/>
    <w:rsid w:val="00FA3BC6"/>
    <w:rsid w:val="00FA6197"/>
    <w:rsid w:val="00FB13CE"/>
    <w:rsid w:val="00FB3FDD"/>
    <w:rsid w:val="00FC17CB"/>
    <w:rsid w:val="00FC636F"/>
    <w:rsid w:val="00FD109B"/>
    <w:rsid w:val="00FD465A"/>
    <w:rsid w:val="00FE097A"/>
    <w:rsid w:val="00FE0FE3"/>
    <w:rsid w:val="00FF1616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7787F3"/>
  <w15:chartTrackingRefBased/>
  <w15:docId w15:val="{286C76C1-C9D3-47F0-BFF5-9B5F05156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3D5A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5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1E5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5E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5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5E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5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5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5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5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5E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1E5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5E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5E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5E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5E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5E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5E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5E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5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5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5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5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5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5E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5E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5E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5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5E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5ED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E5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EDD"/>
    <w:rPr>
      <w:rFonts w:eastAsiaTheme="minorEastAsia"/>
      <w:kern w:val="0"/>
      <w:sz w:val="22"/>
      <w:szCs w:val="22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E5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EDD"/>
    <w:rPr>
      <w:rFonts w:eastAsiaTheme="minorEastAsia"/>
      <w:kern w:val="0"/>
      <w:sz w:val="22"/>
      <w:szCs w:val="22"/>
      <w:lang w:val="en-US"/>
      <w14:ligatures w14:val="none"/>
    </w:rPr>
  </w:style>
  <w:style w:type="character" w:styleId="Hipercze">
    <w:name w:val="Hyperlink"/>
    <w:basedOn w:val="Domylnaczcionkaakapitu"/>
    <w:unhideWhenUsed/>
    <w:qFormat/>
    <w:rsid w:val="001E5EDD"/>
    <w:rPr>
      <w:color w:val="156082" w:themeColor="accent1"/>
      <w:u w:val="single"/>
    </w:rPr>
  </w:style>
  <w:style w:type="table" w:styleId="Tabela-Siatka">
    <w:name w:val="Table Grid"/>
    <w:basedOn w:val="Standardowy"/>
    <w:uiPriority w:val="59"/>
    <w:rsid w:val="001E5EDD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1E5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Name">
    <w:name w:val="ContactName"/>
    <w:basedOn w:val="Nagwek3"/>
    <w:qFormat/>
    <w:rsid w:val="001E5EDD"/>
    <w:pPr>
      <w:spacing w:before="0" w:after="0" w:line="216" w:lineRule="atLeast"/>
    </w:pPr>
    <w:rPr>
      <w:rFonts w:ascii="Calibri" w:eastAsia="Times New Roman" w:hAnsi="Calibri" w:cs="Times New Roman"/>
      <w:b/>
      <w:bCs/>
      <w:color w:val="008B98"/>
      <w:sz w:val="18"/>
      <w:szCs w:val="24"/>
      <w:lang w:eastAsia="en-GB"/>
    </w:rPr>
  </w:style>
  <w:style w:type="paragraph" w:customStyle="1" w:styleId="ContactDetail">
    <w:name w:val="ContactDetail"/>
    <w:basedOn w:val="Normalny"/>
    <w:rsid w:val="001E5EDD"/>
    <w:pPr>
      <w:spacing w:after="0" w:line="216" w:lineRule="atLeast"/>
    </w:pPr>
    <w:rPr>
      <w:rFonts w:ascii="Calibri" w:eastAsia="Times New Roman" w:hAnsi="Calibri" w:cs="Times New Roman"/>
      <w:color w:val="000000"/>
      <w:sz w:val="18"/>
      <w:szCs w:val="24"/>
      <w:lang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70379F"/>
    <w:rPr>
      <w:color w:val="96607D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379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A6D47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customStyle="1" w:styleId="Body">
    <w:name w:val="Body"/>
    <w:rsid w:val="009D7EB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" w:cs="Arial Unicode MS"/>
      <w:color w:val="000000"/>
      <w:kern w:val="0"/>
      <w:sz w:val="22"/>
      <w:szCs w:val="22"/>
      <w:u w:color="000000"/>
      <w:bdr w:val="nil"/>
      <w:lang w:val="en-US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5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5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5E12"/>
    <w:rPr>
      <w:rFonts w:eastAsiaTheme="minorEastAsia"/>
      <w:kern w:val="0"/>
      <w:sz w:val="20"/>
      <w:szCs w:val="20"/>
      <w:lang w:val="en-US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5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5E12"/>
    <w:rPr>
      <w:rFonts w:eastAsiaTheme="minorEastAsia"/>
      <w:b/>
      <w:bCs/>
      <w:kern w:val="0"/>
      <w:sz w:val="20"/>
      <w:szCs w:val="20"/>
      <w:lang w:val="en-US"/>
      <w14:ligatures w14:val="none"/>
    </w:rPr>
  </w:style>
  <w:style w:type="character" w:customStyle="1" w:styleId="cf01">
    <w:name w:val="cf01"/>
    <w:basedOn w:val="Domylnaczcionkaakapitu"/>
    <w:rsid w:val="00DC161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shmanwakefield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uren.joselyn@cushwake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auren.joselyn@cushwak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84ED6-5338-4EDC-BA78-B49C4D404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1643</Words>
  <Characters>9862</Characters>
  <Application>Microsoft Office Word</Application>
  <DocSecurity>0</DocSecurity>
  <Lines>82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Wilf Wheeler</dc:creator>
  <cp:keywords/>
  <dc:description/>
  <cp:lastModifiedBy>Link Leaders</cp:lastModifiedBy>
  <cp:revision>2</cp:revision>
  <dcterms:created xsi:type="dcterms:W3CDTF">2025-12-22T11:10:00Z</dcterms:created>
  <dcterms:modified xsi:type="dcterms:W3CDTF">2025-12-22T11:10:00Z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86f961-1d3e-4cfe-b1e9-19b9bcf12554_Enabled">
    <vt:lpwstr>true</vt:lpwstr>
  </property>
  <property fmtid="{D5CDD505-2E9C-101B-9397-08002B2CF9AE}" pid="3" name="MSIP_Label_b086f961-1d3e-4cfe-b1e9-19b9bcf12554_SetDate">
    <vt:lpwstr>2024-08-09T12:49:32Z</vt:lpwstr>
  </property>
  <property fmtid="{D5CDD505-2E9C-101B-9397-08002B2CF9AE}" pid="4" name="MSIP_Label_b086f961-1d3e-4cfe-b1e9-19b9bcf12554_Method">
    <vt:lpwstr>Standard</vt:lpwstr>
  </property>
  <property fmtid="{D5CDD505-2E9C-101B-9397-08002B2CF9AE}" pid="5" name="MSIP_Label_b086f961-1d3e-4cfe-b1e9-19b9bcf12554_Name">
    <vt:lpwstr>Private</vt:lpwstr>
  </property>
  <property fmtid="{D5CDD505-2E9C-101B-9397-08002B2CF9AE}" pid="6" name="MSIP_Label_b086f961-1d3e-4cfe-b1e9-19b9bcf12554_SiteId">
    <vt:lpwstr>6facebd9-e318-4ea6-a98b-e892ee55070f</vt:lpwstr>
  </property>
  <property fmtid="{D5CDD505-2E9C-101B-9397-08002B2CF9AE}" pid="7" name="MSIP_Label_b086f961-1d3e-4cfe-b1e9-19b9bcf12554_ActionId">
    <vt:lpwstr>60c3cb59-3795-42a8-af48-43117dcbee96</vt:lpwstr>
  </property>
  <property fmtid="{D5CDD505-2E9C-101B-9397-08002B2CF9AE}" pid="8" name="MSIP_Label_b086f961-1d3e-4cfe-b1e9-19b9bcf12554_ContentBits">
    <vt:lpwstr>0</vt:lpwstr>
  </property>
  <property fmtid="{D5CDD505-2E9C-101B-9397-08002B2CF9AE}" pid="9" name="GrammarlyDocumentId">
    <vt:lpwstr>341a8607d4d2d5ce3fbf3503c2f967ea1e4ce5daa8426167cb97b41905428e1a</vt:lpwstr>
  </property>
</Properties>
</file>