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2592D" w14:textId="13AB40A3" w:rsidR="00B1376E" w:rsidRPr="00F21153" w:rsidRDefault="00F21153" w:rsidP="00F21153">
      <w:pPr>
        <w:spacing w:line="276" w:lineRule="auto"/>
        <w:jc w:val="center"/>
        <w:rPr>
          <w:rFonts w:ascii="Century Gothic" w:hAnsi="Century Gothic" w:cs="Arial"/>
          <w:b/>
          <w:bCs/>
          <w:sz w:val="22"/>
          <w:szCs w:val="22"/>
        </w:rPr>
      </w:pPr>
      <w:r w:rsidRPr="00F21153">
        <w:rPr>
          <w:rFonts w:ascii="Century Gothic" w:hAnsi="Century Gothic" w:cs="Arial"/>
          <w:b/>
          <w:bCs/>
          <w:sz w:val="22"/>
          <w:szCs w:val="22"/>
        </w:rPr>
        <w:t>IPAM divulga conclusões da 17.ª edição do estudo “Compras de Natal”</w:t>
      </w:r>
    </w:p>
    <w:p w14:paraId="2C0C165E" w14:textId="0283BCF3" w:rsidR="00883BBA" w:rsidRDefault="00883BBA" w:rsidP="00694F5D">
      <w:pPr>
        <w:spacing w:line="276" w:lineRule="auto"/>
        <w:jc w:val="center"/>
        <w:rPr>
          <w:rFonts w:ascii="Century Gothic" w:hAnsi="Century Gothic" w:cs="Arial"/>
          <w:b/>
          <w:bCs/>
          <w:sz w:val="36"/>
          <w:szCs w:val="36"/>
        </w:rPr>
      </w:pPr>
      <w:r w:rsidRPr="00883BBA">
        <w:rPr>
          <w:rFonts w:ascii="Century Gothic" w:hAnsi="Century Gothic" w:cs="Arial"/>
          <w:b/>
          <w:bCs/>
          <w:sz w:val="36"/>
          <w:szCs w:val="36"/>
        </w:rPr>
        <w:t xml:space="preserve">Bacalhau e bolo-rei resistem a cortes, mas 35% das famílias ajusta consumo </w:t>
      </w:r>
      <w:r w:rsidR="00E34EC0">
        <w:rPr>
          <w:rFonts w:ascii="Century Gothic" w:hAnsi="Century Gothic" w:cs="Arial"/>
          <w:b/>
          <w:bCs/>
          <w:sz w:val="36"/>
          <w:szCs w:val="36"/>
        </w:rPr>
        <w:t>no Natal</w:t>
      </w:r>
    </w:p>
    <w:p w14:paraId="3C8E4AAB" w14:textId="75E34CF4" w:rsidR="00694F5D" w:rsidRPr="00694F5D" w:rsidRDefault="00694F5D" w:rsidP="00694F5D">
      <w:pPr>
        <w:spacing w:line="276" w:lineRule="auto"/>
        <w:jc w:val="center"/>
        <w:rPr>
          <w:rFonts w:ascii="Century Gothic" w:hAnsi="Century Gothic" w:cs="Arial"/>
          <w:b/>
          <w:bCs/>
          <w:sz w:val="22"/>
          <w:szCs w:val="22"/>
        </w:rPr>
      </w:pPr>
      <w:r w:rsidRPr="00694F5D">
        <w:rPr>
          <w:rFonts w:ascii="Century Gothic" w:hAnsi="Century Gothic" w:cs="Arial"/>
          <w:b/>
          <w:bCs/>
          <w:sz w:val="22"/>
          <w:szCs w:val="22"/>
        </w:rPr>
        <w:t xml:space="preserve">Mais de metade dos portugueses pretende comprar produtos alimentares típicos da quadra e prevê gastar 150 euros. </w:t>
      </w:r>
    </w:p>
    <w:p w14:paraId="1019DA9A" w14:textId="77777777" w:rsidR="00164831" w:rsidRPr="00FD48A7" w:rsidRDefault="00164831" w:rsidP="00FD48A7">
      <w:pPr>
        <w:spacing w:after="0" w:line="276" w:lineRule="auto"/>
        <w:jc w:val="both"/>
        <w:rPr>
          <w:rFonts w:ascii="Century Gothic" w:hAnsi="Century Gothic" w:cs="Arial"/>
          <w:sz w:val="20"/>
          <w:szCs w:val="22"/>
        </w:rPr>
      </w:pPr>
    </w:p>
    <w:p w14:paraId="0BB040F3" w14:textId="77777777" w:rsidR="00C70B6C" w:rsidRDefault="00164831" w:rsidP="00164831">
      <w:pPr>
        <w:spacing w:line="276" w:lineRule="auto"/>
        <w:jc w:val="both"/>
        <w:rPr>
          <w:rFonts w:ascii="Century Gothic" w:hAnsi="Century Gothic" w:cs="Arial"/>
          <w:sz w:val="22"/>
          <w:szCs w:val="22"/>
        </w:rPr>
      </w:pPr>
      <w:r w:rsidRPr="00164831">
        <w:rPr>
          <w:rFonts w:ascii="Century Gothic" w:hAnsi="Century Gothic" w:cs="Arial"/>
          <w:sz w:val="22"/>
          <w:szCs w:val="22"/>
        </w:rPr>
        <w:t xml:space="preserve">O Natal continua a ser um momento em que a alimentação assume um papel central no orçamento das famílias portuguesas. De acordo com a </w:t>
      </w:r>
      <w:r w:rsidRPr="00164831">
        <w:rPr>
          <w:rFonts w:ascii="Century Gothic" w:hAnsi="Century Gothic" w:cs="Arial"/>
          <w:b/>
          <w:bCs/>
          <w:sz w:val="22"/>
          <w:szCs w:val="22"/>
        </w:rPr>
        <w:t>17.ª edição do estudo “Compras de Natal”</w:t>
      </w:r>
      <w:r w:rsidRPr="00164831">
        <w:rPr>
          <w:rFonts w:ascii="Century Gothic" w:hAnsi="Century Gothic" w:cs="Arial"/>
          <w:sz w:val="22"/>
          <w:szCs w:val="22"/>
        </w:rPr>
        <w:t xml:space="preserve">, realizado pelo </w:t>
      </w:r>
      <w:r w:rsidRPr="00164831">
        <w:rPr>
          <w:rFonts w:ascii="Century Gothic" w:hAnsi="Century Gothic" w:cs="Arial"/>
          <w:b/>
          <w:bCs/>
          <w:sz w:val="22"/>
          <w:szCs w:val="22"/>
        </w:rPr>
        <w:t>IPAM</w:t>
      </w:r>
      <w:r w:rsidRPr="00164831">
        <w:rPr>
          <w:rFonts w:ascii="Century Gothic" w:hAnsi="Century Gothic" w:cs="Arial"/>
          <w:sz w:val="22"/>
          <w:szCs w:val="22"/>
        </w:rPr>
        <w:t xml:space="preserve">, </w:t>
      </w:r>
      <w:r w:rsidRPr="00164831">
        <w:rPr>
          <w:rFonts w:ascii="Century Gothic" w:hAnsi="Century Gothic" w:cs="Arial"/>
          <w:b/>
          <w:bCs/>
          <w:sz w:val="22"/>
          <w:szCs w:val="22"/>
        </w:rPr>
        <w:t>52% dos consumidores planeia comprar produtos alimentares específicos da época</w:t>
      </w:r>
      <w:r w:rsidRPr="00164831">
        <w:rPr>
          <w:rFonts w:ascii="Century Gothic" w:hAnsi="Century Gothic" w:cs="Arial"/>
          <w:sz w:val="22"/>
          <w:szCs w:val="22"/>
        </w:rPr>
        <w:t>.</w:t>
      </w:r>
      <w:r w:rsidR="00C70B6C">
        <w:rPr>
          <w:rFonts w:ascii="Century Gothic" w:hAnsi="Century Gothic" w:cs="Arial"/>
          <w:sz w:val="22"/>
          <w:szCs w:val="22"/>
        </w:rPr>
        <w:t xml:space="preserve"> </w:t>
      </w:r>
      <w:r w:rsidRPr="00164831">
        <w:rPr>
          <w:rFonts w:ascii="Century Gothic" w:hAnsi="Century Gothic" w:cs="Arial"/>
          <w:sz w:val="22"/>
          <w:szCs w:val="22"/>
        </w:rPr>
        <w:t xml:space="preserve">O </w:t>
      </w:r>
      <w:r w:rsidRPr="00164831">
        <w:rPr>
          <w:rFonts w:ascii="Century Gothic" w:hAnsi="Century Gothic" w:cs="Arial"/>
          <w:b/>
          <w:bCs/>
          <w:sz w:val="22"/>
          <w:szCs w:val="22"/>
        </w:rPr>
        <w:t>gasto médio previsto com produtos alimentares ascende a</w:t>
      </w:r>
      <w:r w:rsidRPr="00164831">
        <w:rPr>
          <w:rFonts w:ascii="Century Gothic" w:hAnsi="Century Gothic" w:cs="Arial"/>
          <w:sz w:val="22"/>
          <w:szCs w:val="22"/>
        </w:rPr>
        <w:t xml:space="preserve"> </w:t>
      </w:r>
      <w:r w:rsidRPr="00164831">
        <w:rPr>
          <w:rFonts w:ascii="Century Gothic" w:hAnsi="Century Gothic" w:cs="Arial"/>
          <w:b/>
          <w:bCs/>
          <w:sz w:val="22"/>
          <w:szCs w:val="22"/>
        </w:rPr>
        <w:t>150 euros</w:t>
      </w:r>
      <w:r w:rsidRPr="00164831">
        <w:rPr>
          <w:rFonts w:ascii="Century Gothic" w:hAnsi="Century Gothic" w:cs="Arial"/>
          <w:sz w:val="22"/>
          <w:szCs w:val="22"/>
        </w:rPr>
        <w:t>,</w:t>
      </w:r>
      <w:r w:rsidR="00C70B6C">
        <w:rPr>
          <w:rFonts w:ascii="Century Gothic" w:hAnsi="Century Gothic" w:cs="Arial"/>
          <w:sz w:val="22"/>
          <w:szCs w:val="22"/>
        </w:rPr>
        <w:t xml:space="preserve"> o que</w:t>
      </w:r>
      <w:r w:rsidRPr="00164831">
        <w:rPr>
          <w:rFonts w:ascii="Century Gothic" w:hAnsi="Century Gothic" w:cs="Arial"/>
          <w:sz w:val="22"/>
          <w:szCs w:val="22"/>
        </w:rPr>
        <w:t xml:space="preserve"> reflet</w:t>
      </w:r>
      <w:r w:rsidR="00C70B6C">
        <w:rPr>
          <w:rFonts w:ascii="Century Gothic" w:hAnsi="Century Gothic" w:cs="Arial"/>
          <w:sz w:val="22"/>
          <w:szCs w:val="22"/>
        </w:rPr>
        <w:t>e</w:t>
      </w:r>
      <w:r w:rsidRPr="00164831">
        <w:rPr>
          <w:rFonts w:ascii="Century Gothic" w:hAnsi="Century Gothic" w:cs="Arial"/>
          <w:sz w:val="22"/>
          <w:szCs w:val="22"/>
        </w:rPr>
        <w:t xml:space="preserve"> a valorização das tradições gastronómicas num contexto económico desafiante. </w:t>
      </w:r>
    </w:p>
    <w:p w14:paraId="21E420F6" w14:textId="36F8D29E" w:rsidR="005F2224" w:rsidRDefault="005F2224" w:rsidP="00164831">
      <w:pPr>
        <w:spacing w:line="276" w:lineRule="auto"/>
        <w:jc w:val="both"/>
        <w:rPr>
          <w:rFonts w:ascii="Century Gothic" w:hAnsi="Century Gothic" w:cs="Arial"/>
          <w:sz w:val="22"/>
          <w:szCs w:val="22"/>
        </w:rPr>
      </w:pPr>
      <w:r>
        <w:rPr>
          <w:rFonts w:ascii="Century Gothic" w:hAnsi="Century Gothic" w:cs="Arial"/>
          <w:sz w:val="22"/>
          <w:szCs w:val="22"/>
        </w:rPr>
        <w:t>Quando questionados sobre que produtos alimentares não dispensam na mesa de Natal, o</w:t>
      </w:r>
      <w:r w:rsidRPr="00164831">
        <w:rPr>
          <w:rFonts w:ascii="Century Gothic" w:hAnsi="Century Gothic" w:cs="Arial"/>
          <w:sz w:val="22"/>
          <w:szCs w:val="22"/>
        </w:rPr>
        <w:t xml:space="preserve"> </w:t>
      </w:r>
      <w:r w:rsidRPr="00164831">
        <w:rPr>
          <w:rFonts w:ascii="Century Gothic" w:hAnsi="Century Gothic" w:cs="Arial"/>
          <w:b/>
          <w:bCs/>
          <w:sz w:val="22"/>
          <w:szCs w:val="22"/>
        </w:rPr>
        <w:t>bacalhau</w:t>
      </w:r>
      <w:r w:rsidRPr="00164831">
        <w:rPr>
          <w:rFonts w:ascii="Century Gothic" w:hAnsi="Century Gothic" w:cs="Arial"/>
          <w:sz w:val="22"/>
          <w:szCs w:val="22"/>
        </w:rPr>
        <w:t xml:space="preserve"> </w:t>
      </w:r>
      <w:r>
        <w:rPr>
          <w:rFonts w:ascii="Century Gothic" w:hAnsi="Century Gothic" w:cs="Arial"/>
          <w:sz w:val="22"/>
          <w:szCs w:val="22"/>
        </w:rPr>
        <w:t>surge</w:t>
      </w:r>
      <w:r w:rsidRPr="00164831">
        <w:rPr>
          <w:rFonts w:ascii="Century Gothic" w:hAnsi="Century Gothic" w:cs="Arial"/>
          <w:sz w:val="22"/>
          <w:szCs w:val="22"/>
        </w:rPr>
        <w:t xml:space="preserve"> </w:t>
      </w:r>
      <w:r w:rsidR="001316D1">
        <w:rPr>
          <w:rFonts w:ascii="Century Gothic" w:hAnsi="Century Gothic" w:cs="Arial"/>
          <w:sz w:val="22"/>
          <w:szCs w:val="22"/>
        </w:rPr>
        <w:t>n</w:t>
      </w:r>
      <w:r w:rsidRPr="00164831">
        <w:rPr>
          <w:rFonts w:ascii="Century Gothic" w:hAnsi="Century Gothic" w:cs="Arial"/>
          <w:sz w:val="22"/>
          <w:szCs w:val="22"/>
        </w:rPr>
        <w:t xml:space="preserve">o lugar de destaque, sendo escolhido por </w:t>
      </w:r>
      <w:r w:rsidRPr="00164831">
        <w:rPr>
          <w:rFonts w:ascii="Century Gothic" w:hAnsi="Century Gothic" w:cs="Arial"/>
          <w:b/>
          <w:bCs/>
          <w:sz w:val="22"/>
          <w:szCs w:val="22"/>
        </w:rPr>
        <w:t>65% dos consumidores</w:t>
      </w:r>
      <w:r w:rsidRPr="00164831">
        <w:rPr>
          <w:rFonts w:ascii="Century Gothic" w:hAnsi="Century Gothic" w:cs="Arial"/>
          <w:sz w:val="22"/>
          <w:szCs w:val="22"/>
        </w:rPr>
        <w:t xml:space="preserve">, seguido do </w:t>
      </w:r>
      <w:r w:rsidRPr="00164831">
        <w:rPr>
          <w:rFonts w:ascii="Century Gothic" w:hAnsi="Century Gothic" w:cs="Arial"/>
          <w:b/>
          <w:bCs/>
          <w:sz w:val="22"/>
          <w:szCs w:val="22"/>
        </w:rPr>
        <w:t>bolo-rei</w:t>
      </w:r>
      <w:r w:rsidRPr="00164831">
        <w:rPr>
          <w:rFonts w:ascii="Century Gothic" w:hAnsi="Century Gothic" w:cs="Arial"/>
          <w:sz w:val="22"/>
          <w:szCs w:val="22"/>
        </w:rPr>
        <w:t xml:space="preserve"> </w:t>
      </w:r>
      <w:r w:rsidRPr="00F60C03">
        <w:rPr>
          <w:rFonts w:ascii="Century Gothic" w:hAnsi="Century Gothic" w:cs="Arial"/>
          <w:b/>
          <w:bCs/>
          <w:sz w:val="22"/>
          <w:szCs w:val="22"/>
        </w:rPr>
        <w:t>(62%)</w:t>
      </w:r>
      <w:r w:rsidRPr="00164831">
        <w:rPr>
          <w:rFonts w:ascii="Century Gothic" w:hAnsi="Century Gothic" w:cs="Arial"/>
          <w:sz w:val="22"/>
          <w:szCs w:val="22"/>
        </w:rPr>
        <w:t xml:space="preserve"> e dos restantes doces típicos da quadra. O estudo assinala ainda que </w:t>
      </w:r>
      <w:r w:rsidRPr="00164831">
        <w:rPr>
          <w:rFonts w:ascii="Century Gothic" w:hAnsi="Century Gothic" w:cs="Arial"/>
          <w:b/>
          <w:bCs/>
          <w:sz w:val="22"/>
          <w:szCs w:val="22"/>
        </w:rPr>
        <w:t>8% dos inquiridos planeia recorrer a refeições prontas</w:t>
      </w:r>
      <w:r w:rsidRPr="00164831">
        <w:rPr>
          <w:rFonts w:ascii="Century Gothic" w:hAnsi="Century Gothic" w:cs="Arial"/>
          <w:sz w:val="22"/>
          <w:szCs w:val="22"/>
        </w:rPr>
        <w:t>, tendência que se mantém em linha com 2024.</w:t>
      </w:r>
    </w:p>
    <w:p w14:paraId="7A87948A" w14:textId="46D74265" w:rsidR="00694F5D" w:rsidRPr="00694F5D" w:rsidRDefault="00694F5D" w:rsidP="00694F5D">
      <w:pPr>
        <w:spacing w:line="276" w:lineRule="auto"/>
        <w:jc w:val="both"/>
        <w:rPr>
          <w:rFonts w:ascii="Century Gothic" w:hAnsi="Century Gothic" w:cs="Arial"/>
          <w:sz w:val="22"/>
          <w:szCs w:val="22"/>
        </w:rPr>
      </w:pPr>
      <w:r w:rsidRPr="00694F5D">
        <w:rPr>
          <w:rFonts w:ascii="Century Gothic" w:hAnsi="Century Gothic" w:cs="Arial"/>
          <w:sz w:val="22"/>
          <w:szCs w:val="22"/>
        </w:rPr>
        <w:t>Embora a alimentação conserve um peso central</w:t>
      </w:r>
      <w:r w:rsidR="00026817">
        <w:rPr>
          <w:rFonts w:ascii="Century Gothic" w:hAnsi="Century Gothic" w:cs="Arial"/>
          <w:sz w:val="22"/>
          <w:szCs w:val="22"/>
        </w:rPr>
        <w:t xml:space="preserve"> e as tendências de consumo confirmem a força cultural e simbólica da mesa de</w:t>
      </w:r>
      <w:r w:rsidR="00232CC3">
        <w:rPr>
          <w:rFonts w:ascii="Century Gothic" w:hAnsi="Century Gothic" w:cs="Arial"/>
          <w:sz w:val="22"/>
          <w:szCs w:val="22"/>
        </w:rPr>
        <w:t xml:space="preserve"> Natal</w:t>
      </w:r>
      <w:r w:rsidRPr="00694F5D">
        <w:rPr>
          <w:rFonts w:ascii="Century Gothic" w:hAnsi="Century Gothic" w:cs="Arial"/>
          <w:sz w:val="22"/>
          <w:szCs w:val="22"/>
        </w:rPr>
        <w:t>,</w:t>
      </w:r>
      <w:r w:rsidR="00232CC3">
        <w:rPr>
          <w:rFonts w:ascii="Century Gothic" w:hAnsi="Century Gothic" w:cs="Arial"/>
          <w:sz w:val="22"/>
          <w:szCs w:val="22"/>
        </w:rPr>
        <w:t xml:space="preserve"> o estudo do IPAM mostra que</w:t>
      </w:r>
      <w:r w:rsidRPr="00694F5D">
        <w:rPr>
          <w:rFonts w:ascii="Century Gothic" w:hAnsi="Century Gothic" w:cs="Arial"/>
          <w:sz w:val="22"/>
          <w:szCs w:val="22"/>
        </w:rPr>
        <w:t xml:space="preserve"> começam a surgir sinais de contenção. De forma específica, </w:t>
      </w:r>
      <w:r w:rsidRPr="00694F5D">
        <w:rPr>
          <w:rFonts w:ascii="Century Gothic" w:hAnsi="Century Gothic" w:cs="Arial"/>
          <w:b/>
          <w:bCs/>
          <w:sz w:val="22"/>
          <w:szCs w:val="22"/>
        </w:rPr>
        <w:t>35% dos portugueses afirma que irá reduzir despesas relacionadas com os alimentos tradicionais do Natal</w:t>
      </w:r>
      <w:r w:rsidRPr="00694F5D">
        <w:rPr>
          <w:rFonts w:ascii="Century Gothic" w:hAnsi="Century Gothic" w:cs="Arial"/>
          <w:sz w:val="22"/>
          <w:szCs w:val="22"/>
        </w:rPr>
        <w:t xml:space="preserve">, ajustando quantidades ou escolhas para gerir melhor o orçamento familiar. Este esforço decorre num ano em que o valor médio global das compras de Natal sobe de forma residual: </w:t>
      </w:r>
      <w:r w:rsidRPr="00694F5D">
        <w:rPr>
          <w:rFonts w:ascii="Century Gothic" w:hAnsi="Century Gothic" w:cs="Arial"/>
          <w:b/>
          <w:bCs/>
          <w:sz w:val="22"/>
          <w:szCs w:val="22"/>
        </w:rPr>
        <w:t>passa para 398 euros</w:t>
      </w:r>
      <w:r w:rsidRPr="00694F5D">
        <w:rPr>
          <w:rFonts w:ascii="Century Gothic" w:hAnsi="Century Gothic" w:cs="Arial"/>
          <w:sz w:val="22"/>
          <w:szCs w:val="22"/>
        </w:rPr>
        <w:t xml:space="preserve">, ligeiramente acima dos </w:t>
      </w:r>
      <w:r w:rsidRPr="00694F5D">
        <w:rPr>
          <w:rFonts w:ascii="Century Gothic" w:hAnsi="Century Gothic" w:cs="Arial"/>
          <w:b/>
          <w:bCs/>
          <w:sz w:val="22"/>
          <w:szCs w:val="22"/>
        </w:rPr>
        <w:t>392 euros registados em 2024</w:t>
      </w:r>
      <w:r w:rsidRPr="00694F5D">
        <w:rPr>
          <w:rFonts w:ascii="Century Gothic" w:hAnsi="Century Gothic" w:cs="Arial"/>
          <w:sz w:val="22"/>
          <w:szCs w:val="22"/>
        </w:rPr>
        <w:t xml:space="preserve">, aumento explicado sobretudo pela inflação. O estudo revela também que </w:t>
      </w:r>
      <w:r w:rsidRPr="00694F5D">
        <w:rPr>
          <w:rFonts w:ascii="Century Gothic" w:hAnsi="Century Gothic" w:cs="Arial"/>
          <w:b/>
          <w:bCs/>
          <w:sz w:val="22"/>
          <w:szCs w:val="22"/>
        </w:rPr>
        <w:t>12% dos inquiridos não tenciona comprar presentes</w:t>
      </w:r>
      <w:r w:rsidRPr="00694F5D">
        <w:rPr>
          <w:rFonts w:ascii="Century Gothic" w:hAnsi="Century Gothic" w:cs="Arial"/>
          <w:sz w:val="22"/>
          <w:szCs w:val="22"/>
        </w:rPr>
        <w:t>, indicador que reforça a necessidade de reorganizar prioridades.</w:t>
      </w:r>
    </w:p>
    <w:p w14:paraId="3E5A660C" w14:textId="58DE78AD" w:rsidR="00694F5D" w:rsidRPr="00694F5D" w:rsidRDefault="00694F5D" w:rsidP="00694F5D">
      <w:pPr>
        <w:spacing w:line="276" w:lineRule="auto"/>
        <w:jc w:val="both"/>
        <w:rPr>
          <w:rFonts w:ascii="Century Gothic" w:hAnsi="Century Gothic" w:cs="Arial"/>
          <w:sz w:val="22"/>
          <w:szCs w:val="22"/>
        </w:rPr>
      </w:pPr>
      <w:r w:rsidRPr="00694F5D">
        <w:rPr>
          <w:rFonts w:ascii="Century Gothic" w:hAnsi="Century Gothic" w:cs="Arial"/>
          <w:sz w:val="22"/>
          <w:szCs w:val="22"/>
        </w:rPr>
        <w:t xml:space="preserve">As alterações de hábitos tornam-se cada vez mais estruturais. Um total de </w:t>
      </w:r>
      <w:r w:rsidRPr="00694F5D">
        <w:rPr>
          <w:rFonts w:ascii="Century Gothic" w:hAnsi="Century Gothic" w:cs="Arial"/>
          <w:b/>
          <w:bCs/>
          <w:sz w:val="22"/>
          <w:szCs w:val="22"/>
        </w:rPr>
        <w:t xml:space="preserve">49% dos consumidores </w:t>
      </w:r>
      <w:r w:rsidRPr="00694F5D">
        <w:rPr>
          <w:rFonts w:ascii="Century Gothic" w:hAnsi="Century Gothic" w:cs="Arial"/>
          <w:sz w:val="22"/>
          <w:szCs w:val="22"/>
        </w:rPr>
        <w:t xml:space="preserve">admite ter mudado comportamentos devido ao contexto económico. Este grupo </w:t>
      </w:r>
      <w:r w:rsidRPr="00694F5D">
        <w:rPr>
          <w:rFonts w:ascii="Century Gothic" w:hAnsi="Century Gothic" w:cs="Arial"/>
          <w:b/>
          <w:bCs/>
          <w:sz w:val="22"/>
          <w:szCs w:val="22"/>
        </w:rPr>
        <w:t>reduz custos</w:t>
      </w:r>
      <w:r w:rsidRPr="00694F5D">
        <w:rPr>
          <w:rFonts w:ascii="Century Gothic" w:hAnsi="Century Gothic" w:cs="Arial"/>
          <w:sz w:val="22"/>
          <w:szCs w:val="22"/>
        </w:rPr>
        <w:t>, restringe o número de pessoas a quem oferece presentes</w:t>
      </w:r>
      <w:r w:rsidR="00822195">
        <w:rPr>
          <w:rFonts w:ascii="Century Gothic" w:hAnsi="Century Gothic" w:cs="Arial"/>
          <w:sz w:val="22"/>
          <w:szCs w:val="22"/>
        </w:rPr>
        <w:t xml:space="preserve"> (</w:t>
      </w:r>
      <w:r w:rsidR="00822195" w:rsidRPr="008E785B">
        <w:rPr>
          <w:rFonts w:ascii="Century Gothic" w:hAnsi="Century Gothic" w:cs="Arial"/>
          <w:b/>
          <w:bCs/>
          <w:sz w:val="22"/>
          <w:szCs w:val="22"/>
        </w:rPr>
        <w:t>41%</w:t>
      </w:r>
      <w:r w:rsidR="00822195">
        <w:rPr>
          <w:rFonts w:ascii="Century Gothic" w:hAnsi="Century Gothic" w:cs="Arial"/>
          <w:sz w:val="22"/>
          <w:szCs w:val="22"/>
        </w:rPr>
        <w:t>)</w:t>
      </w:r>
      <w:r w:rsidRPr="00694F5D">
        <w:rPr>
          <w:rFonts w:ascii="Century Gothic" w:hAnsi="Century Gothic" w:cs="Arial"/>
          <w:sz w:val="22"/>
          <w:szCs w:val="22"/>
        </w:rPr>
        <w:t xml:space="preserve"> e procura planear antecipadamente as compras</w:t>
      </w:r>
      <w:r w:rsidR="008E785B">
        <w:rPr>
          <w:rFonts w:ascii="Century Gothic" w:hAnsi="Century Gothic" w:cs="Arial"/>
          <w:sz w:val="22"/>
          <w:szCs w:val="22"/>
        </w:rPr>
        <w:t xml:space="preserve"> (</w:t>
      </w:r>
      <w:r w:rsidR="008E785B" w:rsidRPr="008E785B">
        <w:rPr>
          <w:rFonts w:ascii="Century Gothic" w:hAnsi="Century Gothic" w:cs="Arial"/>
          <w:b/>
          <w:bCs/>
          <w:sz w:val="22"/>
          <w:szCs w:val="22"/>
        </w:rPr>
        <w:t>27%</w:t>
      </w:r>
      <w:r w:rsidR="008E785B">
        <w:rPr>
          <w:rFonts w:ascii="Century Gothic" w:hAnsi="Century Gothic" w:cs="Arial"/>
          <w:sz w:val="22"/>
          <w:szCs w:val="22"/>
        </w:rPr>
        <w:t>)</w:t>
      </w:r>
      <w:r w:rsidRPr="00694F5D">
        <w:rPr>
          <w:rFonts w:ascii="Century Gothic" w:hAnsi="Century Gothic" w:cs="Arial"/>
          <w:sz w:val="22"/>
          <w:szCs w:val="22"/>
        </w:rPr>
        <w:t>, aproveitando períodos promocionais para aliviar a pressão financeira no final do ano.</w:t>
      </w:r>
    </w:p>
    <w:p w14:paraId="2D09B433" w14:textId="2D593E97" w:rsidR="00694F5D" w:rsidRPr="00694F5D" w:rsidRDefault="00694F5D" w:rsidP="00694F5D">
      <w:pPr>
        <w:spacing w:line="276" w:lineRule="auto"/>
        <w:jc w:val="both"/>
        <w:rPr>
          <w:rFonts w:ascii="Century Gothic" w:hAnsi="Century Gothic" w:cs="Arial"/>
          <w:i/>
          <w:iCs/>
          <w:sz w:val="22"/>
          <w:szCs w:val="22"/>
        </w:rPr>
      </w:pPr>
      <w:r w:rsidRPr="00694F5D">
        <w:rPr>
          <w:rFonts w:ascii="Century Gothic" w:hAnsi="Century Gothic" w:cs="Arial"/>
          <w:sz w:val="22"/>
          <w:szCs w:val="22"/>
        </w:rPr>
        <w:t>Apesar dos ajustamentos, a alimentação permanece entre as áreas menos sacrificadas. A mesa de Natal continua a ser entendida como espaço de união e continuidade</w:t>
      </w:r>
      <w:r w:rsidR="00EA15EB">
        <w:rPr>
          <w:rFonts w:ascii="Century Gothic" w:hAnsi="Century Gothic" w:cs="Arial"/>
          <w:sz w:val="22"/>
          <w:szCs w:val="22"/>
        </w:rPr>
        <w:t>:</w:t>
      </w:r>
      <w:r w:rsidRPr="00694F5D">
        <w:rPr>
          <w:rFonts w:ascii="Century Gothic" w:hAnsi="Century Gothic" w:cs="Arial"/>
          <w:sz w:val="22"/>
          <w:szCs w:val="22"/>
        </w:rPr>
        <w:t xml:space="preserve"> </w:t>
      </w:r>
      <w:r w:rsidRPr="00694F5D">
        <w:rPr>
          <w:rFonts w:ascii="Century Gothic" w:hAnsi="Century Gothic" w:cs="Arial"/>
          <w:b/>
          <w:bCs/>
          <w:i/>
          <w:iCs/>
          <w:sz w:val="22"/>
          <w:szCs w:val="22"/>
        </w:rPr>
        <w:t>“</w:t>
      </w:r>
      <w:r w:rsidR="00EA15EB" w:rsidRPr="0046674C">
        <w:rPr>
          <w:rFonts w:ascii="Century Gothic" w:hAnsi="Century Gothic" w:cs="Arial"/>
          <w:b/>
          <w:bCs/>
          <w:i/>
          <w:iCs/>
          <w:sz w:val="22"/>
          <w:szCs w:val="22"/>
        </w:rPr>
        <w:t>o</w:t>
      </w:r>
      <w:r w:rsidRPr="00694F5D">
        <w:rPr>
          <w:rFonts w:ascii="Century Gothic" w:hAnsi="Century Gothic" w:cs="Arial"/>
          <w:b/>
          <w:bCs/>
          <w:i/>
          <w:iCs/>
          <w:sz w:val="22"/>
          <w:szCs w:val="22"/>
        </w:rPr>
        <w:t>s dados mostram que, independentemente das oscilações económicas, os portugueses protegem a mesa de Natal com particular cuidado. O bacalhau, o bolo-rei e os doces tradicio</w:t>
      </w:r>
      <w:bookmarkStart w:id="0" w:name="_GoBack"/>
      <w:bookmarkEnd w:id="0"/>
      <w:r w:rsidRPr="00694F5D">
        <w:rPr>
          <w:rFonts w:ascii="Century Gothic" w:hAnsi="Century Gothic" w:cs="Arial"/>
          <w:b/>
          <w:bCs/>
          <w:i/>
          <w:iCs/>
          <w:sz w:val="22"/>
          <w:szCs w:val="22"/>
        </w:rPr>
        <w:t xml:space="preserve">nais formam um núcleo identitário que </w:t>
      </w:r>
      <w:r w:rsidRPr="00694F5D">
        <w:rPr>
          <w:rFonts w:ascii="Century Gothic" w:hAnsi="Century Gothic" w:cs="Arial"/>
          <w:b/>
          <w:bCs/>
          <w:i/>
          <w:iCs/>
          <w:sz w:val="22"/>
          <w:szCs w:val="22"/>
        </w:rPr>
        <w:lastRenderedPageBreak/>
        <w:t>resiste a cortes noutras categorias. O gasto médio de 150 euros traduz a vontade de manter rituais que unem as famílias e preservam o simbolismo desta época”</w:t>
      </w:r>
      <w:r w:rsidRPr="00694F5D">
        <w:rPr>
          <w:rFonts w:ascii="Century Gothic" w:hAnsi="Century Gothic" w:cs="Arial"/>
          <w:sz w:val="22"/>
          <w:szCs w:val="22"/>
        </w:rPr>
        <w:t xml:space="preserve">, afirma </w:t>
      </w:r>
      <w:r w:rsidRPr="00694F5D">
        <w:rPr>
          <w:rFonts w:ascii="Century Gothic" w:hAnsi="Century Gothic" w:cs="Arial"/>
          <w:b/>
          <w:bCs/>
          <w:sz w:val="22"/>
          <w:szCs w:val="22"/>
        </w:rPr>
        <w:t>Mafalda Ferreira</w:t>
      </w:r>
      <w:r w:rsidRPr="00694F5D">
        <w:rPr>
          <w:rFonts w:ascii="Century Gothic" w:hAnsi="Century Gothic" w:cs="Arial"/>
          <w:sz w:val="22"/>
          <w:szCs w:val="22"/>
        </w:rPr>
        <w:t xml:space="preserve">, docente e coordenadora da licenciatura em Gestão de Marketing do IPAM Porto, e responsável pelo estudo. A investigadora realça ainda que </w:t>
      </w:r>
      <w:r w:rsidR="00BB6D31" w:rsidRPr="0046674C">
        <w:rPr>
          <w:rFonts w:ascii="Century Gothic" w:hAnsi="Century Gothic" w:cs="Arial"/>
          <w:b/>
          <w:bCs/>
          <w:i/>
          <w:iCs/>
          <w:sz w:val="22"/>
          <w:szCs w:val="22"/>
        </w:rPr>
        <w:t>“</w:t>
      </w:r>
      <w:r w:rsidRPr="00694F5D">
        <w:rPr>
          <w:rFonts w:ascii="Century Gothic" w:hAnsi="Century Gothic" w:cs="Arial"/>
          <w:b/>
          <w:bCs/>
          <w:i/>
          <w:iCs/>
          <w:sz w:val="22"/>
          <w:szCs w:val="22"/>
        </w:rPr>
        <w:t>os hábitos alimentares representam uma dimensão emocional do Natal, associada a memória, afeto e convivência, fatores que explicam a dificuldade em reduzir esta despesa</w:t>
      </w:r>
      <w:r w:rsidR="00BB6D31" w:rsidRPr="0046674C">
        <w:rPr>
          <w:rFonts w:ascii="Century Gothic" w:hAnsi="Century Gothic" w:cs="Arial"/>
          <w:b/>
          <w:bCs/>
          <w:i/>
          <w:iCs/>
          <w:sz w:val="22"/>
          <w:szCs w:val="22"/>
        </w:rPr>
        <w:t>”</w:t>
      </w:r>
      <w:r w:rsidR="00BB6D31" w:rsidRPr="00BB6D31">
        <w:rPr>
          <w:rFonts w:ascii="Century Gothic" w:hAnsi="Century Gothic" w:cs="Arial"/>
          <w:i/>
          <w:iCs/>
          <w:sz w:val="22"/>
          <w:szCs w:val="22"/>
        </w:rPr>
        <w:t>.</w:t>
      </w:r>
    </w:p>
    <w:p w14:paraId="6852DA32" w14:textId="77777777" w:rsidR="00694F5D" w:rsidRPr="00694F5D" w:rsidRDefault="00694F5D" w:rsidP="00694F5D">
      <w:pPr>
        <w:spacing w:line="276" w:lineRule="auto"/>
        <w:jc w:val="both"/>
        <w:rPr>
          <w:rFonts w:ascii="Century Gothic" w:hAnsi="Century Gothic" w:cs="Arial"/>
          <w:sz w:val="22"/>
          <w:szCs w:val="22"/>
        </w:rPr>
      </w:pPr>
      <w:r w:rsidRPr="00694F5D">
        <w:rPr>
          <w:rFonts w:ascii="Century Gothic" w:hAnsi="Century Gothic" w:cs="Arial"/>
          <w:sz w:val="22"/>
          <w:szCs w:val="22"/>
        </w:rPr>
        <w:t xml:space="preserve">O estudo evidencia também a forma como estas escolhas se articulam com tendências mais amplas. A maior parte dos consumidores declara intenção de </w:t>
      </w:r>
      <w:r w:rsidRPr="00694F5D">
        <w:rPr>
          <w:rFonts w:ascii="Century Gothic" w:hAnsi="Century Gothic" w:cs="Arial"/>
          <w:b/>
          <w:bCs/>
          <w:sz w:val="22"/>
          <w:szCs w:val="22"/>
        </w:rPr>
        <w:t>gastar o mesmo que no ano anterior</w:t>
      </w:r>
      <w:r w:rsidRPr="00694F5D">
        <w:rPr>
          <w:rFonts w:ascii="Century Gothic" w:hAnsi="Century Gothic" w:cs="Arial"/>
          <w:sz w:val="22"/>
          <w:szCs w:val="22"/>
        </w:rPr>
        <w:t xml:space="preserve">, enquanto a inflação se mantém como a principal razão para o aumento do valor final. Quando questionados sobre </w:t>
      </w:r>
      <w:r w:rsidRPr="00694F5D">
        <w:rPr>
          <w:rFonts w:ascii="Century Gothic" w:hAnsi="Century Gothic" w:cs="Arial"/>
          <w:b/>
          <w:bCs/>
          <w:sz w:val="22"/>
          <w:szCs w:val="22"/>
        </w:rPr>
        <w:t>desejos para 2026</w:t>
      </w:r>
      <w:r w:rsidRPr="00694F5D">
        <w:rPr>
          <w:rFonts w:ascii="Century Gothic" w:hAnsi="Century Gothic" w:cs="Arial"/>
          <w:sz w:val="22"/>
          <w:szCs w:val="22"/>
        </w:rPr>
        <w:t xml:space="preserve">, os portugueses voltam a destacar a </w:t>
      </w:r>
      <w:r w:rsidRPr="00694F5D">
        <w:rPr>
          <w:rFonts w:ascii="Century Gothic" w:hAnsi="Century Gothic" w:cs="Arial"/>
          <w:b/>
          <w:bCs/>
          <w:sz w:val="22"/>
          <w:szCs w:val="22"/>
        </w:rPr>
        <w:t>paz</w:t>
      </w:r>
      <w:r w:rsidRPr="00694F5D">
        <w:rPr>
          <w:rFonts w:ascii="Century Gothic" w:hAnsi="Century Gothic" w:cs="Arial"/>
          <w:sz w:val="22"/>
          <w:szCs w:val="22"/>
        </w:rPr>
        <w:t xml:space="preserve">, a </w:t>
      </w:r>
      <w:r w:rsidRPr="00694F5D">
        <w:rPr>
          <w:rFonts w:ascii="Century Gothic" w:hAnsi="Century Gothic" w:cs="Arial"/>
          <w:b/>
          <w:bCs/>
          <w:sz w:val="22"/>
          <w:szCs w:val="22"/>
        </w:rPr>
        <w:t>saúde</w:t>
      </w:r>
      <w:r w:rsidRPr="00694F5D">
        <w:rPr>
          <w:rFonts w:ascii="Century Gothic" w:hAnsi="Century Gothic" w:cs="Arial"/>
          <w:sz w:val="22"/>
          <w:szCs w:val="22"/>
        </w:rPr>
        <w:t xml:space="preserve"> e a </w:t>
      </w:r>
      <w:r w:rsidRPr="00694F5D">
        <w:rPr>
          <w:rFonts w:ascii="Century Gothic" w:hAnsi="Century Gothic" w:cs="Arial"/>
          <w:b/>
          <w:bCs/>
          <w:sz w:val="22"/>
          <w:szCs w:val="22"/>
        </w:rPr>
        <w:t>estabilização das condições económicas</w:t>
      </w:r>
      <w:r w:rsidRPr="00694F5D">
        <w:rPr>
          <w:rFonts w:ascii="Century Gothic" w:hAnsi="Century Gothic" w:cs="Arial"/>
          <w:sz w:val="22"/>
          <w:szCs w:val="22"/>
        </w:rPr>
        <w:t>, prioridades que refletem o clima internacional e as pressões sentidas no quotidiano.</w:t>
      </w:r>
    </w:p>
    <w:p w14:paraId="4D89AFEB" w14:textId="77777777" w:rsidR="00694F5D" w:rsidRPr="00694F5D" w:rsidRDefault="00694F5D" w:rsidP="00694F5D">
      <w:pPr>
        <w:spacing w:line="276" w:lineRule="auto"/>
        <w:jc w:val="both"/>
        <w:rPr>
          <w:rFonts w:ascii="Century Gothic" w:hAnsi="Century Gothic" w:cs="Arial"/>
          <w:sz w:val="22"/>
          <w:szCs w:val="22"/>
        </w:rPr>
      </w:pPr>
      <w:r w:rsidRPr="00694F5D">
        <w:rPr>
          <w:rFonts w:ascii="Century Gothic" w:hAnsi="Century Gothic" w:cs="Arial"/>
          <w:sz w:val="22"/>
          <w:szCs w:val="22"/>
        </w:rPr>
        <w:t xml:space="preserve">Apesar das mudanças nos padrões de consumo, a alimentação continua a ser a área onde os portugueses revelam </w:t>
      </w:r>
      <w:r w:rsidRPr="00694F5D">
        <w:rPr>
          <w:rFonts w:ascii="Century Gothic" w:hAnsi="Century Gothic" w:cs="Arial"/>
          <w:b/>
          <w:bCs/>
          <w:sz w:val="22"/>
          <w:szCs w:val="22"/>
        </w:rPr>
        <w:t>menor disponibilidade para fazer cortes</w:t>
      </w:r>
      <w:r w:rsidRPr="00694F5D">
        <w:rPr>
          <w:rFonts w:ascii="Century Gothic" w:hAnsi="Century Gothic" w:cs="Arial"/>
          <w:sz w:val="22"/>
          <w:szCs w:val="22"/>
        </w:rPr>
        <w:t>, mesmo que os primeiros sinais de contenção já comecem a surgir.</w:t>
      </w:r>
    </w:p>
    <w:p w14:paraId="23B5C5CE" w14:textId="77777777" w:rsidR="00694F5D" w:rsidRDefault="00694F5D" w:rsidP="00694F5D">
      <w:pPr>
        <w:spacing w:after="0" w:line="276" w:lineRule="auto"/>
        <w:jc w:val="center"/>
        <w:rPr>
          <w:rFonts w:ascii="Century Gothic" w:hAnsi="Century Gothic" w:cs="Arial"/>
          <w:b/>
          <w:bCs/>
          <w:sz w:val="32"/>
          <w:szCs w:val="28"/>
        </w:rPr>
      </w:pPr>
    </w:p>
    <w:p w14:paraId="3A0EB2D9" w14:textId="77777777" w:rsidR="00FD48A7" w:rsidRDefault="00FD48A7" w:rsidP="00B1376E">
      <w:pPr>
        <w:spacing w:line="24" w:lineRule="atLeast"/>
        <w:jc w:val="both"/>
        <w:rPr>
          <w:rFonts w:ascii="Century Gothic" w:hAnsi="Century Gothic" w:cstheme="minorHAnsi"/>
          <w:b/>
          <w:bCs/>
          <w:sz w:val="20"/>
          <w:szCs w:val="20"/>
          <w:u w:val="single"/>
        </w:rPr>
      </w:pPr>
    </w:p>
    <w:p w14:paraId="00A903B6" w14:textId="78F06990" w:rsidR="00B1376E" w:rsidRPr="00845DB8" w:rsidRDefault="00B1376E" w:rsidP="00B1376E">
      <w:pPr>
        <w:spacing w:line="24" w:lineRule="atLeast"/>
        <w:jc w:val="both"/>
        <w:rPr>
          <w:rFonts w:ascii="Century Gothic" w:hAnsi="Century Gothic" w:cstheme="minorHAnsi"/>
          <w:sz w:val="20"/>
          <w:szCs w:val="20"/>
        </w:rPr>
      </w:pPr>
      <w:r w:rsidRPr="00845DB8">
        <w:rPr>
          <w:rFonts w:ascii="Century Gothic" w:hAnsi="Century Gothic" w:cstheme="minorHAnsi"/>
          <w:b/>
          <w:bCs/>
          <w:sz w:val="20"/>
          <w:szCs w:val="20"/>
          <w:u w:val="single"/>
        </w:rPr>
        <w:t>Ficha Técnica do Estudo Compras de Natal</w:t>
      </w:r>
      <w:r>
        <w:rPr>
          <w:rFonts w:ascii="Century Gothic" w:hAnsi="Century Gothic" w:cstheme="minorHAnsi"/>
          <w:b/>
          <w:bCs/>
          <w:sz w:val="20"/>
          <w:szCs w:val="20"/>
          <w:u w:val="single"/>
        </w:rPr>
        <w:t xml:space="preserve"> 202</w:t>
      </w:r>
      <w:r w:rsidR="00A24ED5">
        <w:rPr>
          <w:rFonts w:ascii="Century Gothic" w:hAnsi="Century Gothic" w:cstheme="minorHAnsi"/>
          <w:b/>
          <w:bCs/>
          <w:sz w:val="20"/>
          <w:szCs w:val="20"/>
          <w:u w:val="single"/>
        </w:rPr>
        <w:t>5</w:t>
      </w:r>
    </w:p>
    <w:p w14:paraId="4762F86A" w14:textId="4FC3FC95" w:rsidR="00A24ED5" w:rsidRDefault="00A24ED5" w:rsidP="00B1376E">
      <w:pPr>
        <w:spacing w:after="0" w:line="24" w:lineRule="atLeast"/>
        <w:jc w:val="both"/>
        <w:rPr>
          <w:rFonts w:ascii="Century Gothic" w:hAnsi="Century Gothic" w:cstheme="minorHAnsi"/>
          <w:sz w:val="20"/>
          <w:szCs w:val="20"/>
        </w:rPr>
      </w:pPr>
      <w:r w:rsidRPr="00A24ED5">
        <w:rPr>
          <w:rFonts w:ascii="Century Gothic" w:hAnsi="Century Gothic" w:cstheme="minorHAnsi"/>
          <w:sz w:val="20"/>
          <w:szCs w:val="20"/>
        </w:rPr>
        <w:t xml:space="preserve">O estudo foi realizado pelo IPAM, sob a coordenação da professora </w:t>
      </w:r>
      <w:r w:rsidRPr="00A24ED5">
        <w:rPr>
          <w:rFonts w:ascii="Century Gothic" w:hAnsi="Century Gothic" w:cstheme="minorHAnsi"/>
          <w:b/>
          <w:bCs/>
          <w:sz w:val="20"/>
          <w:szCs w:val="20"/>
        </w:rPr>
        <w:t>Mafalda Ferreira</w:t>
      </w:r>
      <w:r w:rsidRPr="00A24ED5">
        <w:rPr>
          <w:rFonts w:ascii="Century Gothic" w:hAnsi="Century Gothic" w:cstheme="minorHAnsi"/>
          <w:sz w:val="20"/>
          <w:szCs w:val="20"/>
        </w:rPr>
        <w:t>, diretora da Licenciatura em Gestão de Marketing do IPAM Porto e doutorada em Psicologia Social pela Universidade de Cádiz.</w:t>
      </w:r>
      <w:r w:rsidR="00FD48A7">
        <w:rPr>
          <w:rFonts w:ascii="Century Gothic" w:hAnsi="Century Gothic" w:cstheme="minorHAnsi"/>
          <w:sz w:val="20"/>
          <w:szCs w:val="20"/>
        </w:rPr>
        <w:t xml:space="preserve"> </w:t>
      </w:r>
      <w:r w:rsidRPr="00A24ED5">
        <w:rPr>
          <w:rFonts w:ascii="Century Gothic" w:hAnsi="Century Gothic" w:cstheme="minorHAnsi"/>
          <w:sz w:val="20"/>
          <w:szCs w:val="20"/>
        </w:rPr>
        <w:t xml:space="preserve">A recolha de dados decorreu </w:t>
      </w:r>
      <w:r w:rsidRPr="00A24ED5">
        <w:rPr>
          <w:rFonts w:ascii="Century Gothic" w:hAnsi="Century Gothic" w:cstheme="minorHAnsi"/>
          <w:b/>
          <w:bCs/>
          <w:sz w:val="20"/>
          <w:szCs w:val="20"/>
        </w:rPr>
        <w:t>entre 22 de novembro e 7 de dezembro de 2025</w:t>
      </w:r>
      <w:r w:rsidRPr="00A24ED5">
        <w:rPr>
          <w:rFonts w:ascii="Century Gothic" w:hAnsi="Century Gothic" w:cstheme="minorHAnsi"/>
          <w:sz w:val="20"/>
          <w:szCs w:val="20"/>
        </w:rPr>
        <w:t xml:space="preserve"> em Portugal Continental, com uma amostra composta por </w:t>
      </w:r>
      <w:r w:rsidRPr="00A24ED5">
        <w:rPr>
          <w:rFonts w:ascii="Century Gothic" w:hAnsi="Century Gothic" w:cstheme="minorHAnsi"/>
          <w:b/>
          <w:bCs/>
          <w:sz w:val="20"/>
          <w:szCs w:val="20"/>
        </w:rPr>
        <w:t>560 indivíduos</w:t>
      </w:r>
      <w:r w:rsidRPr="00845DB8">
        <w:rPr>
          <w:rFonts w:ascii="Century Gothic" w:hAnsi="Century Gothic" w:cstheme="minorHAnsi"/>
          <w:sz w:val="20"/>
          <w:szCs w:val="20"/>
        </w:rPr>
        <w:t>, maiores de 18 anos, com a seguinte distribuição por classe social: 6,5% classe social A, 33% da B, 18% da C1, 35,9% da C2 e 6,6% da D.</w:t>
      </w:r>
      <w:r>
        <w:rPr>
          <w:rFonts w:ascii="Century Gothic" w:hAnsi="Century Gothic" w:cstheme="minorHAnsi"/>
          <w:sz w:val="20"/>
          <w:szCs w:val="20"/>
        </w:rPr>
        <w:t xml:space="preserve"> </w:t>
      </w:r>
      <w:r w:rsidRPr="00A24ED5">
        <w:rPr>
          <w:rFonts w:ascii="Century Gothic" w:hAnsi="Century Gothic" w:cstheme="minorHAnsi"/>
          <w:sz w:val="20"/>
          <w:szCs w:val="20"/>
        </w:rPr>
        <w:t xml:space="preserve">Os inquéritos foram administrados </w:t>
      </w:r>
      <w:r w:rsidRPr="00A24ED5">
        <w:rPr>
          <w:rFonts w:ascii="Century Gothic" w:hAnsi="Century Gothic" w:cstheme="minorHAnsi"/>
          <w:b/>
          <w:bCs/>
          <w:sz w:val="20"/>
          <w:szCs w:val="20"/>
        </w:rPr>
        <w:t>online e presencialmente</w:t>
      </w:r>
      <w:r w:rsidRPr="00A24ED5">
        <w:rPr>
          <w:rFonts w:ascii="Century Gothic" w:hAnsi="Century Gothic" w:cstheme="minorHAnsi"/>
          <w:sz w:val="20"/>
          <w:szCs w:val="20"/>
        </w:rPr>
        <w:t>, sempre que necessário para garantir o cumprimento das quotas definidas para as diferentes classes sociais.</w:t>
      </w:r>
      <w:r w:rsidR="00FD48A7">
        <w:rPr>
          <w:rFonts w:ascii="Century Gothic" w:hAnsi="Century Gothic" w:cstheme="minorHAnsi"/>
          <w:sz w:val="20"/>
          <w:szCs w:val="20"/>
        </w:rPr>
        <w:t xml:space="preserve"> </w:t>
      </w:r>
      <w:r w:rsidR="00C05372" w:rsidRPr="00C05372">
        <w:rPr>
          <w:rFonts w:ascii="Century Gothic" w:hAnsi="Century Gothic" w:cstheme="minorHAnsi"/>
          <w:sz w:val="20"/>
          <w:szCs w:val="20"/>
        </w:rPr>
        <w:t>Realizado ininterruptamente desde 2009, o estudo “Compras de Natal” constitui uma das análises mais consistentes sobre comportamentos de consumo nesta época festiva.</w:t>
      </w:r>
    </w:p>
    <w:p w14:paraId="5BBB5FF9" w14:textId="77777777" w:rsidR="00A24ED5" w:rsidRDefault="00A24ED5" w:rsidP="00B1376E">
      <w:pPr>
        <w:spacing w:after="0" w:line="24" w:lineRule="atLeast"/>
        <w:jc w:val="both"/>
        <w:rPr>
          <w:rFonts w:ascii="Century Gothic" w:hAnsi="Century Gothic" w:cstheme="minorHAnsi"/>
          <w:sz w:val="20"/>
          <w:szCs w:val="20"/>
        </w:rPr>
      </w:pPr>
    </w:p>
    <w:p w14:paraId="4FC99B1E" w14:textId="77777777" w:rsidR="00FD48A7" w:rsidRDefault="00FD48A7">
      <w:pPr>
        <w:rPr>
          <w:rFonts w:ascii="Century Gothic" w:hAnsi="Century Gothic"/>
          <w:b/>
          <w:bCs/>
          <w:sz w:val="22"/>
          <w:szCs w:val="22"/>
        </w:rPr>
      </w:pPr>
    </w:p>
    <w:p w14:paraId="24D853FD" w14:textId="77777777" w:rsidR="00FD48A7" w:rsidRDefault="00FD48A7">
      <w:pPr>
        <w:rPr>
          <w:rFonts w:ascii="Century Gothic" w:hAnsi="Century Gothic"/>
          <w:b/>
          <w:bCs/>
          <w:sz w:val="22"/>
          <w:szCs w:val="22"/>
        </w:rPr>
      </w:pPr>
    </w:p>
    <w:p w14:paraId="14D7E2FF" w14:textId="77777777" w:rsidR="00FD48A7" w:rsidRDefault="00FD48A7">
      <w:pPr>
        <w:rPr>
          <w:rFonts w:ascii="Century Gothic" w:hAnsi="Century Gothic"/>
          <w:b/>
          <w:bCs/>
          <w:sz w:val="22"/>
          <w:szCs w:val="22"/>
        </w:rPr>
      </w:pPr>
    </w:p>
    <w:p w14:paraId="77D72087" w14:textId="392C01B7" w:rsidR="00DB624A" w:rsidRPr="008B608F" w:rsidRDefault="008B2E26">
      <w:pPr>
        <w:rPr>
          <w:rFonts w:ascii="Century Gothic" w:hAnsi="Century Gothic"/>
          <w:b/>
          <w:bCs/>
          <w:sz w:val="22"/>
          <w:szCs w:val="22"/>
        </w:rPr>
      </w:pPr>
      <w:r w:rsidRPr="008B608F">
        <w:rPr>
          <w:rFonts w:ascii="Century Gothic" w:hAnsi="Century Gothic"/>
          <w:b/>
          <w:bCs/>
          <w:sz w:val="22"/>
          <w:szCs w:val="22"/>
        </w:rPr>
        <w:t>Para mais informações</w:t>
      </w:r>
      <w:r w:rsidR="00B1376E" w:rsidRPr="008B608F">
        <w:rPr>
          <w:rFonts w:ascii="Century Gothic" w:hAnsi="Century Gothic"/>
          <w:b/>
          <w:bCs/>
          <w:sz w:val="22"/>
          <w:szCs w:val="22"/>
        </w:rPr>
        <w:t>, favor contactar</w:t>
      </w:r>
      <w:r w:rsidRPr="008B608F">
        <w:rPr>
          <w:rFonts w:ascii="Century Gothic" w:hAnsi="Century Gothic"/>
          <w:b/>
          <w:bCs/>
          <w:sz w:val="22"/>
          <w:szCs w:val="22"/>
        </w:rPr>
        <w:t>:</w:t>
      </w:r>
    </w:p>
    <w:p w14:paraId="01CEE3C8" w14:textId="77777777" w:rsidR="009C4AE2" w:rsidRPr="00BD04DD" w:rsidRDefault="009C4AE2" w:rsidP="009C4AE2">
      <w:pPr>
        <w:pStyle w:val="NormalWeb"/>
        <w:spacing w:before="0" w:beforeAutospacing="0" w:after="0" w:afterAutospacing="0"/>
        <w:rPr>
          <w:rFonts w:ascii="Century Gothic" w:hAnsi="Century Gothic"/>
          <w:sz w:val="18"/>
          <w:szCs w:val="18"/>
        </w:rPr>
      </w:pPr>
      <w:r w:rsidRPr="00BD04DD">
        <w:rPr>
          <w:rFonts w:ascii="Century Gothic" w:hAnsi="Century Gothic"/>
          <w:noProof/>
          <w:sz w:val="16"/>
          <w:szCs w:val="16"/>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BD04DD"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BD04DD" w:rsidRDefault="009C4AE2" w:rsidP="009C4AE2">
      <w:pPr>
        <w:pStyle w:val="NormalWeb"/>
        <w:spacing w:before="0" w:beforeAutospacing="0" w:after="0" w:afterAutospacing="0"/>
        <w:rPr>
          <w:rFonts w:ascii="Century Gothic" w:hAnsi="Century Gothic"/>
          <w:sz w:val="18"/>
          <w:szCs w:val="18"/>
        </w:rPr>
      </w:pPr>
      <w:r w:rsidRPr="00BD04DD">
        <w:rPr>
          <w:rFonts w:ascii="Century Gothic" w:hAnsi="Century Gothic"/>
          <w:sz w:val="18"/>
          <w:szCs w:val="18"/>
        </w:rPr>
        <w:t>Ana Santos | </w:t>
      </w:r>
      <w:hyperlink r:id="rId11" w:tgtFrame="_blank" w:tooltip="mailto:ana.santos@lift.com.pt" w:history="1">
        <w:r w:rsidRPr="00BD04DD">
          <w:rPr>
            <w:rStyle w:val="Hyperlink"/>
            <w:rFonts w:ascii="Century Gothic" w:eastAsiaTheme="majorEastAsia" w:hAnsi="Century Gothic"/>
            <w:sz w:val="18"/>
            <w:szCs w:val="18"/>
          </w:rPr>
          <w:t>ana.santos@lift.com.pt</w:t>
        </w:r>
      </w:hyperlink>
      <w:r w:rsidRPr="00BD04DD">
        <w:rPr>
          <w:rFonts w:ascii="Century Gothic" w:hAnsi="Century Gothic"/>
          <w:sz w:val="18"/>
          <w:szCs w:val="18"/>
        </w:rPr>
        <w:t xml:space="preserve"> | +351 914 409 595</w:t>
      </w:r>
    </w:p>
    <w:p w14:paraId="43701A95" w14:textId="070AAEC9" w:rsidR="009C4AE2" w:rsidRPr="00BD04DD" w:rsidRDefault="009C4AE2" w:rsidP="009C4AE2">
      <w:pPr>
        <w:spacing w:after="0" w:line="240" w:lineRule="auto"/>
        <w:rPr>
          <w:rFonts w:ascii="Century Gothic" w:eastAsia="Times New Roman" w:hAnsi="Century Gothic" w:cs="Times New Roman"/>
          <w:kern w:val="0"/>
          <w:sz w:val="22"/>
          <w:szCs w:val="22"/>
          <w:lang w:eastAsia="pt-PT"/>
          <w14:ligatures w14:val="none"/>
        </w:rPr>
      </w:pPr>
      <w:r w:rsidRPr="00BD04DD">
        <w:rPr>
          <w:rFonts w:ascii="Century Gothic" w:hAnsi="Century Gothic"/>
          <w:sz w:val="18"/>
          <w:szCs w:val="18"/>
        </w:rPr>
        <w:t xml:space="preserve">Hugo Costa| </w:t>
      </w:r>
      <w:hyperlink r:id="rId12" w:history="1">
        <w:r w:rsidRPr="00BD04DD">
          <w:rPr>
            <w:rStyle w:val="Hyperlink"/>
            <w:rFonts w:ascii="Century Gothic" w:hAnsi="Century Gothic"/>
            <w:sz w:val="18"/>
            <w:szCs w:val="18"/>
          </w:rPr>
          <w:t>hugo.costa@lift.com.pt</w:t>
        </w:r>
      </w:hyperlink>
      <w:r w:rsidRPr="00BD04DD">
        <w:rPr>
          <w:rFonts w:ascii="Century Gothic" w:hAnsi="Century Gothic"/>
          <w:sz w:val="18"/>
          <w:szCs w:val="18"/>
        </w:rPr>
        <w:t xml:space="preserve"> | +351 914 409 524</w:t>
      </w:r>
    </w:p>
    <w:p w14:paraId="750DD60E" w14:textId="66822EE0" w:rsidR="009C4AE2" w:rsidRPr="00BD04DD" w:rsidRDefault="009C4AE2">
      <w:pPr>
        <w:rPr>
          <w:rFonts w:ascii="Century Gothic" w:hAnsi="Century Gothic"/>
        </w:rPr>
      </w:pPr>
    </w:p>
    <w:p w14:paraId="39416141" w14:textId="42479301" w:rsidR="001F0885" w:rsidRPr="00BD04DD" w:rsidRDefault="001F0885" w:rsidP="001F0885">
      <w:pPr>
        <w:spacing w:before="240" w:after="240" w:line="240" w:lineRule="auto"/>
        <w:rPr>
          <w:rFonts w:ascii="Century Gothic" w:eastAsia="Century Gothic" w:hAnsi="Century Gothic" w:cs="Century Gothic"/>
          <w:color w:val="000000" w:themeColor="text1"/>
          <w:sz w:val="18"/>
          <w:szCs w:val="18"/>
        </w:rPr>
      </w:pPr>
      <w:r w:rsidRPr="00BD04DD">
        <w:rPr>
          <w:rFonts w:ascii="Century Gothic" w:eastAsia="Century Gothic" w:hAnsi="Century Gothic" w:cs="Century Gothic"/>
          <w:b/>
          <w:bCs/>
          <w:color w:val="000000" w:themeColor="text1"/>
          <w:sz w:val="18"/>
          <w:szCs w:val="18"/>
        </w:rPr>
        <w:lastRenderedPageBreak/>
        <w:t>Sobre o IPAM</w:t>
      </w:r>
    </w:p>
    <w:p w14:paraId="1C3CBC8D" w14:textId="36E714F4" w:rsidR="001F0885" w:rsidRPr="00BD04DD" w:rsidRDefault="001F0885" w:rsidP="001F0885">
      <w:pPr>
        <w:spacing w:after="0" w:line="240" w:lineRule="auto"/>
        <w:jc w:val="both"/>
        <w:rPr>
          <w:rFonts w:ascii="Century Gothic" w:eastAsia="Century Gothic" w:hAnsi="Century Gothic" w:cs="Century Gothic"/>
          <w:color w:val="000000" w:themeColor="text1"/>
          <w:sz w:val="18"/>
          <w:szCs w:val="18"/>
        </w:rPr>
      </w:pPr>
      <w:r w:rsidRPr="00BD04DD">
        <w:rPr>
          <w:rFonts w:ascii="Century Gothic" w:eastAsia="Century Gothic" w:hAnsi="Century Gothic" w:cs="Century Gothic"/>
          <w:color w:val="000000" w:themeColor="text1"/>
          <w:sz w:val="18"/>
          <w:szCs w:val="18"/>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Pr>
          <w:rFonts w:ascii="Century Gothic" w:eastAsia="Century Gothic" w:hAnsi="Century Gothic" w:cs="Century Gothic"/>
          <w:color w:val="000000" w:themeColor="text1"/>
          <w:sz w:val="18"/>
          <w:szCs w:val="18"/>
        </w:rPr>
        <w:t xml:space="preserve"> Técnicos</w:t>
      </w:r>
      <w:r w:rsidRPr="00BD04DD">
        <w:rPr>
          <w:rFonts w:ascii="Century Gothic" w:eastAsia="Century Gothic" w:hAnsi="Century Gothic" w:cs="Century Gothic"/>
          <w:color w:val="000000" w:themeColor="text1"/>
          <w:sz w:val="18"/>
          <w:szCs w:val="18"/>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BD04DD" w:rsidRDefault="001F0885" w:rsidP="001F0885">
      <w:pPr>
        <w:spacing w:after="0" w:line="240" w:lineRule="auto"/>
        <w:jc w:val="both"/>
        <w:rPr>
          <w:rFonts w:ascii="Century Gothic" w:eastAsia="Century Gothic" w:hAnsi="Century Gothic" w:cs="Century Gothic"/>
          <w:color w:val="000000" w:themeColor="text1"/>
          <w:sz w:val="18"/>
          <w:szCs w:val="18"/>
        </w:rPr>
      </w:pPr>
    </w:p>
    <w:p w14:paraId="473F0CD5" w14:textId="77777777" w:rsidR="001F0885" w:rsidRPr="00BD04DD" w:rsidRDefault="001F0885" w:rsidP="001F0885">
      <w:pPr>
        <w:spacing w:after="0" w:line="240" w:lineRule="auto"/>
        <w:jc w:val="both"/>
        <w:rPr>
          <w:rFonts w:ascii="Century Gothic" w:eastAsia="Century Gothic" w:hAnsi="Century Gothic" w:cs="Century Gothic"/>
          <w:color w:val="000000" w:themeColor="text1"/>
          <w:sz w:val="16"/>
          <w:szCs w:val="16"/>
        </w:rPr>
      </w:pPr>
      <w:r w:rsidRPr="00BD04DD">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BD04DD">
          <w:rPr>
            <w:rStyle w:val="Hyperlink"/>
            <w:rFonts w:ascii="Century Gothic" w:eastAsia="Century Gothic" w:hAnsi="Century Gothic" w:cs="Century Gothic"/>
            <w:sz w:val="16"/>
            <w:szCs w:val="16"/>
          </w:rPr>
          <w:t>www.ipam.pt</w:t>
        </w:r>
      </w:hyperlink>
    </w:p>
    <w:p w14:paraId="2B4D2E1A" w14:textId="77777777" w:rsidR="001F0885" w:rsidRPr="00BD04DD" w:rsidRDefault="001F0885">
      <w:pPr>
        <w:rPr>
          <w:rFonts w:ascii="Century Gothic" w:hAnsi="Century Gothic"/>
        </w:rPr>
      </w:pPr>
    </w:p>
    <w:sectPr w:rsidR="001F0885" w:rsidRPr="00BD04DD" w:rsidSect="003037C6">
      <w:headerReference w:type="default" r:id="rId14"/>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9BF5" w14:textId="77777777" w:rsidR="00EF1222" w:rsidRDefault="00EF1222" w:rsidP="002F5AFD">
      <w:pPr>
        <w:spacing w:after="0" w:line="240" w:lineRule="auto"/>
      </w:pPr>
      <w:r>
        <w:separator/>
      </w:r>
    </w:p>
  </w:endnote>
  <w:endnote w:type="continuationSeparator" w:id="0">
    <w:p w14:paraId="31FE5FBE" w14:textId="77777777" w:rsidR="00EF1222" w:rsidRDefault="00EF1222"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D3C55" w14:textId="77777777" w:rsidR="00EF1222" w:rsidRDefault="00EF1222" w:rsidP="002F5AFD">
      <w:pPr>
        <w:spacing w:after="0" w:line="240" w:lineRule="auto"/>
      </w:pPr>
      <w:r>
        <w:separator/>
      </w:r>
    </w:p>
  </w:footnote>
  <w:footnote w:type="continuationSeparator" w:id="0">
    <w:p w14:paraId="37D006CB" w14:textId="77777777" w:rsidR="00EF1222" w:rsidRDefault="00EF1222"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837C" w14:textId="0DA98F44" w:rsidR="002F5AFD" w:rsidRDefault="002F5AFD" w:rsidP="002F5AFD">
    <w:pPr>
      <w:pStyle w:val="Header"/>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643439606"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Header"/>
      <w:jc w:val="right"/>
    </w:pP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9"/>
  </w:num>
  <w:num w:numId="4">
    <w:abstractNumId w:val="13"/>
  </w:num>
  <w:num w:numId="5">
    <w:abstractNumId w:val="1"/>
  </w:num>
  <w:num w:numId="6">
    <w:abstractNumId w:val="12"/>
  </w:num>
  <w:num w:numId="7">
    <w:abstractNumId w:val="0"/>
  </w:num>
  <w:num w:numId="8">
    <w:abstractNumId w:val="17"/>
  </w:num>
  <w:num w:numId="9">
    <w:abstractNumId w:val="16"/>
  </w:num>
  <w:num w:numId="10">
    <w:abstractNumId w:val="6"/>
  </w:num>
  <w:num w:numId="11">
    <w:abstractNumId w:val="2"/>
  </w:num>
  <w:num w:numId="12">
    <w:abstractNumId w:val="4"/>
  </w:num>
  <w:num w:numId="13">
    <w:abstractNumId w:val="15"/>
  </w:num>
  <w:num w:numId="14">
    <w:abstractNumId w:val="10"/>
  </w:num>
  <w:num w:numId="15">
    <w:abstractNumId w:val="3"/>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26817"/>
    <w:rsid w:val="000D3FAA"/>
    <w:rsid w:val="001316D1"/>
    <w:rsid w:val="00164831"/>
    <w:rsid w:val="001F0885"/>
    <w:rsid w:val="00232CC3"/>
    <w:rsid w:val="002E6AE4"/>
    <w:rsid w:val="002F5AFD"/>
    <w:rsid w:val="003037C6"/>
    <w:rsid w:val="00305E7A"/>
    <w:rsid w:val="00394DA9"/>
    <w:rsid w:val="003F443D"/>
    <w:rsid w:val="0043271C"/>
    <w:rsid w:val="0044462A"/>
    <w:rsid w:val="0046674C"/>
    <w:rsid w:val="00512D24"/>
    <w:rsid w:val="005A7843"/>
    <w:rsid w:val="005E7B16"/>
    <w:rsid w:val="005F2224"/>
    <w:rsid w:val="0066401C"/>
    <w:rsid w:val="00694F5D"/>
    <w:rsid w:val="00737551"/>
    <w:rsid w:val="00822195"/>
    <w:rsid w:val="008678B0"/>
    <w:rsid w:val="00883BBA"/>
    <w:rsid w:val="008B2E26"/>
    <w:rsid w:val="008B342B"/>
    <w:rsid w:val="008B608F"/>
    <w:rsid w:val="008E785B"/>
    <w:rsid w:val="009A5071"/>
    <w:rsid w:val="009C4AE2"/>
    <w:rsid w:val="00A062BF"/>
    <w:rsid w:val="00A11A84"/>
    <w:rsid w:val="00A24ED5"/>
    <w:rsid w:val="00A74CEB"/>
    <w:rsid w:val="00A8136A"/>
    <w:rsid w:val="00AE3BAA"/>
    <w:rsid w:val="00B044CE"/>
    <w:rsid w:val="00B1376E"/>
    <w:rsid w:val="00BB6D31"/>
    <w:rsid w:val="00BD04DD"/>
    <w:rsid w:val="00C05372"/>
    <w:rsid w:val="00C70B6C"/>
    <w:rsid w:val="00CE2F04"/>
    <w:rsid w:val="00D913E2"/>
    <w:rsid w:val="00DB624A"/>
    <w:rsid w:val="00E34EC0"/>
    <w:rsid w:val="00E42F4E"/>
    <w:rsid w:val="00E76ACC"/>
    <w:rsid w:val="00EA15EB"/>
    <w:rsid w:val="00EF1222"/>
    <w:rsid w:val="00F21153"/>
    <w:rsid w:val="00F32A3A"/>
    <w:rsid w:val="00F60C03"/>
    <w:rsid w:val="00F623A2"/>
    <w:rsid w:val="00FB78DF"/>
    <w:rsid w:val="00FD48A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2.xml><?xml version="1.0" encoding="utf-8"?>
<ds:datastoreItem xmlns:ds="http://schemas.openxmlformats.org/officeDocument/2006/customXml" ds:itemID="{8B675EAA-C8DE-40A6-8797-DE9D1BE8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01DD26-FF9B-4245-96E7-1FB9CDBB23CB}">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873</Words>
  <Characters>4980</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Sara Filipe</cp:lastModifiedBy>
  <cp:revision>36</cp:revision>
  <dcterms:created xsi:type="dcterms:W3CDTF">2025-11-17T09:40:00Z</dcterms:created>
  <dcterms:modified xsi:type="dcterms:W3CDTF">2025-12-10T10:41:00Z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ies>
</file>