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59733" w14:textId="77777777" w:rsidR="00904B14" w:rsidRDefault="00904B14" w:rsidP="00624EAB">
      <w:pPr>
        <w:spacing w:line="240" w:lineRule="auto"/>
        <w:jc w:val="center"/>
        <w:rPr>
          <w:b/>
          <w:bCs/>
          <w:sz w:val="20"/>
          <w:szCs w:val="20"/>
        </w:rPr>
      </w:pPr>
      <w:r w:rsidRPr="00904B14">
        <w:rPr>
          <w:b/>
          <w:bCs/>
          <w:sz w:val="20"/>
          <w:szCs w:val="20"/>
        </w:rPr>
        <w:t>Nowe regulacje, nowe realia – co czeka rynek mieszkaniowy w 2026 roku?</w:t>
      </w:r>
    </w:p>
    <w:p w14:paraId="751E885E" w14:textId="77777777" w:rsidR="009F7C5E" w:rsidRPr="00904B14" w:rsidRDefault="009F7C5E" w:rsidP="00624EAB">
      <w:pPr>
        <w:spacing w:line="240" w:lineRule="auto"/>
        <w:jc w:val="center"/>
        <w:rPr>
          <w:b/>
          <w:bCs/>
          <w:sz w:val="20"/>
          <w:szCs w:val="20"/>
        </w:rPr>
      </w:pPr>
    </w:p>
    <w:p w14:paraId="3C26236B" w14:textId="5C8C9B1A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b/>
          <w:bCs/>
          <w:sz w:val="20"/>
          <w:szCs w:val="20"/>
        </w:rPr>
        <w:t xml:space="preserve">Wchodzące w życie </w:t>
      </w:r>
      <w:r w:rsidR="00FF1925">
        <w:rPr>
          <w:b/>
          <w:bCs/>
          <w:sz w:val="20"/>
          <w:szCs w:val="20"/>
        </w:rPr>
        <w:t>w 2026 roku zmiany legislacyjne</w:t>
      </w:r>
      <w:r w:rsidRPr="00904B14">
        <w:rPr>
          <w:b/>
          <w:bCs/>
          <w:sz w:val="20"/>
          <w:szCs w:val="20"/>
        </w:rPr>
        <w:t xml:space="preserve"> mogą wpłynąć na podaż, koszty inwestycji i ceny mieszkań. </w:t>
      </w:r>
      <w:r w:rsidR="00FF1925">
        <w:rPr>
          <w:b/>
          <w:bCs/>
          <w:sz w:val="20"/>
          <w:szCs w:val="20"/>
        </w:rPr>
        <w:t>R</w:t>
      </w:r>
      <w:r w:rsidR="00FF1925" w:rsidRPr="00CB221A">
        <w:rPr>
          <w:b/>
          <w:bCs/>
          <w:sz w:val="20"/>
          <w:szCs w:val="20"/>
        </w:rPr>
        <w:t>aport „</w:t>
      </w:r>
      <w:proofErr w:type="spellStart"/>
      <w:r w:rsidR="00FF1925" w:rsidRPr="00CB221A">
        <w:rPr>
          <w:b/>
          <w:bCs/>
          <w:sz w:val="20"/>
          <w:szCs w:val="20"/>
        </w:rPr>
        <w:t>Trends</w:t>
      </w:r>
      <w:proofErr w:type="spellEnd"/>
      <w:r w:rsidR="00FF1925" w:rsidRPr="00CB221A">
        <w:rPr>
          <w:b/>
          <w:bCs/>
          <w:sz w:val="20"/>
          <w:szCs w:val="20"/>
        </w:rPr>
        <w:t xml:space="preserve"> Radar” </w:t>
      </w:r>
      <w:r w:rsidR="00FF1925">
        <w:rPr>
          <w:b/>
          <w:bCs/>
          <w:sz w:val="20"/>
          <w:szCs w:val="20"/>
        </w:rPr>
        <w:t xml:space="preserve">międzynarodowej agencji doradczej </w:t>
      </w:r>
      <w:r w:rsidR="00FF1925" w:rsidRPr="00CB221A">
        <w:rPr>
          <w:b/>
          <w:bCs/>
          <w:sz w:val="20"/>
          <w:szCs w:val="20"/>
        </w:rPr>
        <w:t>Cushman &amp; Wakefield</w:t>
      </w:r>
      <w:r w:rsidR="00FF1925" w:rsidRPr="00904B14">
        <w:rPr>
          <w:b/>
          <w:bCs/>
          <w:sz w:val="20"/>
          <w:szCs w:val="20"/>
        </w:rPr>
        <w:t xml:space="preserve"> </w:t>
      </w:r>
      <w:r w:rsidRPr="00904B14">
        <w:rPr>
          <w:b/>
          <w:bCs/>
          <w:sz w:val="20"/>
          <w:szCs w:val="20"/>
        </w:rPr>
        <w:t>analizuj</w:t>
      </w:r>
      <w:r w:rsidR="00FF1925">
        <w:rPr>
          <w:b/>
          <w:bCs/>
          <w:sz w:val="20"/>
          <w:szCs w:val="20"/>
        </w:rPr>
        <w:t>e</w:t>
      </w:r>
      <w:r w:rsidRPr="00904B14">
        <w:rPr>
          <w:b/>
          <w:bCs/>
          <w:sz w:val="20"/>
          <w:szCs w:val="20"/>
        </w:rPr>
        <w:t xml:space="preserve"> możliwe skutki zmian oraz kondycję</w:t>
      </w:r>
      <w:r w:rsidR="00FF1925">
        <w:rPr>
          <w:b/>
          <w:bCs/>
          <w:sz w:val="20"/>
          <w:szCs w:val="20"/>
        </w:rPr>
        <w:t xml:space="preserve"> polskiego</w:t>
      </w:r>
      <w:r w:rsidRPr="00904B14">
        <w:rPr>
          <w:b/>
          <w:bCs/>
          <w:sz w:val="20"/>
          <w:szCs w:val="20"/>
        </w:rPr>
        <w:t xml:space="preserve"> rynku u progu 2026 roku.</w:t>
      </w:r>
    </w:p>
    <w:p w14:paraId="1E2999F0" w14:textId="2D76B137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sz w:val="20"/>
          <w:szCs w:val="20"/>
        </w:rPr>
        <w:t>Rok 2026 zapowiada się jako</w:t>
      </w:r>
      <w:r w:rsidR="00FF1925">
        <w:rPr>
          <w:sz w:val="20"/>
          <w:szCs w:val="20"/>
        </w:rPr>
        <w:t xml:space="preserve"> kolejny</w:t>
      </w:r>
      <w:r w:rsidRPr="00904B14">
        <w:rPr>
          <w:sz w:val="20"/>
          <w:szCs w:val="20"/>
        </w:rPr>
        <w:t xml:space="preserve"> punkt zwrotny dla rynku mieszkaniowego w Polsce. W życie wchodzą nowe regulacje – m.in. </w:t>
      </w:r>
      <w:r w:rsidR="0055030A">
        <w:rPr>
          <w:sz w:val="20"/>
          <w:szCs w:val="20"/>
        </w:rPr>
        <w:t xml:space="preserve">nowe obowiązki wynikające z </w:t>
      </w:r>
      <w:r w:rsidRPr="00904B14">
        <w:rPr>
          <w:sz w:val="20"/>
          <w:szCs w:val="20"/>
        </w:rPr>
        <w:t>ustaw</w:t>
      </w:r>
      <w:r w:rsidR="0055030A">
        <w:rPr>
          <w:sz w:val="20"/>
          <w:szCs w:val="20"/>
        </w:rPr>
        <w:t>y</w:t>
      </w:r>
      <w:r w:rsidRPr="00904B14">
        <w:rPr>
          <w:sz w:val="20"/>
          <w:szCs w:val="20"/>
        </w:rPr>
        <w:t xml:space="preserve"> o ochronie ludności oraz </w:t>
      </w:r>
      <w:r w:rsidR="0055030A" w:rsidRPr="00904B14">
        <w:rPr>
          <w:sz w:val="20"/>
          <w:szCs w:val="20"/>
        </w:rPr>
        <w:t>reform</w:t>
      </w:r>
      <w:r w:rsidR="0055030A">
        <w:rPr>
          <w:sz w:val="20"/>
          <w:szCs w:val="20"/>
        </w:rPr>
        <w:t>y</w:t>
      </w:r>
      <w:r w:rsidR="0055030A" w:rsidRPr="00904B14">
        <w:rPr>
          <w:sz w:val="20"/>
          <w:szCs w:val="20"/>
        </w:rPr>
        <w:t xml:space="preserve"> </w:t>
      </w:r>
      <w:r w:rsidRPr="00904B14">
        <w:rPr>
          <w:sz w:val="20"/>
          <w:szCs w:val="20"/>
        </w:rPr>
        <w:t xml:space="preserve">planowania przestrzennego – które mogą </w:t>
      </w:r>
      <w:r w:rsidR="0055030A">
        <w:rPr>
          <w:sz w:val="20"/>
          <w:szCs w:val="20"/>
        </w:rPr>
        <w:t>utrudnić</w:t>
      </w:r>
      <w:r w:rsidRPr="00904B14">
        <w:rPr>
          <w:sz w:val="20"/>
          <w:szCs w:val="20"/>
        </w:rPr>
        <w:t xml:space="preserve"> realizacj</w:t>
      </w:r>
      <w:r w:rsidR="001135E5">
        <w:rPr>
          <w:sz w:val="20"/>
          <w:szCs w:val="20"/>
        </w:rPr>
        <w:t>ę</w:t>
      </w:r>
      <w:r w:rsidRPr="00904B14">
        <w:rPr>
          <w:sz w:val="20"/>
          <w:szCs w:val="20"/>
        </w:rPr>
        <w:t xml:space="preserve"> inwestycji</w:t>
      </w:r>
      <w:r w:rsidR="0055030A">
        <w:rPr>
          <w:sz w:val="20"/>
          <w:szCs w:val="20"/>
        </w:rPr>
        <w:t xml:space="preserve"> i</w:t>
      </w:r>
      <w:r w:rsidR="001135E5">
        <w:rPr>
          <w:sz w:val="20"/>
          <w:szCs w:val="20"/>
        </w:rPr>
        <w:t xml:space="preserve"> </w:t>
      </w:r>
      <w:r w:rsidRPr="00904B14">
        <w:rPr>
          <w:sz w:val="20"/>
          <w:szCs w:val="20"/>
        </w:rPr>
        <w:t xml:space="preserve">wpłynąć na dostępność gruntów </w:t>
      </w:r>
      <w:r w:rsidR="001135E5">
        <w:rPr>
          <w:sz w:val="20"/>
          <w:szCs w:val="20"/>
        </w:rPr>
        <w:t xml:space="preserve">oraz </w:t>
      </w:r>
      <w:r w:rsidRPr="00904B14">
        <w:rPr>
          <w:sz w:val="20"/>
          <w:szCs w:val="20"/>
        </w:rPr>
        <w:t>poziom cen.</w:t>
      </w:r>
    </w:p>
    <w:p w14:paraId="3D034C67" w14:textId="455E017C" w:rsidR="00904B14" w:rsidRPr="00904B14" w:rsidRDefault="00FF1925" w:rsidP="00904B14">
      <w:pPr>
        <w:spacing w:line="240" w:lineRule="auto"/>
        <w:jc w:val="both"/>
        <w:rPr>
          <w:sz w:val="20"/>
          <w:szCs w:val="20"/>
        </w:rPr>
      </w:pPr>
      <w:r w:rsidRPr="00487836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04B14" w:rsidRPr="00904B14">
        <w:rPr>
          <w:i/>
          <w:iCs/>
          <w:sz w:val="20"/>
          <w:szCs w:val="20"/>
        </w:rPr>
        <w:t xml:space="preserve">Zarówno ustawa o ochronie ludności, jak i reforma planistyczna to zmiany potrzebne, ale </w:t>
      </w:r>
      <w:r w:rsidR="0055030A">
        <w:rPr>
          <w:i/>
          <w:iCs/>
          <w:sz w:val="20"/>
          <w:szCs w:val="20"/>
        </w:rPr>
        <w:t>trzymanie inwestorów w napięciu niemal do samego końca, co do ostatecznego kształtu regulacji</w:t>
      </w:r>
      <w:r w:rsidR="001135E5">
        <w:rPr>
          <w:i/>
          <w:iCs/>
          <w:sz w:val="20"/>
          <w:szCs w:val="20"/>
        </w:rPr>
        <w:t>,</w:t>
      </w:r>
      <w:r w:rsidR="0055030A">
        <w:rPr>
          <w:i/>
          <w:iCs/>
          <w:sz w:val="20"/>
          <w:szCs w:val="20"/>
        </w:rPr>
        <w:t xml:space="preserve"> jest </w:t>
      </w:r>
      <w:r w:rsidR="001135E5">
        <w:rPr>
          <w:i/>
          <w:iCs/>
          <w:sz w:val="20"/>
          <w:szCs w:val="20"/>
        </w:rPr>
        <w:t xml:space="preserve">dla nich </w:t>
      </w:r>
      <w:r w:rsidR="0055030A">
        <w:rPr>
          <w:i/>
          <w:iCs/>
          <w:sz w:val="20"/>
          <w:szCs w:val="20"/>
        </w:rPr>
        <w:t>bardzo angażujące</w:t>
      </w:r>
      <w:r w:rsidR="00904B14" w:rsidRPr="00904B14">
        <w:rPr>
          <w:i/>
          <w:iCs/>
          <w:sz w:val="20"/>
          <w:szCs w:val="20"/>
        </w:rPr>
        <w:t xml:space="preserve">. </w:t>
      </w:r>
      <w:r w:rsidR="0055030A">
        <w:rPr>
          <w:i/>
          <w:iCs/>
          <w:sz w:val="20"/>
          <w:szCs w:val="20"/>
        </w:rPr>
        <w:t>Wpływ wejścia w życie reformy planowania przestrzennego, któr</w:t>
      </w:r>
      <w:r w:rsidR="008C07B9">
        <w:rPr>
          <w:i/>
          <w:iCs/>
          <w:sz w:val="20"/>
          <w:szCs w:val="20"/>
        </w:rPr>
        <w:t>a</w:t>
      </w:r>
      <w:r w:rsidR="0055030A">
        <w:rPr>
          <w:i/>
          <w:iCs/>
          <w:sz w:val="20"/>
          <w:szCs w:val="20"/>
        </w:rPr>
        <w:t xml:space="preserve"> ma mieć miejsce w połowie 2026 roku,</w:t>
      </w:r>
      <w:r w:rsidR="00904B14" w:rsidRPr="00904B14">
        <w:rPr>
          <w:i/>
          <w:iCs/>
          <w:sz w:val="20"/>
          <w:szCs w:val="20"/>
        </w:rPr>
        <w:t xml:space="preserve"> </w:t>
      </w:r>
      <w:r w:rsidR="0055030A">
        <w:rPr>
          <w:i/>
          <w:iCs/>
          <w:sz w:val="20"/>
          <w:szCs w:val="20"/>
        </w:rPr>
        <w:t>może mieć przełożenie na przyszłą podaż i</w:t>
      </w:r>
      <w:r w:rsidR="00904B14" w:rsidRPr="00904B14">
        <w:rPr>
          <w:i/>
          <w:iCs/>
          <w:sz w:val="20"/>
          <w:szCs w:val="20"/>
        </w:rPr>
        <w:t xml:space="preserve"> zadecyduje o dynamice rynku w kolejnych latach</w:t>
      </w:r>
      <w:r>
        <w:rPr>
          <w:sz w:val="20"/>
          <w:szCs w:val="20"/>
        </w:rPr>
        <w:t xml:space="preserve"> </w:t>
      </w:r>
      <w:r w:rsidR="00904B14" w:rsidRPr="00904B14">
        <w:rPr>
          <w:sz w:val="20"/>
          <w:szCs w:val="20"/>
        </w:rPr>
        <w:t xml:space="preserve">– komentuje </w:t>
      </w:r>
      <w:r w:rsidR="00904B14" w:rsidRPr="00904B14">
        <w:rPr>
          <w:b/>
          <w:bCs/>
          <w:sz w:val="20"/>
          <w:szCs w:val="20"/>
        </w:rPr>
        <w:t xml:space="preserve">Karolina Furmańska, </w:t>
      </w:r>
      <w:proofErr w:type="spellStart"/>
      <w:r w:rsidRPr="00FF1925">
        <w:rPr>
          <w:b/>
          <w:bCs/>
          <w:sz w:val="20"/>
          <w:szCs w:val="20"/>
        </w:rPr>
        <w:t>Associate</w:t>
      </w:r>
      <w:proofErr w:type="spellEnd"/>
      <w:r w:rsidRPr="00FF1925">
        <w:rPr>
          <w:b/>
          <w:bCs/>
          <w:sz w:val="20"/>
          <w:szCs w:val="20"/>
        </w:rPr>
        <w:t xml:space="preserve">, </w:t>
      </w:r>
      <w:proofErr w:type="spellStart"/>
      <w:r w:rsidRPr="00FF1925">
        <w:rPr>
          <w:b/>
          <w:bCs/>
          <w:sz w:val="20"/>
          <w:szCs w:val="20"/>
        </w:rPr>
        <w:t>Living</w:t>
      </w:r>
      <w:proofErr w:type="spellEnd"/>
      <w:r w:rsidRPr="00FF1925">
        <w:rPr>
          <w:b/>
          <w:bCs/>
          <w:sz w:val="20"/>
          <w:szCs w:val="20"/>
        </w:rPr>
        <w:t xml:space="preserve"> </w:t>
      </w:r>
      <w:proofErr w:type="spellStart"/>
      <w:r w:rsidRPr="00FF1925">
        <w:rPr>
          <w:b/>
          <w:bCs/>
          <w:sz w:val="20"/>
          <w:szCs w:val="20"/>
        </w:rPr>
        <w:t>Sector</w:t>
      </w:r>
      <w:proofErr w:type="spellEnd"/>
      <w:r w:rsidRPr="00FF1925">
        <w:rPr>
          <w:b/>
          <w:bCs/>
          <w:sz w:val="20"/>
          <w:szCs w:val="20"/>
        </w:rPr>
        <w:t xml:space="preserve">, </w:t>
      </w:r>
      <w:proofErr w:type="spellStart"/>
      <w:r w:rsidRPr="00FF1925">
        <w:rPr>
          <w:b/>
          <w:bCs/>
          <w:sz w:val="20"/>
          <w:szCs w:val="20"/>
        </w:rPr>
        <w:t>Cushman</w:t>
      </w:r>
      <w:proofErr w:type="spellEnd"/>
      <w:r w:rsidRPr="00FF1925">
        <w:rPr>
          <w:b/>
          <w:bCs/>
          <w:sz w:val="20"/>
          <w:szCs w:val="20"/>
        </w:rPr>
        <w:t xml:space="preserve"> &amp; Wakefield</w:t>
      </w:r>
      <w:r w:rsidR="00904B14" w:rsidRPr="00904B14">
        <w:rPr>
          <w:sz w:val="20"/>
          <w:szCs w:val="20"/>
        </w:rPr>
        <w:t>.</w:t>
      </w:r>
    </w:p>
    <w:p w14:paraId="2FFA5CC4" w14:textId="5620F177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sz w:val="20"/>
          <w:szCs w:val="20"/>
        </w:rPr>
        <w:t>Od 1 stycznia 2026 r</w:t>
      </w:r>
      <w:r w:rsidR="00FF1925">
        <w:rPr>
          <w:sz w:val="20"/>
          <w:szCs w:val="20"/>
        </w:rPr>
        <w:t xml:space="preserve">oku </w:t>
      </w:r>
      <w:r w:rsidRPr="00904B14">
        <w:rPr>
          <w:sz w:val="20"/>
          <w:szCs w:val="20"/>
        </w:rPr>
        <w:t>wszystkie nowe inwestycje mieszkaniowe będą musiały uwzględniać miejsce doraźnego schronienia w razie zagrożenia. Koszty realizacji tych rozwiązań mogą wynieść od 2 do nawet 5% całkowitego kosztu inwestycji. Przewidziano wprawdzie mechanizm refundacji z budżetu państwa, jednak niepełne dofinansowanie może zostać przerzucone na nabywców mieszkań – zwłaszcza w projektach o podwyższonym standardzie</w:t>
      </w:r>
      <w:r w:rsidR="0055030A">
        <w:rPr>
          <w:sz w:val="20"/>
          <w:szCs w:val="20"/>
        </w:rPr>
        <w:t xml:space="preserve"> bezpieczeństwa</w:t>
      </w:r>
      <w:r w:rsidRPr="00904B14">
        <w:rPr>
          <w:sz w:val="20"/>
          <w:szCs w:val="20"/>
        </w:rPr>
        <w:t>.</w:t>
      </w:r>
    </w:p>
    <w:p w14:paraId="32C58C64" w14:textId="5D73A0D9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sz w:val="20"/>
          <w:szCs w:val="20"/>
        </w:rPr>
        <w:t xml:space="preserve">Również reforma planowania przestrzennego, która zacznie obowiązywać w pełni od czerwca </w:t>
      </w:r>
      <w:r w:rsidR="0055030A">
        <w:rPr>
          <w:sz w:val="20"/>
          <w:szCs w:val="20"/>
        </w:rPr>
        <w:t xml:space="preserve">2026 </w:t>
      </w:r>
      <w:r w:rsidR="00FF1925">
        <w:rPr>
          <w:sz w:val="20"/>
          <w:szCs w:val="20"/>
        </w:rPr>
        <w:t>roku,</w:t>
      </w:r>
      <w:r w:rsidRPr="00904B14">
        <w:rPr>
          <w:sz w:val="20"/>
          <w:szCs w:val="20"/>
        </w:rPr>
        <w:t xml:space="preserve"> niesie poważne implikacje dla branży. Mimo że</w:t>
      </w:r>
      <w:r w:rsidR="0055030A">
        <w:rPr>
          <w:sz w:val="20"/>
          <w:szCs w:val="20"/>
        </w:rPr>
        <w:t xml:space="preserve"> w założeniu</w:t>
      </w:r>
      <w:r w:rsidRPr="00904B14">
        <w:rPr>
          <w:sz w:val="20"/>
          <w:szCs w:val="20"/>
        </w:rPr>
        <w:t xml:space="preserve"> jej celem </w:t>
      </w:r>
      <w:r w:rsidR="0055030A">
        <w:rPr>
          <w:sz w:val="20"/>
          <w:szCs w:val="20"/>
        </w:rPr>
        <w:t xml:space="preserve">było </w:t>
      </w:r>
      <w:r w:rsidRPr="00904B14">
        <w:rPr>
          <w:sz w:val="20"/>
          <w:szCs w:val="20"/>
        </w:rPr>
        <w:t>ograniczenie chaosu przestrzennego</w:t>
      </w:r>
      <w:r w:rsidR="0055030A">
        <w:rPr>
          <w:sz w:val="20"/>
          <w:szCs w:val="20"/>
        </w:rPr>
        <w:t xml:space="preserve"> i rozlewania się miast </w:t>
      </w:r>
      <w:r w:rsidR="001135E5">
        <w:rPr>
          <w:sz w:val="20"/>
          <w:szCs w:val="20"/>
        </w:rPr>
        <w:t>oraz</w:t>
      </w:r>
      <w:r w:rsidR="0055030A">
        <w:rPr>
          <w:sz w:val="20"/>
          <w:szCs w:val="20"/>
        </w:rPr>
        <w:t xml:space="preserve"> kosztów z tym związanych,</w:t>
      </w:r>
      <w:r w:rsidRPr="00904B14">
        <w:rPr>
          <w:sz w:val="20"/>
          <w:szCs w:val="20"/>
        </w:rPr>
        <w:t xml:space="preserve"> towarzyszy jej </w:t>
      </w:r>
      <w:r w:rsidR="00FF1925">
        <w:rPr>
          <w:sz w:val="20"/>
          <w:szCs w:val="20"/>
        </w:rPr>
        <w:t>legislacyjne zamiesz</w:t>
      </w:r>
      <w:r w:rsidR="001135E5">
        <w:rPr>
          <w:sz w:val="20"/>
          <w:szCs w:val="20"/>
        </w:rPr>
        <w:t>anie</w:t>
      </w:r>
      <w:r w:rsidR="00FF1925">
        <w:rPr>
          <w:sz w:val="20"/>
          <w:szCs w:val="20"/>
        </w:rPr>
        <w:t>.</w:t>
      </w:r>
      <w:r w:rsidRPr="00904B14">
        <w:rPr>
          <w:sz w:val="20"/>
          <w:szCs w:val="20"/>
        </w:rPr>
        <w:t xml:space="preserve"> Równolegle procedowane są </w:t>
      </w:r>
      <w:r w:rsidR="0055030A">
        <w:rPr>
          <w:sz w:val="20"/>
          <w:szCs w:val="20"/>
        </w:rPr>
        <w:t xml:space="preserve">aż </w:t>
      </w:r>
      <w:r w:rsidRPr="00904B14">
        <w:rPr>
          <w:sz w:val="20"/>
          <w:szCs w:val="20"/>
        </w:rPr>
        <w:t xml:space="preserve">trzy nowelizacje </w:t>
      </w:r>
      <w:r w:rsidR="0055030A">
        <w:rPr>
          <w:sz w:val="20"/>
          <w:szCs w:val="20"/>
        </w:rPr>
        <w:t xml:space="preserve">tej jednej </w:t>
      </w:r>
      <w:r w:rsidRPr="00904B14">
        <w:rPr>
          <w:sz w:val="20"/>
          <w:szCs w:val="20"/>
        </w:rPr>
        <w:t xml:space="preserve">ustawy, co wprowadza niepewność interpretacyjną i utrudnia przygotowania </w:t>
      </w:r>
      <w:r w:rsidR="0055030A">
        <w:rPr>
          <w:sz w:val="20"/>
          <w:szCs w:val="20"/>
        </w:rPr>
        <w:t>nie tylko po stronie inwestorów, ale przede wszystkim samorządów, które tę ustawę muszą wdrożyć</w:t>
      </w:r>
      <w:r w:rsidR="001135E5">
        <w:rPr>
          <w:sz w:val="20"/>
          <w:szCs w:val="20"/>
        </w:rPr>
        <w:t>,</w:t>
      </w:r>
      <w:r w:rsidR="0055030A">
        <w:rPr>
          <w:sz w:val="20"/>
          <w:szCs w:val="20"/>
        </w:rPr>
        <w:t xml:space="preserve"> a dokumenty planistyczne uchwalić. </w:t>
      </w:r>
    </w:p>
    <w:p w14:paraId="5FA7B337" w14:textId="1E50A366" w:rsidR="00904B14" w:rsidRPr="00904B14" w:rsidRDefault="00FF1925" w:rsidP="000D580D">
      <w:pPr>
        <w:spacing w:line="240" w:lineRule="auto"/>
        <w:jc w:val="both"/>
        <w:rPr>
          <w:sz w:val="20"/>
          <w:szCs w:val="20"/>
        </w:rPr>
      </w:pPr>
      <w:r w:rsidRPr="00487836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04B14" w:rsidRPr="00904B14">
        <w:rPr>
          <w:i/>
          <w:iCs/>
          <w:sz w:val="20"/>
          <w:szCs w:val="20"/>
        </w:rPr>
        <w:t>Z jednej strony, intencje ustawodawcy są słuszne</w:t>
      </w:r>
      <w:r w:rsidR="001135E5">
        <w:rPr>
          <w:i/>
          <w:iCs/>
          <w:sz w:val="20"/>
          <w:szCs w:val="20"/>
        </w:rPr>
        <w:t>. U</w:t>
      </w:r>
      <w:r w:rsidR="0055030A">
        <w:rPr>
          <w:i/>
          <w:iCs/>
          <w:sz w:val="20"/>
          <w:szCs w:val="20"/>
        </w:rPr>
        <w:t>stawa o plan</w:t>
      </w:r>
      <w:r w:rsidR="000D580D">
        <w:rPr>
          <w:i/>
          <w:iCs/>
          <w:sz w:val="20"/>
          <w:szCs w:val="20"/>
        </w:rPr>
        <w:t>owan</w:t>
      </w:r>
      <w:r w:rsidR="0055030A">
        <w:rPr>
          <w:i/>
          <w:iCs/>
          <w:sz w:val="20"/>
          <w:szCs w:val="20"/>
        </w:rPr>
        <w:t xml:space="preserve">iu i zagospodarowaniu przestrzennym </w:t>
      </w:r>
      <w:r w:rsidR="000D580D">
        <w:rPr>
          <w:i/>
          <w:iCs/>
          <w:sz w:val="20"/>
          <w:szCs w:val="20"/>
        </w:rPr>
        <w:t xml:space="preserve">z 2003 roku </w:t>
      </w:r>
      <w:r w:rsidR="0055030A">
        <w:rPr>
          <w:i/>
          <w:iCs/>
          <w:sz w:val="20"/>
          <w:szCs w:val="20"/>
        </w:rPr>
        <w:t>była bardzo niedoskonała</w:t>
      </w:r>
      <w:r w:rsidR="001135E5">
        <w:rPr>
          <w:i/>
          <w:iCs/>
          <w:sz w:val="20"/>
          <w:szCs w:val="20"/>
        </w:rPr>
        <w:t xml:space="preserve"> i</w:t>
      </w:r>
      <w:r w:rsidR="0055030A">
        <w:rPr>
          <w:i/>
          <w:iCs/>
          <w:sz w:val="20"/>
          <w:szCs w:val="20"/>
        </w:rPr>
        <w:t xml:space="preserve"> to prawda, że potrzebujemy większego ładu przestrzennego</w:t>
      </w:r>
      <w:r w:rsidR="000D580D">
        <w:rPr>
          <w:i/>
          <w:iCs/>
          <w:sz w:val="20"/>
          <w:szCs w:val="20"/>
        </w:rPr>
        <w:t>, a zjawisko rozlewania się miast kosztuje nas każdego roku krocie</w:t>
      </w:r>
      <w:r w:rsidR="001135E5">
        <w:rPr>
          <w:i/>
          <w:iCs/>
          <w:sz w:val="20"/>
          <w:szCs w:val="20"/>
        </w:rPr>
        <w:t xml:space="preserve">. Jednak </w:t>
      </w:r>
      <w:r w:rsidR="000D580D">
        <w:rPr>
          <w:i/>
          <w:iCs/>
          <w:sz w:val="20"/>
          <w:szCs w:val="20"/>
        </w:rPr>
        <w:t>z</w:t>
      </w:r>
      <w:r w:rsidR="00904B14" w:rsidRPr="00904B14">
        <w:rPr>
          <w:i/>
          <w:iCs/>
          <w:sz w:val="20"/>
          <w:szCs w:val="20"/>
        </w:rPr>
        <w:t xml:space="preserve"> drugiej </w:t>
      </w:r>
      <w:r w:rsidR="000D580D">
        <w:rPr>
          <w:i/>
          <w:iCs/>
          <w:sz w:val="20"/>
          <w:szCs w:val="20"/>
        </w:rPr>
        <w:t xml:space="preserve">strony zmiany wprowadzane są chaotycznie, są trudne do śledzenia nawet dla profesjonalistów, </w:t>
      </w:r>
      <w:r w:rsidR="001135E5">
        <w:rPr>
          <w:i/>
          <w:iCs/>
          <w:sz w:val="20"/>
          <w:szCs w:val="20"/>
        </w:rPr>
        <w:t xml:space="preserve">a </w:t>
      </w:r>
      <w:r w:rsidR="000D580D">
        <w:rPr>
          <w:i/>
          <w:iCs/>
          <w:sz w:val="20"/>
          <w:szCs w:val="20"/>
        </w:rPr>
        <w:t xml:space="preserve">w najgorszym razie </w:t>
      </w:r>
      <w:r w:rsidR="001135E5">
        <w:rPr>
          <w:i/>
          <w:iCs/>
          <w:sz w:val="20"/>
          <w:szCs w:val="20"/>
        </w:rPr>
        <w:t>ł</w:t>
      </w:r>
      <w:r w:rsidR="001135E5" w:rsidRPr="001135E5">
        <w:rPr>
          <w:i/>
          <w:iCs/>
          <w:sz w:val="20"/>
          <w:szCs w:val="20"/>
        </w:rPr>
        <w:t>atając kolejną dziurę, możemy skończyć jak 20 lat temu – niewiele poprawimy, ryzykujemy pogorszenie sytuacji, a zmiana może nas słono kosztować</w:t>
      </w:r>
      <w:r w:rsidR="001135E5">
        <w:rPr>
          <w:i/>
          <w:iCs/>
          <w:sz w:val="20"/>
          <w:szCs w:val="20"/>
        </w:rPr>
        <w:t xml:space="preserve"> </w:t>
      </w:r>
      <w:r w:rsidR="00904B14" w:rsidRPr="00904B14">
        <w:rPr>
          <w:sz w:val="20"/>
          <w:szCs w:val="20"/>
        </w:rPr>
        <w:t xml:space="preserve">– zauważa </w:t>
      </w:r>
      <w:r w:rsidR="00904B14" w:rsidRPr="00904B14">
        <w:rPr>
          <w:b/>
          <w:bCs/>
          <w:sz w:val="20"/>
          <w:szCs w:val="20"/>
        </w:rPr>
        <w:t>Karolina Furmańska</w:t>
      </w:r>
      <w:r w:rsidR="00904B14" w:rsidRPr="00904B14">
        <w:rPr>
          <w:sz w:val="20"/>
          <w:szCs w:val="20"/>
        </w:rPr>
        <w:t>.</w:t>
      </w:r>
    </w:p>
    <w:p w14:paraId="3F932B7C" w14:textId="77777777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b/>
          <w:bCs/>
          <w:sz w:val="20"/>
          <w:szCs w:val="20"/>
        </w:rPr>
        <w:t>Ceny mieszkań ustabilizowane, ale presja może powrócić</w:t>
      </w:r>
    </w:p>
    <w:p w14:paraId="0BF7FA1C" w14:textId="0ED6F130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sz w:val="20"/>
          <w:szCs w:val="20"/>
        </w:rPr>
        <w:t>Po dynamicznych wzrostach w latach 2022–2023, napędzanych m.in. przez program „Bezpieczny kredyt 2%”, ceny mieszkań w Polsce ustabilizowały się. Według danych Otodom Analytics, od II do III kwartału 2025 r</w:t>
      </w:r>
      <w:r w:rsidR="00FF1925">
        <w:rPr>
          <w:sz w:val="20"/>
          <w:szCs w:val="20"/>
        </w:rPr>
        <w:t>oku</w:t>
      </w:r>
      <w:r w:rsidRPr="00904B14">
        <w:rPr>
          <w:sz w:val="20"/>
          <w:szCs w:val="20"/>
        </w:rPr>
        <w:t xml:space="preserve"> kwartalny wzrost cen w Warszawie wyniósł jedynie 0,1%, a w Krakowie – 1,6%. Łączna oferta mieszkań na rynku pierwotnym utrzymuje się na stabilnym poziomie – ponad 62 tys., z czego aż 15 tys. w samej Warszawie.</w:t>
      </w:r>
    </w:p>
    <w:p w14:paraId="4342B147" w14:textId="6A44F72E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sz w:val="20"/>
          <w:szCs w:val="20"/>
        </w:rPr>
        <w:lastRenderedPageBreak/>
        <w:t xml:space="preserve">Sprzedaż mieszkań wciąż pozostaje </w:t>
      </w:r>
      <w:r w:rsidR="000D580D">
        <w:rPr>
          <w:sz w:val="20"/>
          <w:szCs w:val="20"/>
        </w:rPr>
        <w:t xml:space="preserve">stosunkowo </w:t>
      </w:r>
      <w:r w:rsidRPr="00904B14">
        <w:rPr>
          <w:sz w:val="20"/>
          <w:szCs w:val="20"/>
        </w:rPr>
        <w:t xml:space="preserve">wysoka – </w:t>
      </w:r>
      <w:r w:rsidR="001135E5">
        <w:rPr>
          <w:sz w:val="20"/>
          <w:szCs w:val="20"/>
        </w:rPr>
        <w:t>według danych dane Otodom Analytics,</w:t>
      </w:r>
      <w:r w:rsidR="001135E5" w:rsidRPr="00904B14">
        <w:rPr>
          <w:sz w:val="20"/>
          <w:szCs w:val="20"/>
        </w:rPr>
        <w:t xml:space="preserve"> </w:t>
      </w:r>
      <w:r w:rsidRPr="00904B14">
        <w:rPr>
          <w:sz w:val="20"/>
          <w:szCs w:val="20"/>
        </w:rPr>
        <w:t xml:space="preserve">do końca sierpnia </w:t>
      </w:r>
      <w:r w:rsidR="00FF1925">
        <w:rPr>
          <w:sz w:val="20"/>
          <w:szCs w:val="20"/>
        </w:rPr>
        <w:t>tego roku</w:t>
      </w:r>
      <w:r w:rsidRPr="00904B14">
        <w:rPr>
          <w:sz w:val="20"/>
          <w:szCs w:val="20"/>
        </w:rPr>
        <w:t xml:space="preserve"> na siedmiu największych rynkach sprzedano blisko 24,7 tys. lokali. Jednocześnie obowiązek publikowania cen wszystkich mieszkań od 11 września 2025 r</w:t>
      </w:r>
      <w:r w:rsidR="00924CF6">
        <w:rPr>
          <w:sz w:val="20"/>
          <w:szCs w:val="20"/>
        </w:rPr>
        <w:t>oku</w:t>
      </w:r>
      <w:r w:rsidRPr="00904B14">
        <w:rPr>
          <w:sz w:val="20"/>
          <w:szCs w:val="20"/>
        </w:rPr>
        <w:t xml:space="preserve"> zwiększył transparentność rynku i ułatwia kupującym podejmowanie decyzji.</w:t>
      </w:r>
    </w:p>
    <w:p w14:paraId="54989B3C" w14:textId="06E5D445" w:rsidR="005F5DE3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sz w:val="20"/>
          <w:szCs w:val="20"/>
        </w:rPr>
        <w:t>Po</w:t>
      </w:r>
      <w:r w:rsidR="005F5DE3">
        <w:rPr>
          <w:sz w:val="20"/>
          <w:szCs w:val="20"/>
        </w:rPr>
        <w:t>nadto</w:t>
      </w:r>
      <w:r w:rsidRPr="00904B14">
        <w:rPr>
          <w:sz w:val="20"/>
          <w:szCs w:val="20"/>
        </w:rPr>
        <w:t xml:space="preserve"> </w:t>
      </w:r>
      <w:r w:rsidR="00924CF6">
        <w:rPr>
          <w:sz w:val="20"/>
          <w:szCs w:val="20"/>
        </w:rPr>
        <w:t xml:space="preserve">po </w:t>
      </w:r>
      <w:r w:rsidRPr="00904B14">
        <w:rPr>
          <w:sz w:val="20"/>
          <w:szCs w:val="20"/>
        </w:rPr>
        <w:t xml:space="preserve">stronie finansowania widać coraz większą aktywność kredytobiorców. </w:t>
      </w:r>
    </w:p>
    <w:p w14:paraId="0C452382" w14:textId="426BC8BD" w:rsidR="00904B14" w:rsidRPr="00904B14" w:rsidRDefault="005F5DE3" w:rsidP="00904B14">
      <w:pPr>
        <w:spacing w:line="240" w:lineRule="auto"/>
        <w:jc w:val="both"/>
        <w:rPr>
          <w:b/>
          <w:bCs/>
          <w:sz w:val="20"/>
          <w:szCs w:val="20"/>
        </w:rPr>
      </w:pPr>
      <w:r w:rsidRPr="00904B14">
        <w:rPr>
          <w:sz w:val="20"/>
          <w:szCs w:val="20"/>
        </w:rPr>
        <w:t>–</w:t>
      </w:r>
      <w:r w:rsidR="008C07B9">
        <w:rPr>
          <w:sz w:val="20"/>
          <w:szCs w:val="20"/>
        </w:rPr>
        <w:t xml:space="preserve"> </w:t>
      </w:r>
      <w:r w:rsidR="00904B14" w:rsidRPr="00904B14">
        <w:rPr>
          <w:i/>
          <w:iCs/>
          <w:sz w:val="20"/>
          <w:szCs w:val="20"/>
        </w:rPr>
        <w:t xml:space="preserve">W obliczu </w:t>
      </w:r>
      <w:r w:rsidR="000D580D">
        <w:rPr>
          <w:i/>
          <w:iCs/>
          <w:sz w:val="20"/>
          <w:szCs w:val="20"/>
        </w:rPr>
        <w:t>spadających</w:t>
      </w:r>
      <w:r w:rsidR="000D580D" w:rsidRPr="00904B14">
        <w:rPr>
          <w:i/>
          <w:iCs/>
          <w:sz w:val="20"/>
          <w:szCs w:val="20"/>
        </w:rPr>
        <w:t xml:space="preserve"> </w:t>
      </w:r>
      <w:r w:rsidR="00904B14" w:rsidRPr="00904B14">
        <w:rPr>
          <w:i/>
          <w:iCs/>
          <w:sz w:val="20"/>
          <w:szCs w:val="20"/>
        </w:rPr>
        <w:t xml:space="preserve">stóp procentowych, wysokiej </w:t>
      </w:r>
      <w:r w:rsidR="000D580D">
        <w:rPr>
          <w:i/>
          <w:iCs/>
          <w:sz w:val="20"/>
          <w:szCs w:val="20"/>
        </w:rPr>
        <w:t xml:space="preserve">oferty i stabilnej </w:t>
      </w:r>
      <w:r w:rsidR="00904B14" w:rsidRPr="00904B14">
        <w:rPr>
          <w:i/>
          <w:iCs/>
          <w:sz w:val="20"/>
          <w:szCs w:val="20"/>
        </w:rPr>
        <w:t>podaży mieszkań i nadal rosnących wynagrodzeń, prognozowane jest dalsze odbudowywanie rynku kredytowego</w:t>
      </w:r>
      <w:r>
        <w:rPr>
          <w:sz w:val="20"/>
          <w:szCs w:val="20"/>
        </w:rPr>
        <w:t xml:space="preserve"> </w:t>
      </w:r>
      <w:r w:rsidRPr="00904B14">
        <w:rPr>
          <w:sz w:val="20"/>
          <w:szCs w:val="20"/>
        </w:rPr>
        <w:t>–</w:t>
      </w:r>
      <w:r>
        <w:rPr>
          <w:sz w:val="20"/>
          <w:szCs w:val="20"/>
        </w:rPr>
        <w:t xml:space="preserve"> dodaje </w:t>
      </w:r>
      <w:r w:rsidRPr="005F5DE3">
        <w:rPr>
          <w:b/>
          <w:bCs/>
          <w:sz w:val="20"/>
          <w:szCs w:val="20"/>
        </w:rPr>
        <w:t>Karolina Furmańska.</w:t>
      </w:r>
    </w:p>
    <w:p w14:paraId="536FE09B" w14:textId="7B887E08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1135E5">
        <w:rPr>
          <w:sz w:val="20"/>
          <w:szCs w:val="20"/>
        </w:rPr>
        <w:t>Na rynku najmu obserw</w:t>
      </w:r>
      <w:r w:rsidR="005F5DE3" w:rsidRPr="001135E5">
        <w:rPr>
          <w:sz w:val="20"/>
          <w:szCs w:val="20"/>
        </w:rPr>
        <w:t>owan</w:t>
      </w:r>
      <w:r w:rsidR="000D580D" w:rsidRPr="001135E5">
        <w:rPr>
          <w:sz w:val="20"/>
          <w:szCs w:val="20"/>
        </w:rPr>
        <w:t>a</w:t>
      </w:r>
      <w:r w:rsidR="005F5DE3" w:rsidRPr="001135E5">
        <w:rPr>
          <w:sz w:val="20"/>
          <w:szCs w:val="20"/>
        </w:rPr>
        <w:t xml:space="preserve"> jest</w:t>
      </w:r>
      <w:r w:rsidRPr="001135E5">
        <w:rPr>
          <w:sz w:val="20"/>
          <w:szCs w:val="20"/>
        </w:rPr>
        <w:t xml:space="preserve"> </w:t>
      </w:r>
      <w:r w:rsidR="000D580D" w:rsidRPr="001135E5">
        <w:rPr>
          <w:sz w:val="20"/>
          <w:szCs w:val="20"/>
        </w:rPr>
        <w:t>stabilizacja po fazie gwałtownych wzrostów w poprzednich latach</w:t>
      </w:r>
      <w:r w:rsidRPr="001135E5">
        <w:rPr>
          <w:sz w:val="20"/>
          <w:szCs w:val="20"/>
        </w:rPr>
        <w:t xml:space="preserve"> – średnie czynsze rosną w tempie ok. 2% r/r. Jednocześnie</w:t>
      </w:r>
      <w:r w:rsidR="000D580D" w:rsidRPr="001135E5">
        <w:rPr>
          <w:sz w:val="20"/>
          <w:szCs w:val="20"/>
        </w:rPr>
        <w:t xml:space="preserve"> popyt na najem nadal jest wysoki, a poziomy obłożenia wysokie.</w:t>
      </w:r>
      <w:r w:rsidRPr="001135E5">
        <w:rPr>
          <w:sz w:val="20"/>
          <w:szCs w:val="20"/>
        </w:rPr>
        <w:t xml:space="preserve"> utrzymują się wysokie poziomy </w:t>
      </w:r>
      <w:r w:rsidR="000D580D" w:rsidRPr="001135E5">
        <w:rPr>
          <w:sz w:val="20"/>
          <w:szCs w:val="20"/>
        </w:rPr>
        <w:t xml:space="preserve">obłożenia </w:t>
      </w:r>
      <w:r w:rsidRPr="001135E5">
        <w:rPr>
          <w:sz w:val="20"/>
          <w:szCs w:val="20"/>
        </w:rPr>
        <w:t>– zarówno w dużych miastach, jak i ich aglomeracjach.</w:t>
      </w:r>
    </w:p>
    <w:p w14:paraId="060884DC" w14:textId="77777777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b/>
          <w:bCs/>
          <w:sz w:val="20"/>
          <w:szCs w:val="20"/>
        </w:rPr>
        <w:t>PRS i prywatne akademiki: segmenty w fazie przejściowej</w:t>
      </w:r>
    </w:p>
    <w:p w14:paraId="0FDDAAA4" w14:textId="4560B84B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sz w:val="20"/>
          <w:szCs w:val="20"/>
        </w:rPr>
        <w:t xml:space="preserve">Sektor najmu instytucjonalnego (PRS) znajduje się obecnie w fazie stabilizacji. </w:t>
      </w:r>
      <w:r w:rsidR="000D580D">
        <w:rPr>
          <w:sz w:val="20"/>
          <w:szCs w:val="20"/>
        </w:rPr>
        <w:t xml:space="preserve">W trzecim kwartale zanotowano </w:t>
      </w:r>
      <w:r w:rsidRPr="00904B14">
        <w:rPr>
          <w:sz w:val="20"/>
          <w:szCs w:val="20"/>
        </w:rPr>
        <w:t xml:space="preserve">największą w historii transakcję w tym segmencie – zakup 18 projektów Resi4Rent przez TAG </w:t>
      </w:r>
      <w:proofErr w:type="spellStart"/>
      <w:r w:rsidRPr="00904B14">
        <w:rPr>
          <w:sz w:val="20"/>
          <w:szCs w:val="20"/>
        </w:rPr>
        <w:t>Immobilien</w:t>
      </w:r>
      <w:proofErr w:type="spellEnd"/>
      <w:r w:rsidRPr="00904B14">
        <w:rPr>
          <w:sz w:val="20"/>
          <w:szCs w:val="20"/>
        </w:rPr>
        <w:t xml:space="preserve"> </w:t>
      </w:r>
      <w:proofErr w:type="spellStart"/>
      <w:r w:rsidRPr="00904B14">
        <w:rPr>
          <w:sz w:val="20"/>
          <w:szCs w:val="20"/>
        </w:rPr>
        <w:t>Group</w:t>
      </w:r>
      <w:proofErr w:type="spellEnd"/>
      <w:r w:rsidR="000D580D">
        <w:rPr>
          <w:sz w:val="20"/>
          <w:szCs w:val="20"/>
        </w:rPr>
        <w:t>, obecnie brak jeszcze zgody UOKiK na zamknięcie transakcji</w:t>
      </w:r>
      <w:r w:rsidRPr="00904B14">
        <w:rPr>
          <w:sz w:val="20"/>
          <w:szCs w:val="20"/>
        </w:rPr>
        <w:t xml:space="preserve">. </w:t>
      </w:r>
      <w:r w:rsidR="000D580D">
        <w:rPr>
          <w:sz w:val="20"/>
          <w:szCs w:val="20"/>
        </w:rPr>
        <w:t>Są także inwestorzy, którzy zdecydowali się zamiast na sprzedaż projektów, wyjście na rynek i zbycie nieruchomości do indywidualnych kupujących</w:t>
      </w:r>
      <w:proofErr w:type="gramStart"/>
      <w:r w:rsidR="000D580D">
        <w:rPr>
          <w:sz w:val="20"/>
          <w:szCs w:val="20"/>
        </w:rPr>
        <w:t xml:space="preserve">. </w:t>
      </w:r>
      <w:r w:rsidRPr="00904B14">
        <w:rPr>
          <w:sz w:val="20"/>
          <w:szCs w:val="20"/>
        </w:rPr>
        <w:t>.</w:t>
      </w:r>
      <w:proofErr w:type="gramEnd"/>
      <w:r w:rsidRPr="00904B14">
        <w:rPr>
          <w:sz w:val="20"/>
          <w:szCs w:val="20"/>
        </w:rPr>
        <w:t xml:space="preserve"> Jednocześnie widoczny jest dalszy rozwój sektora – inwestorzy zabezpieczają grunty pod przyszłe projekty.</w:t>
      </w:r>
    </w:p>
    <w:p w14:paraId="45E80A54" w14:textId="3C00DA92" w:rsidR="00904B14" w:rsidRPr="00904B14" w:rsidRDefault="00624EAB" w:rsidP="00904B14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– </w:t>
      </w:r>
      <w:r w:rsidR="00904B14" w:rsidRPr="00904B14">
        <w:rPr>
          <w:i/>
          <w:iCs/>
          <w:sz w:val="20"/>
          <w:szCs w:val="20"/>
        </w:rPr>
        <w:t xml:space="preserve">Podobny wzrost widoczny jest w segmencie </w:t>
      </w:r>
      <w:r w:rsidR="005F5DE3" w:rsidRPr="00904B14">
        <w:rPr>
          <w:i/>
          <w:iCs/>
          <w:sz w:val="20"/>
          <w:szCs w:val="20"/>
        </w:rPr>
        <w:t>PBSA</w:t>
      </w:r>
      <w:r w:rsidR="005F5DE3" w:rsidRPr="00624EAB">
        <w:rPr>
          <w:i/>
          <w:iCs/>
          <w:sz w:val="20"/>
          <w:szCs w:val="20"/>
        </w:rPr>
        <w:t xml:space="preserve">, czyli </w:t>
      </w:r>
      <w:r w:rsidR="00904B14" w:rsidRPr="00904B14">
        <w:rPr>
          <w:i/>
          <w:iCs/>
          <w:sz w:val="20"/>
          <w:szCs w:val="20"/>
        </w:rPr>
        <w:t xml:space="preserve">prywatnych akademików. Liczba studentów w Polsce wzrosła do ponad 1,28 mln, w tym 108,6 tys. </w:t>
      </w:r>
      <w:r w:rsidR="00924CF6">
        <w:rPr>
          <w:i/>
          <w:iCs/>
          <w:sz w:val="20"/>
          <w:szCs w:val="20"/>
        </w:rPr>
        <w:t xml:space="preserve">to </w:t>
      </w:r>
      <w:r w:rsidR="00904B14" w:rsidRPr="00904B14">
        <w:rPr>
          <w:i/>
          <w:iCs/>
          <w:sz w:val="20"/>
          <w:szCs w:val="20"/>
        </w:rPr>
        <w:t>stude</w:t>
      </w:r>
      <w:r w:rsidR="00924CF6">
        <w:rPr>
          <w:i/>
          <w:iCs/>
          <w:sz w:val="20"/>
          <w:szCs w:val="20"/>
        </w:rPr>
        <w:t>nci</w:t>
      </w:r>
      <w:r w:rsidR="00904B14" w:rsidRPr="00904B14">
        <w:rPr>
          <w:i/>
          <w:iCs/>
          <w:sz w:val="20"/>
          <w:szCs w:val="20"/>
        </w:rPr>
        <w:t xml:space="preserve"> międzynarodow</w:t>
      </w:r>
      <w:r w:rsidR="00924CF6">
        <w:rPr>
          <w:i/>
          <w:iCs/>
          <w:sz w:val="20"/>
          <w:szCs w:val="20"/>
        </w:rPr>
        <w:t>i</w:t>
      </w:r>
      <w:r w:rsidR="00904B14" w:rsidRPr="00904B14">
        <w:rPr>
          <w:i/>
          <w:iCs/>
          <w:sz w:val="20"/>
          <w:szCs w:val="20"/>
        </w:rPr>
        <w:t>. Obecna oferta</w:t>
      </w:r>
      <w:r w:rsidR="006A27D3">
        <w:rPr>
          <w:i/>
          <w:iCs/>
          <w:sz w:val="20"/>
          <w:szCs w:val="20"/>
        </w:rPr>
        <w:t xml:space="preserve"> miejsc w akademikach uczelnianych i prywatnych</w:t>
      </w:r>
      <w:r w:rsidR="00904B14" w:rsidRPr="00904B14">
        <w:rPr>
          <w:i/>
          <w:iCs/>
          <w:sz w:val="20"/>
          <w:szCs w:val="20"/>
        </w:rPr>
        <w:t xml:space="preserve"> </w:t>
      </w:r>
      <w:r w:rsidR="006A27D3">
        <w:rPr>
          <w:i/>
          <w:iCs/>
          <w:sz w:val="20"/>
          <w:szCs w:val="20"/>
        </w:rPr>
        <w:t xml:space="preserve">pokrywa zapotrzebowanie </w:t>
      </w:r>
      <w:r w:rsidR="00904B14" w:rsidRPr="00904B14">
        <w:rPr>
          <w:i/>
          <w:iCs/>
          <w:sz w:val="20"/>
          <w:szCs w:val="20"/>
        </w:rPr>
        <w:t xml:space="preserve">zaledwie 10% studentów, co napędza zainteresowanie inwestorów. </w:t>
      </w:r>
      <w:r w:rsidR="006A27D3">
        <w:rPr>
          <w:i/>
          <w:iCs/>
          <w:sz w:val="20"/>
          <w:szCs w:val="20"/>
        </w:rPr>
        <w:t>Liczba ogłoszonych projektów zakłada</w:t>
      </w:r>
      <w:r w:rsidR="005F5DE3" w:rsidRPr="00624EAB">
        <w:rPr>
          <w:i/>
          <w:iCs/>
          <w:sz w:val="20"/>
          <w:szCs w:val="20"/>
        </w:rPr>
        <w:t xml:space="preserve"> d</w:t>
      </w:r>
      <w:r w:rsidR="00904B14" w:rsidRPr="00904B14">
        <w:rPr>
          <w:i/>
          <w:iCs/>
          <w:sz w:val="20"/>
          <w:szCs w:val="20"/>
        </w:rPr>
        <w:t xml:space="preserve">ostarczenie </w:t>
      </w:r>
      <w:r w:rsidR="006A27D3">
        <w:rPr>
          <w:i/>
          <w:iCs/>
          <w:sz w:val="20"/>
          <w:szCs w:val="20"/>
        </w:rPr>
        <w:t>na rynek kolejnych</w:t>
      </w:r>
      <w:r w:rsidR="006A27D3" w:rsidRPr="00904B14">
        <w:rPr>
          <w:i/>
          <w:iCs/>
          <w:sz w:val="20"/>
          <w:szCs w:val="20"/>
        </w:rPr>
        <w:t xml:space="preserve"> </w:t>
      </w:r>
      <w:r w:rsidR="00904B14" w:rsidRPr="00904B14">
        <w:rPr>
          <w:i/>
          <w:iCs/>
          <w:sz w:val="20"/>
          <w:szCs w:val="20"/>
        </w:rPr>
        <w:t xml:space="preserve">8 tys. </w:t>
      </w:r>
      <w:r w:rsidR="006A27D3">
        <w:rPr>
          <w:i/>
          <w:iCs/>
          <w:sz w:val="20"/>
          <w:szCs w:val="20"/>
        </w:rPr>
        <w:t xml:space="preserve">miejsc </w:t>
      </w:r>
      <w:r w:rsidR="00904B14" w:rsidRPr="00904B14">
        <w:rPr>
          <w:i/>
          <w:iCs/>
          <w:sz w:val="20"/>
          <w:szCs w:val="20"/>
        </w:rPr>
        <w:t>w prywatnych akademikach w perspektywie 2</w:t>
      </w:r>
      <w:r w:rsidR="004E6B20">
        <w:rPr>
          <w:i/>
          <w:iCs/>
          <w:sz w:val="20"/>
          <w:szCs w:val="20"/>
        </w:rPr>
        <w:t>-</w:t>
      </w:r>
      <w:r w:rsidR="00904B14" w:rsidRPr="00904B14">
        <w:rPr>
          <w:i/>
          <w:iCs/>
          <w:sz w:val="20"/>
          <w:szCs w:val="20"/>
        </w:rPr>
        <w:t>4 lat.</w:t>
      </w:r>
      <w:r w:rsidR="005F5DE3" w:rsidRPr="00624EAB">
        <w:rPr>
          <w:i/>
          <w:iCs/>
          <w:sz w:val="20"/>
          <w:szCs w:val="20"/>
        </w:rPr>
        <w:t xml:space="preserve"> To nadal kropla w morzu potrzeb</w:t>
      </w:r>
      <w:r w:rsidR="005F5DE3">
        <w:rPr>
          <w:sz w:val="20"/>
          <w:szCs w:val="20"/>
        </w:rPr>
        <w:t xml:space="preserve"> – komentuje </w:t>
      </w:r>
      <w:r w:rsidR="005F5DE3" w:rsidRPr="00624EAB">
        <w:rPr>
          <w:b/>
          <w:bCs/>
          <w:sz w:val="20"/>
          <w:szCs w:val="20"/>
        </w:rPr>
        <w:t xml:space="preserve">Karolina Furmańska. </w:t>
      </w:r>
    </w:p>
    <w:p w14:paraId="71E10D8E" w14:textId="77777777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b/>
          <w:bCs/>
          <w:sz w:val="20"/>
          <w:szCs w:val="20"/>
        </w:rPr>
        <w:t>Trendy strukturalne i demografia</w:t>
      </w:r>
    </w:p>
    <w:p w14:paraId="61D20701" w14:textId="171832EB" w:rsidR="00904B14" w:rsidRPr="00904B14" w:rsidRDefault="00904B14" w:rsidP="00904B14">
      <w:pPr>
        <w:spacing w:line="240" w:lineRule="auto"/>
        <w:jc w:val="both"/>
        <w:rPr>
          <w:sz w:val="20"/>
          <w:szCs w:val="20"/>
        </w:rPr>
      </w:pPr>
      <w:r w:rsidRPr="00904B14">
        <w:rPr>
          <w:sz w:val="20"/>
          <w:szCs w:val="20"/>
        </w:rPr>
        <w:t xml:space="preserve">Choć Polska mierzy się z długoterminowym spadkiem liczby ludności, w największych aglomeracjach procesy urbanizacji i </w:t>
      </w:r>
      <w:proofErr w:type="spellStart"/>
      <w:r w:rsidRPr="00904B14">
        <w:rPr>
          <w:sz w:val="20"/>
          <w:szCs w:val="20"/>
        </w:rPr>
        <w:t>suburbanizacji</w:t>
      </w:r>
      <w:proofErr w:type="spellEnd"/>
      <w:r w:rsidRPr="00904B14">
        <w:rPr>
          <w:sz w:val="20"/>
          <w:szCs w:val="20"/>
        </w:rPr>
        <w:t xml:space="preserve"> będą podtrzymywać wysoki popyt. Wzrasta liczba jednoosobowych gospodarstw domowych – w szczególności wśród seniorów – co sprzyja rozwojowi rynku małych, funkcjonalnych mieszkań. Wciąż jednak segment senior </w:t>
      </w:r>
      <w:proofErr w:type="spellStart"/>
      <w:r w:rsidRPr="00904B14">
        <w:rPr>
          <w:sz w:val="20"/>
          <w:szCs w:val="20"/>
        </w:rPr>
        <w:t>housing</w:t>
      </w:r>
      <w:proofErr w:type="spellEnd"/>
      <w:r w:rsidRPr="00904B14">
        <w:rPr>
          <w:sz w:val="20"/>
          <w:szCs w:val="20"/>
        </w:rPr>
        <w:t xml:space="preserve"> pozostaje niszowy</w:t>
      </w:r>
      <w:r w:rsidR="006A27D3">
        <w:rPr>
          <w:sz w:val="20"/>
          <w:szCs w:val="20"/>
        </w:rPr>
        <w:t>, ale spodziewamy się, że ten segment nabierze dużego znaczenia w najbliższych latach</w:t>
      </w:r>
      <w:r w:rsidRPr="00904B14">
        <w:rPr>
          <w:sz w:val="20"/>
          <w:szCs w:val="20"/>
        </w:rPr>
        <w:t>.</w:t>
      </w:r>
    </w:p>
    <w:p w14:paraId="64A83442" w14:textId="09190B77" w:rsidR="00BC2537" w:rsidRPr="001135E5" w:rsidRDefault="00904B14" w:rsidP="00AE44C9">
      <w:pPr>
        <w:spacing w:line="240" w:lineRule="auto"/>
        <w:jc w:val="both"/>
        <w:rPr>
          <w:sz w:val="20"/>
          <w:szCs w:val="20"/>
        </w:rPr>
      </w:pPr>
      <w:r w:rsidRPr="00904B14">
        <w:rPr>
          <w:sz w:val="20"/>
          <w:szCs w:val="20"/>
        </w:rPr>
        <w:t xml:space="preserve">Z drugiej strony, zauważalne jest rosnące zainteresowanie inwestycjami w centrach miast – miejskimi willami, apartamentami z wysokim standardem i rozwiązaniami </w:t>
      </w:r>
      <w:proofErr w:type="gramStart"/>
      <w:r w:rsidR="004E6B20">
        <w:rPr>
          <w:sz w:val="20"/>
          <w:szCs w:val="20"/>
        </w:rPr>
        <w:t>pro-</w:t>
      </w:r>
      <w:r w:rsidRPr="00904B14">
        <w:rPr>
          <w:sz w:val="20"/>
          <w:szCs w:val="20"/>
        </w:rPr>
        <w:t>ekologicznymi</w:t>
      </w:r>
      <w:proofErr w:type="gramEnd"/>
      <w:r w:rsidRPr="00904B14">
        <w:rPr>
          <w:sz w:val="20"/>
          <w:szCs w:val="20"/>
        </w:rPr>
        <w:t xml:space="preserve"> oraz smart. Trendy te podbijają ceny w prestiżowych lokalizacjach i wspierają rozwój segmentu premium. Inwestorzy i banki coraz chętniej wybierają projekty zgodne z wymogami ESG – energooszczędne, certyfikowane, oferujące wyższy komfort życia.</w:t>
      </w:r>
    </w:p>
    <w:sectPr w:rsidR="00BC2537" w:rsidRPr="001135E5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5252" w14:textId="77777777" w:rsidR="00946750" w:rsidRDefault="00946750">
      <w:pPr>
        <w:spacing w:after="0" w:line="240" w:lineRule="auto"/>
      </w:pPr>
      <w:r>
        <w:separator/>
      </w:r>
    </w:p>
  </w:endnote>
  <w:endnote w:type="continuationSeparator" w:id="0">
    <w:p w14:paraId="42817943" w14:textId="77777777" w:rsidR="00946750" w:rsidRDefault="00946750">
      <w:pPr>
        <w:spacing w:after="0" w:line="240" w:lineRule="auto"/>
      </w:pPr>
      <w:r>
        <w:continuationSeparator/>
      </w:r>
    </w:p>
  </w:endnote>
  <w:endnote w:type="continuationNotice" w:id="1">
    <w:p w14:paraId="6BF4B9FF" w14:textId="77777777" w:rsidR="00946750" w:rsidRDefault="00946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8C07B9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8560"/>
            <w:gridCol w:w="220"/>
            <w:gridCol w:w="220"/>
          </w:tblGrid>
          <w:tr w:rsidR="003E5A4E" w:rsidRPr="008C07B9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leGrid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8C07B9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3E5A4E" w:rsidRPr="009D1ABC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B37771">
                          <w:rPr>
                            <w:rStyle w:val="Hyperlink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7B2741" w:rsidRDefault="003E5A4E" w:rsidP="003E5A4E">
                      <w:pPr>
                        <w:pStyle w:val="ContactDetail"/>
                        <w:spacing w:line="240" w:lineRule="auto"/>
                        <w:rPr>
                          <w:lang w:val="en-US"/>
                        </w:rPr>
                      </w:pPr>
                      <w:r w:rsidRPr="007B2741">
                        <w:rPr>
                          <w:rStyle w:val="Brak"/>
                          <w:color w:val="696B6B"/>
                          <w:u w:color="696B6B"/>
                          <w:lang w:val="en-US"/>
                        </w:rPr>
                        <w:t xml:space="preserve">e-mail: </w:t>
                      </w:r>
                      <w:r>
                        <w:rPr>
                          <w:rStyle w:val="Hyperlink0"/>
                          <w:color w:val="008B98"/>
                          <w:lang w:val="en-US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8C07B9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8C07B9">
            <w:rPr>
              <w:lang w:val="en-US"/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yperlink"/>
              <w:sz w:val="18"/>
              <w:szCs w:val="18"/>
              <w:lang w:val="en-GB"/>
            </w:rPr>
            <w:t>first.last@cushwake.com</w:t>
          </w:r>
          <w:r>
            <w:rPr>
              <w:rStyle w:val="Hyperlink"/>
              <w:sz w:val="18"/>
              <w:szCs w:val="18"/>
              <w:lang w:val="en-GB"/>
            </w:rP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A326C" w14:textId="77777777" w:rsidR="00946750" w:rsidRDefault="00946750">
      <w:pPr>
        <w:spacing w:after="0" w:line="240" w:lineRule="auto"/>
      </w:pPr>
      <w:r>
        <w:separator/>
      </w:r>
    </w:p>
  </w:footnote>
  <w:footnote w:type="continuationSeparator" w:id="0">
    <w:p w14:paraId="06E6B525" w14:textId="77777777" w:rsidR="00946750" w:rsidRDefault="00946750">
      <w:pPr>
        <w:spacing w:after="0" w:line="240" w:lineRule="auto"/>
      </w:pPr>
      <w:r>
        <w:continuationSeparator/>
      </w:r>
    </w:p>
  </w:footnote>
  <w:footnote w:type="continuationNotice" w:id="1">
    <w:p w14:paraId="6D14EB35" w14:textId="77777777" w:rsidR="00946750" w:rsidRDefault="00946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DF3"/>
    <w:multiLevelType w:val="multilevel"/>
    <w:tmpl w:val="18E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9734B"/>
    <w:multiLevelType w:val="multilevel"/>
    <w:tmpl w:val="B41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261DE"/>
    <w:multiLevelType w:val="multilevel"/>
    <w:tmpl w:val="BE5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E5EBA"/>
    <w:multiLevelType w:val="multilevel"/>
    <w:tmpl w:val="9F04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5BF3"/>
    <w:multiLevelType w:val="multilevel"/>
    <w:tmpl w:val="967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689"/>
    <w:multiLevelType w:val="multilevel"/>
    <w:tmpl w:val="7B7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C2128"/>
    <w:multiLevelType w:val="multilevel"/>
    <w:tmpl w:val="42F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E0A75"/>
    <w:multiLevelType w:val="multilevel"/>
    <w:tmpl w:val="A060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358402">
    <w:abstractNumId w:val="8"/>
  </w:num>
  <w:num w:numId="2" w16cid:durableId="922646369">
    <w:abstractNumId w:val="0"/>
  </w:num>
  <w:num w:numId="3" w16cid:durableId="1309627044">
    <w:abstractNumId w:val="7"/>
  </w:num>
  <w:num w:numId="4" w16cid:durableId="1038896537">
    <w:abstractNumId w:val="1"/>
  </w:num>
  <w:num w:numId="5" w16cid:durableId="97453972">
    <w:abstractNumId w:val="10"/>
  </w:num>
  <w:num w:numId="6" w16cid:durableId="93325563">
    <w:abstractNumId w:val="5"/>
  </w:num>
  <w:num w:numId="7" w16cid:durableId="1992445834">
    <w:abstractNumId w:val="6"/>
  </w:num>
  <w:num w:numId="8" w16cid:durableId="1593077740">
    <w:abstractNumId w:val="3"/>
  </w:num>
  <w:num w:numId="9" w16cid:durableId="937451116">
    <w:abstractNumId w:val="11"/>
  </w:num>
  <w:num w:numId="10" w16cid:durableId="1632904673">
    <w:abstractNumId w:val="4"/>
  </w:num>
  <w:num w:numId="11" w16cid:durableId="525363473">
    <w:abstractNumId w:val="9"/>
  </w:num>
  <w:num w:numId="12" w16cid:durableId="126218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1DF4"/>
    <w:rsid w:val="00005FD5"/>
    <w:rsid w:val="000060A2"/>
    <w:rsid w:val="00007243"/>
    <w:rsid w:val="00013F59"/>
    <w:rsid w:val="00017267"/>
    <w:rsid w:val="000203A2"/>
    <w:rsid w:val="000251E4"/>
    <w:rsid w:val="00025C81"/>
    <w:rsid w:val="00027F57"/>
    <w:rsid w:val="0003245E"/>
    <w:rsid w:val="0004232E"/>
    <w:rsid w:val="00044C5B"/>
    <w:rsid w:val="00051B59"/>
    <w:rsid w:val="00053298"/>
    <w:rsid w:val="00063FC7"/>
    <w:rsid w:val="00064A4E"/>
    <w:rsid w:val="00067FD0"/>
    <w:rsid w:val="000700E2"/>
    <w:rsid w:val="000720F5"/>
    <w:rsid w:val="0008371E"/>
    <w:rsid w:val="00083F43"/>
    <w:rsid w:val="000854D7"/>
    <w:rsid w:val="00086C80"/>
    <w:rsid w:val="0008772D"/>
    <w:rsid w:val="00092C27"/>
    <w:rsid w:val="00093540"/>
    <w:rsid w:val="00096548"/>
    <w:rsid w:val="000A52F1"/>
    <w:rsid w:val="000A54A7"/>
    <w:rsid w:val="000A622E"/>
    <w:rsid w:val="000B142D"/>
    <w:rsid w:val="000B29DE"/>
    <w:rsid w:val="000B4E80"/>
    <w:rsid w:val="000B57CB"/>
    <w:rsid w:val="000C30AD"/>
    <w:rsid w:val="000C4210"/>
    <w:rsid w:val="000C4294"/>
    <w:rsid w:val="000C585C"/>
    <w:rsid w:val="000D4656"/>
    <w:rsid w:val="000D5790"/>
    <w:rsid w:val="000D580D"/>
    <w:rsid w:val="000D5FED"/>
    <w:rsid w:val="000D685D"/>
    <w:rsid w:val="000D68FD"/>
    <w:rsid w:val="000D7839"/>
    <w:rsid w:val="000F64E0"/>
    <w:rsid w:val="000F6702"/>
    <w:rsid w:val="000F7964"/>
    <w:rsid w:val="001013AF"/>
    <w:rsid w:val="001062D1"/>
    <w:rsid w:val="00111135"/>
    <w:rsid w:val="001129FD"/>
    <w:rsid w:val="001135E5"/>
    <w:rsid w:val="001141D8"/>
    <w:rsid w:val="001146DD"/>
    <w:rsid w:val="00114AF8"/>
    <w:rsid w:val="0011559A"/>
    <w:rsid w:val="0012061A"/>
    <w:rsid w:val="00122668"/>
    <w:rsid w:val="001231BC"/>
    <w:rsid w:val="00132CB9"/>
    <w:rsid w:val="00132F07"/>
    <w:rsid w:val="00140D17"/>
    <w:rsid w:val="00140D8B"/>
    <w:rsid w:val="00150568"/>
    <w:rsid w:val="00150F3F"/>
    <w:rsid w:val="00156F9C"/>
    <w:rsid w:val="00160B7F"/>
    <w:rsid w:val="00160C7A"/>
    <w:rsid w:val="001635F6"/>
    <w:rsid w:val="001644DF"/>
    <w:rsid w:val="00165A96"/>
    <w:rsid w:val="00166861"/>
    <w:rsid w:val="00166F71"/>
    <w:rsid w:val="00167436"/>
    <w:rsid w:val="001674EE"/>
    <w:rsid w:val="001745E4"/>
    <w:rsid w:val="00174EBA"/>
    <w:rsid w:val="0017521E"/>
    <w:rsid w:val="00175FB4"/>
    <w:rsid w:val="001767FC"/>
    <w:rsid w:val="00182C4F"/>
    <w:rsid w:val="00185967"/>
    <w:rsid w:val="00186566"/>
    <w:rsid w:val="001866B5"/>
    <w:rsid w:val="0018688B"/>
    <w:rsid w:val="00190FB3"/>
    <w:rsid w:val="001945FB"/>
    <w:rsid w:val="001A4929"/>
    <w:rsid w:val="001A56D9"/>
    <w:rsid w:val="001A6367"/>
    <w:rsid w:val="001A7372"/>
    <w:rsid w:val="001B5F5F"/>
    <w:rsid w:val="001B5FA0"/>
    <w:rsid w:val="001B63B5"/>
    <w:rsid w:val="001B7AE3"/>
    <w:rsid w:val="001C0591"/>
    <w:rsid w:val="001C7005"/>
    <w:rsid w:val="001C70E4"/>
    <w:rsid w:val="001D08F3"/>
    <w:rsid w:val="001D401E"/>
    <w:rsid w:val="001D5EF0"/>
    <w:rsid w:val="001D617A"/>
    <w:rsid w:val="001E06FB"/>
    <w:rsid w:val="001E07D4"/>
    <w:rsid w:val="001E0E42"/>
    <w:rsid w:val="001E16E8"/>
    <w:rsid w:val="001E3C79"/>
    <w:rsid w:val="001E4E45"/>
    <w:rsid w:val="001E56EB"/>
    <w:rsid w:val="001E6096"/>
    <w:rsid w:val="001F1B34"/>
    <w:rsid w:val="001F406E"/>
    <w:rsid w:val="001F7E37"/>
    <w:rsid w:val="00206001"/>
    <w:rsid w:val="00210C18"/>
    <w:rsid w:val="002117B9"/>
    <w:rsid w:val="002125FE"/>
    <w:rsid w:val="0021678E"/>
    <w:rsid w:val="00217BD6"/>
    <w:rsid w:val="002238C4"/>
    <w:rsid w:val="002240B1"/>
    <w:rsid w:val="00224AA7"/>
    <w:rsid w:val="00227EAC"/>
    <w:rsid w:val="00231BCD"/>
    <w:rsid w:val="00236B04"/>
    <w:rsid w:val="002426EF"/>
    <w:rsid w:val="0024400C"/>
    <w:rsid w:val="00246115"/>
    <w:rsid w:val="00250183"/>
    <w:rsid w:val="00251824"/>
    <w:rsid w:val="00251F00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5982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09F"/>
    <w:rsid w:val="00293086"/>
    <w:rsid w:val="00293E07"/>
    <w:rsid w:val="00293ED2"/>
    <w:rsid w:val="0029437C"/>
    <w:rsid w:val="002958EB"/>
    <w:rsid w:val="0029652C"/>
    <w:rsid w:val="002967FF"/>
    <w:rsid w:val="002A37FC"/>
    <w:rsid w:val="002B381B"/>
    <w:rsid w:val="002B4716"/>
    <w:rsid w:val="002B6B39"/>
    <w:rsid w:val="002C1DFF"/>
    <w:rsid w:val="002C480C"/>
    <w:rsid w:val="002C5852"/>
    <w:rsid w:val="002C5887"/>
    <w:rsid w:val="002D0B42"/>
    <w:rsid w:val="002D1D3A"/>
    <w:rsid w:val="002D4EC6"/>
    <w:rsid w:val="002D5829"/>
    <w:rsid w:val="002D7779"/>
    <w:rsid w:val="002E0BB0"/>
    <w:rsid w:val="002E1729"/>
    <w:rsid w:val="002E20D4"/>
    <w:rsid w:val="002E2D30"/>
    <w:rsid w:val="002E31B2"/>
    <w:rsid w:val="002F0186"/>
    <w:rsid w:val="002F0666"/>
    <w:rsid w:val="002F08E1"/>
    <w:rsid w:val="002F0F48"/>
    <w:rsid w:val="00300BC4"/>
    <w:rsid w:val="00302886"/>
    <w:rsid w:val="0030311F"/>
    <w:rsid w:val="003067E9"/>
    <w:rsid w:val="00306BFA"/>
    <w:rsid w:val="00307E44"/>
    <w:rsid w:val="00310AEF"/>
    <w:rsid w:val="00310D2A"/>
    <w:rsid w:val="003156DD"/>
    <w:rsid w:val="0032157F"/>
    <w:rsid w:val="0032389F"/>
    <w:rsid w:val="00342C1B"/>
    <w:rsid w:val="0034418D"/>
    <w:rsid w:val="00345D04"/>
    <w:rsid w:val="00345D09"/>
    <w:rsid w:val="0035396B"/>
    <w:rsid w:val="00356977"/>
    <w:rsid w:val="00361E86"/>
    <w:rsid w:val="00362CD6"/>
    <w:rsid w:val="00364117"/>
    <w:rsid w:val="00371AFD"/>
    <w:rsid w:val="00374DB8"/>
    <w:rsid w:val="00375278"/>
    <w:rsid w:val="00383926"/>
    <w:rsid w:val="00385CB8"/>
    <w:rsid w:val="0038604F"/>
    <w:rsid w:val="00387CAF"/>
    <w:rsid w:val="003936DF"/>
    <w:rsid w:val="003A24D4"/>
    <w:rsid w:val="003A693E"/>
    <w:rsid w:val="003A70E2"/>
    <w:rsid w:val="003B3560"/>
    <w:rsid w:val="003B78C7"/>
    <w:rsid w:val="003C1BBA"/>
    <w:rsid w:val="003C1E58"/>
    <w:rsid w:val="003C4DFD"/>
    <w:rsid w:val="003C5B29"/>
    <w:rsid w:val="003C791A"/>
    <w:rsid w:val="003D1A23"/>
    <w:rsid w:val="003E003A"/>
    <w:rsid w:val="003E0201"/>
    <w:rsid w:val="003E3F99"/>
    <w:rsid w:val="003E5A4E"/>
    <w:rsid w:val="003F4955"/>
    <w:rsid w:val="003F4AAD"/>
    <w:rsid w:val="003F60EA"/>
    <w:rsid w:val="004001BC"/>
    <w:rsid w:val="00403626"/>
    <w:rsid w:val="00410D62"/>
    <w:rsid w:val="004112C0"/>
    <w:rsid w:val="0042183C"/>
    <w:rsid w:val="00421DC1"/>
    <w:rsid w:val="00422760"/>
    <w:rsid w:val="004274A1"/>
    <w:rsid w:val="004329C4"/>
    <w:rsid w:val="00432ACA"/>
    <w:rsid w:val="00435D4F"/>
    <w:rsid w:val="00436CE4"/>
    <w:rsid w:val="0043767F"/>
    <w:rsid w:val="00440D65"/>
    <w:rsid w:val="00440EDE"/>
    <w:rsid w:val="00443EFE"/>
    <w:rsid w:val="00451C25"/>
    <w:rsid w:val="00452FD6"/>
    <w:rsid w:val="00454311"/>
    <w:rsid w:val="004557CD"/>
    <w:rsid w:val="00455DED"/>
    <w:rsid w:val="00456C2D"/>
    <w:rsid w:val="00457545"/>
    <w:rsid w:val="00461B2F"/>
    <w:rsid w:val="00462B62"/>
    <w:rsid w:val="00463B77"/>
    <w:rsid w:val="00464434"/>
    <w:rsid w:val="00464B72"/>
    <w:rsid w:val="00466300"/>
    <w:rsid w:val="0046665F"/>
    <w:rsid w:val="00466ABC"/>
    <w:rsid w:val="004678CA"/>
    <w:rsid w:val="004701AA"/>
    <w:rsid w:val="00471A22"/>
    <w:rsid w:val="00487836"/>
    <w:rsid w:val="004900F3"/>
    <w:rsid w:val="00490581"/>
    <w:rsid w:val="00491EA1"/>
    <w:rsid w:val="0049367E"/>
    <w:rsid w:val="004939D4"/>
    <w:rsid w:val="004972E1"/>
    <w:rsid w:val="00497908"/>
    <w:rsid w:val="004A01E8"/>
    <w:rsid w:val="004A5B66"/>
    <w:rsid w:val="004B083C"/>
    <w:rsid w:val="004B0979"/>
    <w:rsid w:val="004B3D1A"/>
    <w:rsid w:val="004B5A43"/>
    <w:rsid w:val="004C2C37"/>
    <w:rsid w:val="004C49CA"/>
    <w:rsid w:val="004D07CC"/>
    <w:rsid w:val="004D080E"/>
    <w:rsid w:val="004D16D5"/>
    <w:rsid w:val="004D25BB"/>
    <w:rsid w:val="004D68AD"/>
    <w:rsid w:val="004D6A3C"/>
    <w:rsid w:val="004D7C3B"/>
    <w:rsid w:val="004E0237"/>
    <w:rsid w:val="004E46E9"/>
    <w:rsid w:val="004E5A7E"/>
    <w:rsid w:val="004E6B20"/>
    <w:rsid w:val="004E7185"/>
    <w:rsid w:val="00502E72"/>
    <w:rsid w:val="0050412F"/>
    <w:rsid w:val="0050471F"/>
    <w:rsid w:val="00512047"/>
    <w:rsid w:val="00512ADF"/>
    <w:rsid w:val="0051329B"/>
    <w:rsid w:val="0051329D"/>
    <w:rsid w:val="005136A0"/>
    <w:rsid w:val="0051644B"/>
    <w:rsid w:val="00517B59"/>
    <w:rsid w:val="00520076"/>
    <w:rsid w:val="005229AB"/>
    <w:rsid w:val="00526757"/>
    <w:rsid w:val="00531CF4"/>
    <w:rsid w:val="00531D93"/>
    <w:rsid w:val="005323BE"/>
    <w:rsid w:val="005352C0"/>
    <w:rsid w:val="005369D7"/>
    <w:rsid w:val="00537747"/>
    <w:rsid w:val="00541459"/>
    <w:rsid w:val="00541D5B"/>
    <w:rsid w:val="0055030A"/>
    <w:rsid w:val="00552477"/>
    <w:rsid w:val="00553B06"/>
    <w:rsid w:val="0055434C"/>
    <w:rsid w:val="00561829"/>
    <w:rsid w:val="005631C3"/>
    <w:rsid w:val="00566AB7"/>
    <w:rsid w:val="00577005"/>
    <w:rsid w:val="00580A25"/>
    <w:rsid w:val="0058421C"/>
    <w:rsid w:val="00584862"/>
    <w:rsid w:val="00585A4F"/>
    <w:rsid w:val="005864F4"/>
    <w:rsid w:val="00587724"/>
    <w:rsid w:val="005878DD"/>
    <w:rsid w:val="00591DBB"/>
    <w:rsid w:val="00592299"/>
    <w:rsid w:val="00593E4C"/>
    <w:rsid w:val="005A4560"/>
    <w:rsid w:val="005A703D"/>
    <w:rsid w:val="005B2303"/>
    <w:rsid w:val="005B4D77"/>
    <w:rsid w:val="005B5063"/>
    <w:rsid w:val="005C01D2"/>
    <w:rsid w:val="005C2765"/>
    <w:rsid w:val="005C3C3C"/>
    <w:rsid w:val="005C4360"/>
    <w:rsid w:val="005C6332"/>
    <w:rsid w:val="005C72CD"/>
    <w:rsid w:val="005D033F"/>
    <w:rsid w:val="005D05E5"/>
    <w:rsid w:val="005D06CC"/>
    <w:rsid w:val="005D1698"/>
    <w:rsid w:val="005D3204"/>
    <w:rsid w:val="005D3C92"/>
    <w:rsid w:val="005D4DD1"/>
    <w:rsid w:val="005D5EEB"/>
    <w:rsid w:val="005E0A93"/>
    <w:rsid w:val="005E14FE"/>
    <w:rsid w:val="005E2C9B"/>
    <w:rsid w:val="005E2EC7"/>
    <w:rsid w:val="005E36C1"/>
    <w:rsid w:val="005E49BA"/>
    <w:rsid w:val="005F5DE3"/>
    <w:rsid w:val="005F709A"/>
    <w:rsid w:val="005F7212"/>
    <w:rsid w:val="00601B86"/>
    <w:rsid w:val="006020AF"/>
    <w:rsid w:val="00603782"/>
    <w:rsid w:val="00606E7D"/>
    <w:rsid w:val="00606F29"/>
    <w:rsid w:val="00607408"/>
    <w:rsid w:val="00612A79"/>
    <w:rsid w:val="006151F1"/>
    <w:rsid w:val="00617929"/>
    <w:rsid w:val="00620AD0"/>
    <w:rsid w:val="00624E73"/>
    <w:rsid w:val="00624EAB"/>
    <w:rsid w:val="00625117"/>
    <w:rsid w:val="00625DBC"/>
    <w:rsid w:val="00626706"/>
    <w:rsid w:val="00632797"/>
    <w:rsid w:val="00634853"/>
    <w:rsid w:val="00634A82"/>
    <w:rsid w:val="00635D7A"/>
    <w:rsid w:val="006367C0"/>
    <w:rsid w:val="00640038"/>
    <w:rsid w:val="00647BF0"/>
    <w:rsid w:val="00653D04"/>
    <w:rsid w:val="00654588"/>
    <w:rsid w:val="00655594"/>
    <w:rsid w:val="006606A4"/>
    <w:rsid w:val="00661892"/>
    <w:rsid w:val="00662194"/>
    <w:rsid w:val="00670CB1"/>
    <w:rsid w:val="006714A0"/>
    <w:rsid w:val="00674476"/>
    <w:rsid w:val="00674AAF"/>
    <w:rsid w:val="00675B1B"/>
    <w:rsid w:val="0067607F"/>
    <w:rsid w:val="00676490"/>
    <w:rsid w:val="00680170"/>
    <w:rsid w:val="006807CC"/>
    <w:rsid w:val="00682152"/>
    <w:rsid w:val="00682F1F"/>
    <w:rsid w:val="00683345"/>
    <w:rsid w:val="0068616F"/>
    <w:rsid w:val="00686CF4"/>
    <w:rsid w:val="0069258A"/>
    <w:rsid w:val="00695E5E"/>
    <w:rsid w:val="00697D3A"/>
    <w:rsid w:val="006A27D3"/>
    <w:rsid w:val="006A32B9"/>
    <w:rsid w:val="006B114D"/>
    <w:rsid w:val="006B3391"/>
    <w:rsid w:val="006B635B"/>
    <w:rsid w:val="006B6EBE"/>
    <w:rsid w:val="006C3D4A"/>
    <w:rsid w:val="006C449A"/>
    <w:rsid w:val="006C62BD"/>
    <w:rsid w:val="006C6343"/>
    <w:rsid w:val="006C7EF7"/>
    <w:rsid w:val="006D0285"/>
    <w:rsid w:val="006D189F"/>
    <w:rsid w:val="006D1EF1"/>
    <w:rsid w:val="006D48DF"/>
    <w:rsid w:val="006D68E0"/>
    <w:rsid w:val="006E00D9"/>
    <w:rsid w:val="006E2861"/>
    <w:rsid w:val="006E2DCD"/>
    <w:rsid w:val="006E5816"/>
    <w:rsid w:val="006F06A0"/>
    <w:rsid w:val="006F5276"/>
    <w:rsid w:val="007014E6"/>
    <w:rsid w:val="00703171"/>
    <w:rsid w:val="00706617"/>
    <w:rsid w:val="00710F25"/>
    <w:rsid w:val="00712ED4"/>
    <w:rsid w:val="00717324"/>
    <w:rsid w:val="00725E13"/>
    <w:rsid w:val="007326D4"/>
    <w:rsid w:val="00736585"/>
    <w:rsid w:val="00737C14"/>
    <w:rsid w:val="00742036"/>
    <w:rsid w:val="007434AC"/>
    <w:rsid w:val="00744CDB"/>
    <w:rsid w:val="0074628D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2C4F"/>
    <w:rsid w:val="00773AAB"/>
    <w:rsid w:val="00775E16"/>
    <w:rsid w:val="00781D70"/>
    <w:rsid w:val="00782A9B"/>
    <w:rsid w:val="00783672"/>
    <w:rsid w:val="007861CB"/>
    <w:rsid w:val="00790531"/>
    <w:rsid w:val="00790E9B"/>
    <w:rsid w:val="0079250E"/>
    <w:rsid w:val="00792ECE"/>
    <w:rsid w:val="007A231E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F52"/>
    <w:rsid w:val="007C69D0"/>
    <w:rsid w:val="007D2192"/>
    <w:rsid w:val="007D4408"/>
    <w:rsid w:val="007D5933"/>
    <w:rsid w:val="007D6089"/>
    <w:rsid w:val="007E6CDD"/>
    <w:rsid w:val="007E6E12"/>
    <w:rsid w:val="007F13AB"/>
    <w:rsid w:val="007F2FE9"/>
    <w:rsid w:val="007F5890"/>
    <w:rsid w:val="007F634B"/>
    <w:rsid w:val="007F69FA"/>
    <w:rsid w:val="008014DA"/>
    <w:rsid w:val="00802ECA"/>
    <w:rsid w:val="00811347"/>
    <w:rsid w:val="0081370C"/>
    <w:rsid w:val="0081778B"/>
    <w:rsid w:val="0082036C"/>
    <w:rsid w:val="00821380"/>
    <w:rsid w:val="00824654"/>
    <w:rsid w:val="00824D18"/>
    <w:rsid w:val="00824F73"/>
    <w:rsid w:val="0083179A"/>
    <w:rsid w:val="00831B7D"/>
    <w:rsid w:val="00832C08"/>
    <w:rsid w:val="0083469F"/>
    <w:rsid w:val="0083648E"/>
    <w:rsid w:val="008367A5"/>
    <w:rsid w:val="00842064"/>
    <w:rsid w:val="0084290C"/>
    <w:rsid w:val="00843BB8"/>
    <w:rsid w:val="008459FF"/>
    <w:rsid w:val="00845A7F"/>
    <w:rsid w:val="0085202E"/>
    <w:rsid w:val="00856BE4"/>
    <w:rsid w:val="00866DDD"/>
    <w:rsid w:val="00871766"/>
    <w:rsid w:val="00872092"/>
    <w:rsid w:val="00874BB3"/>
    <w:rsid w:val="008753CF"/>
    <w:rsid w:val="00875B1A"/>
    <w:rsid w:val="008772B7"/>
    <w:rsid w:val="0087786B"/>
    <w:rsid w:val="00880E20"/>
    <w:rsid w:val="00881769"/>
    <w:rsid w:val="00882E1D"/>
    <w:rsid w:val="008848B1"/>
    <w:rsid w:val="00885E0C"/>
    <w:rsid w:val="00895739"/>
    <w:rsid w:val="00895809"/>
    <w:rsid w:val="00895F80"/>
    <w:rsid w:val="008972B1"/>
    <w:rsid w:val="008974F3"/>
    <w:rsid w:val="008A26A0"/>
    <w:rsid w:val="008A3F07"/>
    <w:rsid w:val="008B26B4"/>
    <w:rsid w:val="008B4539"/>
    <w:rsid w:val="008B5039"/>
    <w:rsid w:val="008C07B9"/>
    <w:rsid w:val="008C14E5"/>
    <w:rsid w:val="008C42CD"/>
    <w:rsid w:val="008C5675"/>
    <w:rsid w:val="008D009F"/>
    <w:rsid w:val="008D2A14"/>
    <w:rsid w:val="008E3996"/>
    <w:rsid w:val="008E5B6C"/>
    <w:rsid w:val="008F01FC"/>
    <w:rsid w:val="008F034B"/>
    <w:rsid w:val="008F0AAC"/>
    <w:rsid w:val="008F1B4D"/>
    <w:rsid w:val="008F2C02"/>
    <w:rsid w:val="008F2CFF"/>
    <w:rsid w:val="008F77DD"/>
    <w:rsid w:val="008F7EA7"/>
    <w:rsid w:val="00901841"/>
    <w:rsid w:val="00904B14"/>
    <w:rsid w:val="00904E04"/>
    <w:rsid w:val="00911720"/>
    <w:rsid w:val="00911FF4"/>
    <w:rsid w:val="00914465"/>
    <w:rsid w:val="0091784B"/>
    <w:rsid w:val="00920635"/>
    <w:rsid w:val="00920BE7"/>
    <w:rsid w:val="00921FC7"/>
    <w:rsid w:val="00924CF6"/>
    <w:rsid w:val="00927365"/>
    <w:rsid w:val="00930A5C"/>
    <w:rsid w:val="0093261C"/>
    <w:rsid w:val="009337AC"/>
    <w:rsid w:val="00933A46"/>
    <w:rsid w:val="00935219"/>
    <w:rsid w:val="00936840"/>
    <w:rsid w:val="00936A3D"/>
    <w:rsid w:val="00941B66"/>
    <w:rsid w:val="00943336"/>
    <w:rsid w:val="00943C5E"/>
    <w:rsid w:val="009456D4"/>
    <w:rsid w:val="00946750"/>
    <w:rsid w:val="00946C47"/>
    <w:rsid w:val="00953475"/>
    <w:rsid w:val="00953949"/>
    <w:rsid w:val="00956547"/>
    <w:rsid w:val="00962A05"/>
    <w:rsid w:val="00965609"/>
    <w:rsid w:val="0096608A"/>
    <w:rsid w:val="009668DE"/>
    <w:rsid w:val="00966D68"/>
    <w:rsid w:val="0096799A"/>
    <w:rsid w:val="00967B91"/>
    <w:rsid w:val="00971AF5"/>
    <w:rsid w:val="0097409A"/>
    <w:rsid w:val="00976C95"/>
    <w:rsid w:val="00977641"/>
    <w:rsid w:val="00977AE0"/>
    <w:rsid w:val="0098288E"/>
    <w:rsid w:val="009902A1"/>
    <w:rsid w:val="00993D91"/>
    <w:rsid w:val="00994AF6"/>
    <w:rsid w:val="00997139"/>
    <w:rsid w:val="009A1D96"/>
    <w:rsid w:val="009A692E"/>
    <w:rsid w:val="009A7442"/>
    <w:rsid w:val="009B0753"/>
    <w:rsid w:val="009B7F16"/>
    <w:rsid w:val="009C075D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9F7C5E"/>
    <w:rsid w:val="00A01FCE"/>
    <w:rsid w:val="00A06149"/>
    <w:rsid w:val="00A0629B"/>
    <w:rsid w:val="00A0788B"/>
    <w:rsid w:val="00A10255"/>
    <w:rsid w:val="00A117E9"/>
    <w:rsid w:val="00A11D78"/>
    <w:rsid w:val="00A12517"/>
    <w:rsid w:val="00A12551"/>
    <w:rsid w:val="00A12BAB"/>
    <w:rsid w:val="00A13F0B"/>
    <w:rsid w:val="00A17001"/>
    <w:rsid w:val="00A176AA"/>
    <w:rsid w:val="00A201A3"/>
    <w:rsid w:val="00A23905"/>
    <w:rsid w:val="00A2466A"/>
    <w:rsid w:val="00A24875"/>
    <w:rsid w:val="00A265D0"/>
    <w:rsid w:val="00A27372"/>
    <w:rsid w:val="00A31C14"/>
    <w:rsid w:val="00A31F0C"/>
    <w:rsid w:val="00A33731"/>
    <w:rsid w:val="00A33E4A"/>
    <w:rsid w:val="00A34352"/>
    <w:rsid w:val="00A344ED"/>
    <w:rsid w:val="00A37691"/>
    <w:rsid w:val="00A425AB"/>
    <w:rsid w:val="00A4481B"/>
    <w:rsid w:val="00A44A37"/>
    <w:rsid w:val="00A47FCD"/>
    <w:rsid w:val="00A54E85"/>
    <w:rsid w:val="00A54FA6"/>
    <w:rsid w:val="00A55BAF"/>
    <w:rsid w:val="00A63543"/>
    <w:rsid w:val="00A7430D"/>
    <w:rsid w:val="00A74CD5"/>
    <w:rsid w:val="00A74D49"/>
    <w:rsid w:val="00A758B5"/>
    <w:rsid w:val="00A807BA"/>
    <w:rsid w:val="00A840D5"/>
    <w:rsid w:val="00A91E08"/>
    <w:rsid w:val="00A93515"/>
    <w:rsid w:val="00A959F1"/>
    <w:rsid w:val="00A97129"/>
    <w:rsid w:val="00A97D53"/>
    <w:rsid w:val="00AA15B2"/>
    <w:rsid w:val="00AA2003"/>
    <w:rsid w:val="00AA3E59"/>
    <w:rsid w:val="00AA69D2"/>
    <w:rsid w:val="00AB1473"/>
    <w:rsid w:val="00AB6698"/>
    <w:rsid w:val="00AC0236"/>
    <w:rsid w:val="00AC5B79"/>
    <w:rsid w:val="00AC6DF8"/>
    <w:rsid w:val="00AD1D8B"/>
    <w:rsid w:val="00AD30C6"/>
    <w:rsid w:val="00AD3963"/>
    <w:rsid w:val="00AD4DD9"/>
    <w:rsid w:val="00AE164D"/>
    <w:rsid w:val="00AE44C9"/>
    <w:rsid w:val="00AE5185"/>
    <w:rsid w:val="00AF11EE"/>
    <w:rsid w:val="00AF254B"/>
    <w:rsid w:val="00B00A44"/>
    <w:rsid w:val="00B01460"/>
    <w:rsid w:val="00B0179B"/>
    <w:rsid w:val="00B022DB"/>
    <w:rsid w:val="00B02DB5"/>
    <w:rsid w:val="00B05EB8"/>
    <w:rsid w:val="00B077A8"/>
    <w:rsid w:val="00B101D2"/>
    <w:rsid w:val="00B108D2"/>
    <w:rsid w:val="00B133BB"/>
    <w:rsid w:val="00B14FED"/>
    <w:rsid w:val="00B15D9B"/>
    <w:rsid w:val="00B15EE3"/>
    <w:rsid w:val="00B1656B"/>
    <w:rsid w:val="00B2047D"/>
    <w:rsid w:val="00B22689"/>
    <w:rsid w:val="00B27B61"/>
    <w:rsid w:val="00B3629E"/>
    <w:rsid w:val="00B37EEB"/>
    <w:rsid w:val="00B44499"/>
    <w:rsid w:val="00B4722F"/>
    <w:rsid w:val="00B51A00"/>
    <w:rsid w:val="00B53CF6"/>
    <w:rsid w:val="00B56B37"/>
    <w:rsid w:val="00B57D96"/>
    <w:rsid w:val="00B60EBB"/>
    <w:rsid w:val="00B62C50"/>
    <w:rsid w:val="00B6594B"/>
    <w:rsid w:val="00B6706E"/>
    <w:rsid w:val="00B67758"/>
    <w:rsid w:val="00B70FF6"/>
    <w:rsid w:val="00B77D91"/>
    <w:rsid w:val="00B807B3"/>
    <w:rsid w:val="00B807FC"/>
    <w:rsid w:val="00B812E5"/>
    <w:rsid w:val="00B83758"/>
    <w:rsid w:val="00B84A0E"/>
    <w:rsid w:val="00B86966"/>
    <w:rsid w:val="00B86C86"/>
    <w:rsid w:val="00B94515"/>
    <w:rsid w:val="00B95B93"/>
    <w:rsid w:val="00B970B4"/>
    <w:rsid w:val="00BA3159"/>
    <w:rsid w:val="00BB5E4C"/>
    <w:rsid w:val="00BC0DD4"/>
    <w:rsid w:val="00BC1E2F"/>
    <w:rsid w:val="00BC2537"/>
    <w:rsid w:val="00BD1331"/>
    <w:rsid w:val="00BD14D7"/>
    <w:rsid w:val="00BD2944"/>
    <w:rsid w:val="00BD36A0"/>
    <w:rsid w:val="00BE0588"/>
    <w:rsid w:val="00BE0834"/>
    <w:rsid w:val="00BE1BE1"/>
    <w:rsid w:val="00BE3533"/>
    <w:rsid w:val="00BE4E4B"/>
    <w:rsid w:val="00BE65D4"/>
    <w:rsid w:val="00BE7960"/>
    <w:rsid w:val="00BF1175"/>
    <w:rsid w:val="00BF4150"/>
    <w:rsid w:val="00BF43E9"/>
    <w:rsid w:val="00C00461"/>
    <w:rsid w:val="00C01F9F"/>
    <w:rsid w:val="00C02E1C"/>
    <w:rsid w:val="00C0604F"/>
    <w:rsid w:val="00C06706"/>
    <w:rsid w:val="00C10311"/>
    <w:rsid w:val="00C11029"/>
    <w:rsid w:val="00C11181"/>
    <w:rsid w:val="00C120D8"/>
    <w:rsid w:val="00C12505"/>
    <w:rsid w:val="00C13AF2"/>
    <w:rsid w:val="00C1633A"/>
    <w:rsid w:val="00C166DD"/>
    <w:rsid w:val="00C22606"/>
    <w:rsid w:val="00C238C5"/>
    <w:rsid w:val="00C247D4"/>
    <w:rsid w:val="00C26661"/>
    <w:rsid w:val="00C30255"/>
    <w:rsid w:val="00C303DB"/>
    <w:rsid w:val="00C308E0"/>
    <w:rsid w:val="00C31642"/>
    <w:rsid w:val="00C31B8E"/>
    <w:rsid w:val="00C33DDD"/>
    <w:rsid w:val="00C359BA"/>
    <w:rsid w:val="00C40209"/>
    <w:rsid w:val="00C418F2"/>
    <w:rsid w:val="00C45FBA"/>
    <w:rsid w:val="00C473D1"/>
    <w:rsid w:val="00C50CBE"/>
    <w:rsid w:val="00C54EBE"/>
    <w:rsid w:val="00C566FF"/>
    <w:rsid w:val="00C57B80"/>
    <w:rsid w:val="00C61185"/>
    <w:rsid w:val="00C679F5"/>
    <w:rsid w:val="00C74B7D"/>
    <w:rsid w:val="00C75D9E"/>
    <w:rsid w:val="00C80B91"/>
    <w:rsid w:val="00C81736"/>
    <w:rsid w:val="00C8288B"/>
    <w:rsid w:val="00C84B50"/>
    <w:rsid w:val="00C85469"/>
    <w:rsid w:val="00C875B3"/>
    <w:rsid w:val="00C92A7E"/>
    <w:rsid w:val="00CA19DF"/>
    <w:rsid w:val="00CA7AF0"/>
    <w:rsid w:val="00CB221A"/>
    <w:rsid w:val="00CB2FB2"/>
    <w:rsid w:val="00CB7946"/>
    <w:rsid w:val="00CB7A18"/>
    <w:rsid w:val="00CC60E7"/>
    <w:rsid w:val="00CC7487"/>
    <w:rsid w:val="00CD06A5"/>
    <w:rsid w:val="00CD1E6A"/>
    <w:rsid w:val="00CD34FC"/>
    <w:rsid w:val="00CD706B"/>
    <w:rsid w:val="00CE1EF8"/>
    <w:rsid w:val="00CE213B"/>
    <w:rsid w:val="00CF0AA6"/>
    <w:rsid w:val="00CF4B93"/>
    <w:rsid w:val="00CF5A63"/>
    <w:rsid w:val="00CF6633"/>
    <w:rsid w:val="00CF7130"/>
    <w:rsid w:val="00D076D0"/>
    <w:rsid w:val="00D11375"/>
    <w:rsid w:val="00D134B7"/>
    <w:rsid w:val="00D13894"/>
    <w:rsid w:val="00D20FAA"/>
    <w:rsid w:val="00D21D09"/>
    <w:rsid w:val="00D36A8C"/>
    <w:rsid w:val="00D428F4"/>
    <w:rsid w:val="00D43181"/>
    <w:rsid w:val="00D43EDE"/>
    <w:rsid w:val="00D4536C"/>
    <w:rsid w:val="00D45C41"/>
    <w:rsid w:val="00D45EF1"/>
    <w:rsid w:val="00D461DE"/>
    <w:rsid w:val="00D46223"/>
    <w:rsid w:val="00D50085"/>
    <w:rsid w:val="00D50DE5"/>
    <w:rsid w:val="00D54B27"/>
    <w:rsid w:val="00D54CC0"/>
    <w:rsid w:val="00D55035"/>
    <w:rsid w:val="00D578D3"/>
    <w:rsid w:val="00D63DA8"/>
    <w:rsid w:val="00D73A86"/>
    <w:rsid w:val="00D74BA3"/>
    <w:rsid w:val="00D7555A"/>
    <w:rsid w:val="00D7748E"/>
    <w:rsid w:val="00D804D2"/>
    <w:rsid w:val="00D81E2F"/>
    <w:rsid w:val="00D82906"/>
    <w:rsid w:val="00D83060"/>
    <w:rsid w:val="00D84A2D"/>
    <w:rsid w:val="00D8749B"/>
    <w:rsid w:val="00D87DB9"/>
    <w:rsid w:val="00D9436D"/>
    <w:rsid w:val="00DA3088"/>
    <w:rsid w:val="00DA4CF2"/>
    <w:rsid w:val="00DA68EF"/>
    <w:rsid w:val="00DB11D4"/>
    <w:rsid w:val="00DB227F"/>
    <w:rsid w:val="00DC3AC1"/>
    <w:rsid w:val="00DC5105"/>
    <w:rsid w:val="00DD09EF"/>
    <w:rsid w:val="00DD20D1"/>
    <w:rsid w:val="00DD64C5"/>
    <w:rsid w:val="00DD675E"/>
    <w:rsid w:val="00DE14E2"/>
    <w:rsid w:val="00DE15AC"/>
    <w:rsid w:val="00DE2C36"/>
    <w:rsid w:val="00DE2F94"/>
    <w:rsid w:val="00DE4595"/>
    <w:rsid w:val="00DE477A"/>
    <w:rsid w:val="00DE4A91"/>
    <w:rsid w:val="00DE6B35"/>
    <w:rsid w:val="00DE70C2"/>
    <w:rsid w:val="00DF0675"/>
    <w:rsid w:val="00DF46A7"/>
    <w:rsid w:val="00DF4FE6"/>
    <w:rsid w:val="00DF580D"/>
    <w:rsid w:val="00DF6FDA"/>
    <w:rsid w:val="00DF7E2B"/>
    <w:rsid w:val="00E05885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5957"/>
    <w:rsid w:val="00E36C46"/>
    <w:rsid w:val="00E370BF"/>
    <w:rsid w:val="00E37CB8"/>
    <w:rsid w:val="00E4016D"/>
    <w:rsid w:val="00E510C4"/>
    <w:rsid w:val="00E51B49"/>
    <w:rsid w:val="00E530B7"/>
    <w:rsid w:val="00E54066"/>
    <w:rsid w:val="00E611A2"/>
    <w:rsid w:val="00E61BAB"/>
    <w:rsid w:val="00E729CB"/>
    <w:rsid w:val="00E73C50"/>
    <w:rsid w:val="00E777C8"/>
    <w:rsid w:val="00E8011B"/>
    <w:rsid w:val="00E81EE4"/>
    <w:rsid w:val="00E82DCD"/>
    <w:rsid w:val="00E83444"/>
    <w:rsid w:val="00E83578"/>
    <w:rsid w:val="00E849E6"/>
    <w:rsid w:val="00E84DD9"/>
    <w:rsid w:val="00E870C1"/>
    <w:rsid w:val="00E909E6"/>
    <w:rsid w:val="00E90B70"/>
    <w:rsid w:val="00E924EC"/>
    <w:rsid w:val="00EA27C3"/>
    <w:rsid w:val="00EA2BEE"/>
    <w:rsid w:val="00EA5F36"/>
    <w:rsid w:val="00EA7A70"/>
    <w:rsid w:val="00EB15F9"/>
    <w:rsid w:val="00EB2AAE"/>
    <w:rsid w:val="00EB2FED"/>
    <w:rsid w:val="00EB57CA"/>
    <w:rsid w:val="00EC07F6"/>
    <w:rsid w:val="00EC07FA"/>
    <w:rsid w:val="00EC3FB8"/>
    <w:rsid w:val="00EC5B03"/>
    <w:rsid w:val="00EC6D9E"/>
    <w:rsid w:val="00ED3B0C"/>
    <w:rsid w:val="00ED4F97"/>
    <w:rsid w:val="00ED7B80"/>
    <w:rsid w:val="00EE087B"/>
    <w:rsid w:val="00EE0CC2"/>
    <w:rsid w:val="00EE18F8"/>
    <w:rsid w:val="00EE2204"/>
    <w:rsid w:val="00EE31D9"/>
    <w:rsid w:val="00EE71EB"/>
    <w:rsid w:val="00EF0C53"/>
    <w:rsid w:val="00EF0E92"/>
    <w:rsid w:val="00EF3487"/>
    <w:rsid w:val="00EF368A"/>
    <w:rsid w:val="00EF4795"/>
    <w:rsid w:val="00EF4FE0"/>
    <w:rsid w:val="00EF6F9D"/>
    <w:rsid w:val="00EF7495"/>
    <w:rsid w:val="00F016C8"/>
    <w:rsid w:val="00F038F0"/>
    <w:rsid w:val="00F04E2C"/>
    <w:rsid w:val="00F06CE8"/>
    <w:rsid w:val="00F0783D"/>
    <w:rsid w:val="00F12E5F"/>
    <w:rsid w:val="00F14E08"/>
    <w:rsid w:val="00F14EF1"/>
    <w:rsid w:val="00F203B0"/>
    <w:rsid w:val="00F20CD7"/>
    <w:rsid w:val="00F210E9"/>
    <w:rsid w:val="00F2150A"/>
    <w:rsid w:val="00F22AF0"/>
    <w:rsid w:val="00F32A60"/>
    <w:rsid w:val="00F33929"/>
    <w:rsid w:val="00F35BB4"/>
    <w:rsid w:val="00F370E0"/>
    <w:rsid w:val="00F404F0"/>
    <w:rsid w:val="00F424C2"/>
    <w:rsid w:val="00F42C1C"/>
    <w:rsid w:val="00F4744B"/>
    <w:rsid w:val="00F504FB"/>
    <w:rsid w:val="00F55691"/>
    <w:rsid w:val="00F55B87"/>
    <w:rsid w:val="00F6361F"/>
    <w:rsid w:val="00F64E4C"/>
    <w:rsid w:val="00F65724"/>
    <w:rsid w:val="00F66561"/>
    <w:rsid w:val="00F70B21"/>
    <w:rsid w:val="00F71390"/>
    <w:rsid w:val="00F72F62"/>
    <w:rsid w:val="00F73E1F"/>
    <w:rsid w:val="00F77459"/>
    <w:rsid w:val="00F809EE"/>
    <w:rsid w:val="00F844E6"/>
    <w:rsid w:val="00F849DE"/>
    <w:rsid w:val="00F84BE4"/>
    <w:rsid w:val="00F865A3"/>
    <w:rsid w:val="00F9026E"/>
    <w:rsid w:val="00F909DB"/>
    <w:rsid w:val="00F9314E"/>
    <w:rsid w:val="00F9432D"/>
    <w:rsid w:val="00F9475F"/>
    <w:rsid w:val="00FA4C1B"/>
    <w:rsid w:val="00FA5355"/>
    <w:rsid w:val="00FA6BF1"/>
    <w:rsid w:val="00FB4542"/>
    <w:rsid w:val="00FB6C2F"/>
    <w:rsid w:val="00FB6F47"/>
    <w:rsid w:val="00FC0091"/>
    <w:rsid w:val="00FC10E9"/>
    <w:rsid w:val="00FC4FF0"/>
    <w:rsid w:val="00FC57BC"/>
    <w:rsid w:val="00FC5D7E"/>
    <w:rsid w:val="00FD01DC"/>
    <w:rsid w:val="00FD01E1"/>
    <w:rsid w:val="00FD13B2"/>
    <w:rsid w:val="00FD3EA0"/>
    <w:rsid w:val="00FD465B"/>
    <w:rsid w:val="00FD4DFC"/>
    <w:rsid w:val="00FD6173"/>
    <w:rsid w:val="00FE19A7"/>
    <w:rsid w:val="00FE3132"/>
    <w:rsid w:val="00FE47F2"/>
    <w:rsid w:val="00FE6C0D"/>
    <w:rsid w:val="00FF10DD"/>
    <w:rsid w:val="00FF1925"/>
    <w:rsid w:val="00FF199F"/>
    <w:rsid w:val="00FF2F68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6" ma:contentTypeDescription="Create a new document." ma:contentTypeScope="" ma:versionID="be93aeb6d1b533fe02788bff7c7954ad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e549c8c13f633cd538364f8b62aa9ba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2EF057-44B5-435D-82E0-3BBF6A8A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4</cp:revision>
  <dcterms:created xsi:type="dcterms:W3CDTF">2025-12-16T19:08:00Z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  <property fmtid="{D5CDD505-2E9C-101B-9397-08002B2CF9AE}" pid="4" name="MediaServiceImageTags">
    <vt:lpwstr/>
  </property>
</Properties>
</file>