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Komentarz ekspercki</w:t>
      </w: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        Wrocław, 17.12..2025 r.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Rynek pracy 2026: era projektów, kompetencji i niezależności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</w:rPr>
        <w:drawing>
          <wp:inline distB="114300" distT="114300" distL="114300" distR="114300">
            <wp:extent cx="5731200" cy="3822700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Rok 2026 przynosi wyczekiwane uspokojenie na rynku pracy. Po okresie turbulencji związanych z inflacją, presją płacową i dużą ostrożnością firm, obserwujemy lekki wzrost zatrudnienia oraz rosnącą skłonność pracowników do podejmowania dodatkowych zajęć poza etatem. Jednocześnie przedsiębiorstwa coraz intensywniej inwestują w automatyzację i technologie wspierające pracę, a pracownicy oraz pracodawcy stają dziś przed wspólnym wyzwaniem: rosnącym deficytem kompetencji. W tym kontekście elastyczne formy zatrudnienia, zwłaszcza freelancing, przestają być alternatywą — stają się jednym z głównych kierunków rozwoju współczesnego rynku pracy, szczególnie wśród młodszych pokoleń, które coraz odważniej stawiają na autonomię i wolność wyboru.</w:t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 nadchodzącym roku na rynku pracy, najważniejszych trendach i wyzwaniach dla pracowników czy pracodawców, a także o tym, dlaczego freelancing staje się centrum krajobrazu rynkowego mówi Przemysław Głośny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z platformy Useme, która łączy freelancerów i zleceniodawców oraz ułatwia ich rozliczenie.</w:t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Stabilizacja z oznakami ożywienia</w:t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Każdy kwartał na rynku pracy rządzi się swoimi prawami. Po końcówce 2025 roku, charakteryzującej się lekkim spowolnieniem pod kątem ruchów rekrutacyjnych, w nadchodzących miesiącach możemy spodziewać się ożywienia, co potwierdzają badania rynkowe, takie jak najnowszy Barometr ManpowerGroup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. Wynika z niego, że w pierwszym kwartale 2026 roku zwiększenie liczby pracowników planuje aż 36 proc. firm.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Z drugiej strony, Monitor Rynku Pracy Randstad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  <w:t xml:space="preserve"> wskazuje na dużo mniejszy, niż w ostatnich latach poziom rotacji pracowniczej, która spadła w 2. kwartale 2025 roku do 16-19 procent. Towarzyszyły jej także spadki tempa wzrostu wynagrodzeń. Co ciekawe, brak wizji podwyżki niekoniecznie zachęca pracowników do poszukiwania nowej pracy - 45 proc. badanych nie szuka pracy, a kolejne 45 proc. jedynie bada rynek pod kątem ofert.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Co istotne, osoby niezadowolone z poziomu swojego wynagrodzenia, najczęściej (72 proc. wskazań) deklarują rozwiązanie w postaci poszukiwania dodatkowego zatrudnienia, np. zlecenia czy niepełnego etatu, co wskazuje na dalszy rozwój rynku freelancingu. Chęć zatrudnienia freelancerów potwierdzają także sami przedsiębiorcy. Z tegorocznego raportu Useme "Jak freelancerzy wspierają rozwój przedsiębiorstw"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  <w:t xml:space="preserve"> wynika, że aż 74% firm planuje kontynuować lub zwiększyć zakres współpracy z freelancerami w ciągu najbliższych dwóch lat.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Potrzeba uporządkowania elastycznych form pracy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Freelancing - zjawisko, które jeszcze kilka lat temu było niszą, dziś staje się naturalną odpowiedzią na wzrost kosztów życia, ale także na rosnącą potrzebę niezależności. Według statystyk Komisji Europejskiej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  <w:t xml:space="preserve"> w samej tylko Unii pracuje obecnie 43 miliony freelancerów, a ponad połowa z nich nie rozważa powrotu na etat. To wypadkowa wielu czynników, w tym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m.in</w:t>
        </w:r>
      </w:hyperlink>
      <w:r w:rsidDel="00000000" w:rsidR="00000000" w:rsidRPr="00000000">
        <w:rPr>
          <w:rtl w:val="0"/>
        </w:rPr>
        <w:t xml:space="preserve">. zmieniającego się podejścia pracowników do kwestii rozwoju kariery, zwłaszcza tych urodzonych po roku 2000. Dla młodszych pokoleń elastyczność nie jest dodatkiem — jest podstawowym wymaganiem wobec pracodawców. 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Wspomniana elastyczność dotyczy modelu pracy projektowej, elastycznych godzin, hybrydowych form współpracy, a także pracy zdalnej. Wymusza to jednak na firmach, ale i na Państwie, potrzebę uregulowania pewnych kwestii dotyczących chociażby elastycznych form współpracy. Chodzi tu zwłaszcza o wypracowanie nowego podejścia do tematu bezpieczeństwa socjalnego i finansowego freelancerów, którzy obawiają się zakładania JDG. Dlaczego? „Wolni strzelcy” w Polsce napotykają liczne bariery, które utrudniają im rozwój na własnych zasadach. Wysokie koszty prowadzenia działalności, niestabilność przepisów oraz brak systemowych rozwiązań dla osób pracujących niezależnie, w połączeniu z niepewnością co do regularności zleceń, sprawiają, że rozpoczęcie działalności — szczególnie na wczesnym etapie — bywa trudne i często nieopłacalne.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Jak zabezpieczyć osoby, które chcą rozwijać się w świecie freelancingu bez firmy? </w:t>
      </w:r>
      <w:r w:rsidDel="00000000" w:rsidR="00000000" w:rsidRPr="00000000">
        <w:rPr>
          <w:rtl w:val="0"/>
        </w:rPr>
        <w:t xml:space="preserve">W Europie coraz częściej pojawiają się modele, które łączą elastyczność pracy z dodatkową ochroną – np. zbiorcze ubezpieczenia czy dodatkowe benefity dla freelancerów. Trwają też prace nad elastycznymi ubezpieczeniami dla osób pracujących niezależnie. My także </w:t>
      </w:r>
      <w:r w:rsidDel="00000000" w:rsidR="00000000" w:rsidRPr="00000000">
        <w:rPr>
          <w:rtl w:val="0"/>
        </w:rPr>
        <w:t xml:space="preserve">wprowadziliśmy właśnie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 Useme</w:t>
      </w:r>
      <w:r w:rsidDel="00000000" w:rsidR="00000000" w:rsidRPr="00000000">
        <w:rPr>
          <w:rtl w:val="0"/>
        </w:rPr>
        <w:t xml:space="preserve"> nową opcję dla freelancerów - </w:t>
      </w:r>
      <w:r w:rsidDel="00000000" w:rsidR="00000000" w:rsidRPr="00000000">
        <w:rPr>
          <w:rtl w:val="0"/>
        </w:rPr>
        <w:t xml:space="preserve">rozwiązanie, które zapewnia zabezpieczenie w postaci ubezpieczenia zdrowotnego w razie kłopotów ze zdrowiem czy daje dostęp do benefitów pracowniczych, bez konieczności prowadzenia JDG. Myślę, że kolejny rok przyniesie jeszcze więcej dyskusji na temat tego, jak wypracować balans pomiędzy niezależnością a poczuciem bezpieczeństwa u pracowników projektowych. 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Technologia i automatyzacja jako katalizator zmian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Mówiąc o trendach i prognozach, nie sposób nie wspomnieć o tym, że 2026 rok będzie również okresem intensyfikacji inwestycji w automatyzację i sztuczną inteligencję. Firmy coraz szerzej wdrażają rozwiązania AI – zarówno generatywne, jak i wspierające analizę danych, komunikację z klientem czy zarządzanie procesami. Według „Future of Jobs Report 2025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  <w:t xml:space="preserve">” przygotowanego przez World Economic Forum aż 86% przedsiębiorstw uważa, że to właśnie AI i technologie przetwarzania danych będą miały największy wpływ na ich działalność do 2030 roku. 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Technologia nie oznacza jednak redukcji zatrudnienia na masową skalę — przeciwnie, badania naukowe wskazują, że automatyzacja zwiększa popyt na umiejętności ludzkie uzupełniające pracę algorytmów: kreatywność, zdolności analityczne, współpracę zespołową czy kompetencje cyfrowe. Zawody najbardziej związane z AI i analizą danych są jednocześnie tymi, w których obserwujemy najszybszy wzrost płac oraz największą dynamikę popytu. 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Firmy przyznają, że największą barierą we wdrażaniu automatyzacji jest właśnie brak odpowiednich kompetencji w zespołach. Oznacza to więc dla nich konieczność ciągłego podnoszenia kwalifikacji pracowników lub pozyskiwania tych kompetencji z zewnątrz — najczęściej w modelu projektowym, poprzez wyspecjalizowanych freelancerów.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Dalsze niedobory kompetencyjne</w:t>
      </w:r>
    </w:p>
    <w:p w:rsidR="00000000" w:rsidDel="00000000" w:rsidP="00000000" w:rsidRDefault="00000000" w:rsidRPr="00000000" w14:paraId="0000002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Wspomniani freelancerzy są kluczowi w kontekście coraz bardziej widocznej luki kompetencyjnej. Aż 59% firm w Polsce deklaruje trudności z pozyskaniem odpowiednich pracowników. Zgodnie z danymi PARP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największe braki dotyczą nie tylko sektorów zaawansowanych technologicznie i trudności z pozyskaniem programistów, analityków danych, ekspertów od cyberbezpieczeństwa czy specjalistów w obszarze automatyzacji, o czym wspomniano już wyżej. Obecnie brakuje także umiejętności technicznych, inżynieryjnych, logistycznych, produkcyjnych oraz tych związanych z obsługą klienta. 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Na znaczeniu zyskuje również podejście oparte na umiejętnościach, a nie na formalnym wykształceniu. Badania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  <w:t xml:space="preserve"> prowadzone w latach 2018–2024 pokazują, że popyt na kompetencje związane ze wspomnianym AI wzrósł o ponad 20%, podczas gdy znaczenie dyplomów akademickich w procesach rekrutacyjnych spadło o kilkanaście procent. W efekcie pracownicy, którzy potrafią szybko zdobywać nowe umiejętności i odnajdywać się w środowisku technologicznym, są dziś najbardziej poszukiwani — niezależnie od posiadanych tytułów akademickich.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Firmy nieustannie szukają rozwiązań na skuteczne pozyskiwanie i utrzymanie u siebie talentów z rynku. Jedną z recept na niedobory kompetencyjne są budowane coraz chętniej w firmach zespoły hybrydowe — łączące pracowników etatowych z freelancerami, ekspertami na kontraktach oraz specjalistami dostęp­nymi „na żądanie”. Taka struktura daje im większą zwinność operacyjną i pozwala uzupełniać kompetencje bez konieczności długotrwałej rekrutacji. To kolejny argument dla dalszego rozwoju rynku freelancingu w Polsce. </w:t>
      </w:r>
    </w:p>
    <w:p w:rsidR="00000000" w:rsidDel="00000000" w:rsidP="00000000" w:rsidRDefault="00000000" w:rsidRPr="00000000" w14:paraId="0000002A">
      <w:pPr>
        <w:jc w:val="both"/>
        <w:rPr>
          <w:rFonts w:ascii="Georgia" w:cs="Georgia" w:eastAsia="Georgia" w:hAnsi="Georgia"/>
          <w:b w:val="1"/>
          <w:bCs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Useme to istniejąca od 2013 roku platforma dla freelancerów oraz zleceniodawców z siedzibą we Wrocławiu. W bazie Useme znajduje się 185 tys. freelancerów z takich dziedzin jak IT, grafika, copywriting, marketing, tłumaczenia i inne. Platforma zajmuje się wszystkimi kwestiami prawnymi i podatkowymi po stronie freelancera i zleceniodawcy, a także umożliwia rozliczanie podwykonawców zagranicznych. Useme jest liderem rozliczeń pracy zdalnej w Polsce, Europie Centralnej i Wschodniej.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spacing w:after="320" w:line="240" w:lineRule="auto"/>
      <w:jc w:val="both"/>
      <w:rPr>
        <w:rFonts w:ascii="Lato" w:cs="Lato" w:eastAsia="Lato" w:hAnsi="Lato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85726</wp:posOffset>
          </wp:positionH>
          <wp:positionV relativeFrom="paragraph">
            <wp:posOffset>517525</wp:posOffset>
          </wp:positionV>
          <wp:extent cx="187325" cy="257572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325" cy="257572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9029.0" w:type="dxa"/>
      <w:jc w:val="right"/>
      <w:tblLayout w:type="fixed"/>
      <w:tblLook w:val="0600"/>
    </w:tblPr>
    <w:tblGrid>
      <w:gridCol w:w="675"/>
      <w:gridCol w:w="6854"/>
      <w:gridCol w:w="1500"/>
      <w:tblGridChange w:id="0">
        <w:tblGrid>
          <w:gridCol w:w="675"/>
          <w:gridCol w:w="6854"/>
          <w:gridCol w:w="15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58.740157480315" w:type="dxa"/>
            <w:left w:w="158.740157480315" w:type="dxa"/>
            <w:bottom w:w="158.740157480315" w:type="dxa"/>
            <w:right w:w="158.740157480315" w:type="dxa"/>
          </w:tcMar>
          <w:vAlign w:val="bottom"/>
        </w:tcPr>
        <w:p w:rsidR="00000000" w:rsidDel="00000000" w:rsidP="00000000" w:rsidRDefault="00000000" w:rsidRPr="00000000" w14:paraId="00000030">
          <w:pPr>
            <w:spacing w:line="240" w:lineRule="auto"/>
            <w:jc w:val="both"/>
            <w:rPr>
              <w:rFonts w:ascii="Lato" w:cs="Lato" w:eastAsia="Lato" w:hAnsi="Lato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-807.3070866141733" w:type="dxa"/>
            <w:left w:w="-807.3070866141733" w:type="dxa"/>
            <w:bottom w:w="-807.3070866141733" w:type="dxa"/>
            <w:right w:w="-807.3070866141733" w:type="dxa"/>
          </w:tcMar>
          <w:vAlign w:val="bottom"/>
        </w:tcPr>
        <w:p w:rsidR="00000000" w:rsidDel="00000000" w:rsidP="00000000" w:rsidRDefault="00000000" w:rsidRPr="00000000" w14:paraId="00000031">
          <w:pPr>
            <w:spacing w:line="240" w:lineRule="auto"/>
            <w:jc w:val="center"/>
            <w:rPr>
              <w:rFonts w:ascii="Lato" w:cs="Lato" w:eastAsia="Lato" w:hAnsi="Lato"/>
              <w:color w:val="787b93"/>
              <w:sz w:val="16"/>
              <w:szCs w:val="16"/>
            </w:rPr>
          </w:pPr>
          <w:r w:rsidDel="00000000" w:rsidR="00000000" w:rsidRPr="00000000">
            <w:rPr>
              <w:rFonts w:ascii="Lato" w:cs="Lato" w:eastAsia="Lato" w:hAnsi="Lato"/>
              <w:color w:val="787b93"/>
              <w:sz w:val="16"/>
              <w:szCs w:val="16"/>
              <w:rtl w:val="0"/>
            </w:rPr>
            <w:t xml:space="preserve">Useme Sp. z o.o. · ul. Świdnicka 12-16 · 50-068 Wrocław · Polska · NIP: 8992744965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-807.3070866141733" w:type="dxa"/>
            <w:left w:w="-807.3070866141733" w:type="dxa"/>
            <w:bottom w:w="-807.3070866141733" w:type="dxa"/>
            <w:right w:w="-807.3070866141733" w:type="dxa"/>
          </w:tcMar>
          <w:vAlign w:val="bottom"/>
        </w:tcPr>
        <w:p w:rsidR="00000000" w:rsidDel="00000000" w:rsidP="00000000" w:rsidRDefault="00000000" w:rsidRPr="00000000" w14:paraId="00000032">
          <w:pPr>
            <w:widowControl w:val="0"/>
            <w:spacing w:line="240" w:lineRule="auto"/>
            <w:rPr>
              <w:rFonts w:ascii="Lato" w:cs="Lato" w:eastAsia="Lato" w:hAnsi="Lato"/>
              <w:b w:val="1"/>
              <w:bCs w:val="1"/>
              <w:color w:val="4955ff"/>
              <w:sz w:val="18"/>
              <w:szCs w:val="18"/>
            </w:rPr>
          </w:pPr>
          <w:r w:rsidDel="00000000" w:rsidR="00000000" w:rsidRPr="00000000">
            <w:rPr>
              <w:rFonts w:ascii="Lato" w:cs="Lato" w:eastAsia="Lato" w:hAnsi="Lato"/>
              <w:b w:val="1"/>
              <w:bCs w:val="1"/>
              <w:color w:val="4955ff"/>
              <w:sz w:val="18"/>
              <w:szCs w:val="18"/>
              <w:rtl w:val="0"/>
            </w:rPr>
            <w:t xml:space="preserve">useme.com</w:t>
          </w:r>
        </w:p>
      </w:tc>
    </w:tr>
  </w:tbl>
  <w:p w:rsidR="00000000" w:rsidDel="00000000" w:rsidP="00000000" w:rsidRDefault="00000000" w:rsidRPr="00000000" w14:paraId="00000033">
    <w:pPr>
      <w:spacing w:after="320" w:line="240" w:lineRule="auto"/>
      <w:jc w:val="both"/>
      <w:rPr>
        <w:rFonts w:ascii="Lato" w:cs="Lato" w:eastAsia="Lato" w:hAnsi="Lato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https://biuroprasowe.manpowergroup.pl/438530-36-firm-planuje-rekrutacje-w-i-kwartale-13-bedzie-zwalniac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1">
    <w:p w:rsidR="00000000" w:rsidDel="00000000" w:rsidP="00000000" w:rsidRDefault="00000000" w:rsidRPr="00000000" w14:paraId="0000003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https://www.randstad.pl/o-randstad/dla-mediow/press/w-przyszlym-roku-podwyzek-oczekuje-54-proc-zatrudnionych-w-polsce-ale/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2">
    <w:p w:rsidR="00000000" w:rsidDel="00000000" w:rsidP="00000000" w:rsidRDefault="00000000" w:rsidRPr="00000000" w14:paraId="0000003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https://useme.com/pl/blog/raport-dla-biznesu/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3">
    <w:p w:rsidR="00000000" w:rsidDel="00000000" w:rsidP="00000000" w:rsidRDefault="00000000" w:rsidRPr="00000000" w14:paraId="0000003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4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https://www.consilium.europa.eu/en/policies/digital-platform-workers-in-the-eu/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4">
    <w:p w:rsidR="00000000" w:rsidDel="00000000" w:rsidP="00000000" w:rsidRDefault="00000000" w:rsidRPr="00000000" w14:paraId="0000003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https://www.weforum.org/publications/the-future-of-jobs-report-2025/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5">
    <w:p w:rsidR="00000000" w:rsidDel="00000000" w:rsidP="00000000" w:rsidRDefault="00000000" w:rsidRPr="00000000" w14:paraId="0000003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https://www.parp.gov.pl/component/content/article/88128%3Aniedobor-talentow-i-nowe-modele-pracy-obraz-rynku-w-2025-r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6">
    <w:p w:rsidR="00000000" w:rsidDel="00000000" w:rsidP="00000000" w:rsidRDefault="00000000" w:rsidRPr="00000000" w14:paraId="0000003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https://arxiv.org/abs/2312.11942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widowControl w:val="0"/>
      <w:spacing w:line="240" w:lineRule="auto"/>
      <w:rPr/>
    </w:pPr>
    <w:r w:rsidDel="00000000" w:rsidR="00000000" w:rsidRPr="00000000">
      <w:rPr>
        <w:rFonts w:ascii="Lato" w:cs="Lato" w:eastAsia="Lato" w:hAnsi="Lato"/>
        <w:sz w:val="20"/>
        <w:szCs w:val="20"/>
      </w:rPr>
      <w:drawing>
        <wp:inline distB="114300" distT="114300" distL="114300" distR="114300">
          <wp:extent cx="1228725" cy="6191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78571" t="0"/>
                  <a:stretch>
                    <a:fillRect/>
                  </a:stretch>
                </pic:blipFill>
                <pic:spPr>
                  <a:xfrm>
                    <a:off x="0" y="0"/>
                    <a:ext cx="1228725" cy="619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3.jpg"/><Relationship Id="rId8" Type="http://schemas.openxmlformats.org/officeDocument/2006/relationships/hyperlink" Target="http://m.i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biuroprasowe.manpowergroup.pl/438530-36-firm-planuje-rekrutacje-w-i-kwartale-13-bedzie-zwalniac" TargetMode="External"/><Relationship Id="rId2" Type="http://schemas.openxmlformats.org/officeDocument/2006/relationships/hyperlink" Target="https://www.randstad.pl/o-randstad/dla-mediow/press/w-przyszlym-roku-podwyzek-oczekuje-54-proc-zatrudnionych-w-polsce-ale/" TargetMode="External"/><Relationship Id="rId3" Type="http://schemas.openxmlformats.org/officeDocument/2006/relationships/hyperlink" Target="https://useme.com/pl/blog/raport-dla-biznesu/" TargetMode="External"/><Relationship Id="rId4" Type="http://schemas.openxmlformats.org/officeDocument/2006/relationships/hyperlink" Target="https://www.consilium.europa.eu/en/policies/digital-platform-workers-in-the-eu/" TargetMode="External"/><Relationship Id="rId5" Type="http://schemas.openxmlformats.org/officeDocument/2006/relationships/hyperlink" Target="https://www.weforum.org/publications/the-future-of-jobs-report-2025/" TargetMode="External"/><Relationship Id="rId6" Type="http://schemas.openxmlformats.org/officeDocument/2006/relationships/hyperlink" Target="https://www.parp.gov.pl/component/content/article/88128%3Aniedobor-talentow-i-nowe-modele-pracy-obraz-rynku-w-2025-r" TargetMode="External"/><Relationship Id="rId7" Type="http://schemas.openxmlformats.org/officeDocument/2006/relationships/hyperlink" Target="https://arxiv.org/abs/2312.11942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