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592D" w14:textId="06ED85EC" w:rsidR="00B1376E" w:rsidRPr="00F21153" w:rsidRDefault="00F21153" w:rsidP="00F21153">
      <w:pPr>
        <w:spacing w:line="276" w:lineRule="auto"/>
        <w:jc w:val="center"/>
        <w:rPr>
          <w:rFonts w:ascii="Century Gothic" w:hAnsi="Century Gothic" w:cs="Arial"/>
          <w:b/>
          <w:bCs/>
          <w:sz w:val="22"/>
          <w:szCs w:val="22"/>
        </w:rPr>
      </w:pPr>
      <w:r w:rsidRPr="00F21153">
        <w:rPr>
          <w:rFonts w:ascii="Century Gothic" w:hAnsi="Century Gothic" w:cs="Arial"/>
          <w:b/>
          <w:bCs/>
          <w:sz w:val="22"/>
          <w:szCs w:val="22"/>
        </w:rPr>
        <w:t>IPAM divulga conclusões da 17.ª edição do estudo “Compras de Natal”</w:t>
      </w:r>
    </w:p>
    <w:p w14:paraId="372A7F93" w14:textId="18528C6D" w:rsidR="00F21153" w:rsidRDefault="00F21153" w:rsidP="00B1376E">
      <w:pPr>
        <w:spacing w:after="0" w:line="276" w:lineRule="auto"/>
        <w:jc w:val="center"/>
        <w:rPr>
          <w:rFonts w:ascii="Century Gothic" w:hAnsi="Century Gothic" w:cs="Arial"/>
          <w:b/>
          <w:bCs/>
          <w:sz w:val="32"/>
          <w:szCs w:val="28"/>
        </w:rPr>
      </w:pPr>
      <w:r w:rsidRPr="00F21153">
        <w:rPr>
          <w:rFonts w:ascii="Century Gothic" w:hAnsi="Century Gothic" w:cs="Arial"/>
          <w:b/>
          <w:bCs/>
          <w:sz w:val="32"/>
          <w:szCs w:val="28"/>
        </w:rPr>
        <w:t>Subsídio de Natal volta a ser determinante no orçamento das famílias neste Natal</w:t>
      </w:r>
    </w:p>
    <w:p w14:paraId="104003DD" w14:textId="77777777" w:rsidR="00B1376E" w:rsidRPr="00506723" w:rsidRDefault="00B1376E" w:rsidP="00B1376E">
      <w:pPr>
        <w:spacing w:after="0" w:line="276" w:lineRule="auto"/>
        <w:jc w:val="center"/>
        <w:rPr>
          <w:rFonts w:ascii="Century Gothic" w:hAnsi="Century Gothic" w:cs="Arial"/>
          <w:b/>
          <w:bCs/>
          <w:szCs w:val="28"/>
        </w:rPr>
      </w:pPr>
    </w:p>
    <w:p w14:paraId="0AEC3FE4" w14:textId="14D7A578" w:rsidR="00B1376E" w:rsidRDefault="002E6AE4" w:rsidP="002E6AE4">
      <w:pPr>
        <w:spacing w:line="276" w:lineRule="auto"/>
        <w:jc w:val="center"/>
        <w:rPr>
          <w:rFonts w:ascii="Century Gothic" w:hAnsi="Century Gothic" w:cs="Arial"/>
          <w:b/>
          <w:bCs/>
          <w:sz w:val="22"/>
          <w:szCs w:val="22"/>
        </w:rPr>
      </w:pPr>
      <w:r w:rsidRPr="002E6AE4">
        <w:rPr>
          <w:rFonts w:ascii="Century Gothic" w:hAnsi="Century Gothic" w:cs="Arial"/>
          <w:b/>
          <w:bCs/>
          <w:sz w:val="22"/>
          <w:szCs w:val="22"/>
        </w:rPr>
        <w:t>Apesar do contexto económico exigente, o orçamento médio para o Natal sobe para 398 euros</w:t>
      </w:r>
      <w:r w:rsidR="0092153B">
        <w:rPr>
          <w:rFonts w:ascii="Century Gothic" w:hAnsi="Century Gothic" w:cs="Arial"/>
          <w:b/>
          <w:bCs/>
          <w:sz w:val="22"/>
          <w:szCs w:val="22"/>
        </w:rPr>
        <w:t>.  O</w:t>
      </w:r>
      <w:r w:rsidRPr="002E6AE4">
        <w:rPr>
          <w:rFonts w:ascii="Century Gothic" w:hAnsi="Century Gothic" w:cs="Arial"/>
          <w:b/>
          <w:bCs/>
          <w:sz w:val="22"/>
          <w:szCs w:val="22"/>
        </w:rPr>
        <w:t xml:space="preserve"> comércio digital consolida o seu peso e atrai uma fatia crescente de compradores.</w:t>
      </w:r>
    </w:p>
    <w:p w14:paraId="2C8A7DCD" w14:textId="77777777" w:rsidR="002E6AE4" w:rsidRPr="00506723" w:rsidRDefault="002E6AE4" w:rsidP="00506723">
      <w:pPr>
        <w:spacing w:after="0" w:line="276" w:lineRule="auto"/>
        <w:jc w:val="center"/>
        <w:rPr>
          <w:rFonts w:ascii="Century Gothic" w:hAnsi="Century Gothic" w:cs="Arial"/>
          <w:sz w:val="20"/>
          <w:szCs w:val="22"/>
        </w:rPr>
      </w:pPr>
    </w:p>
    <w:p w14:paraId="3ECB5E70" w14:textId="108C8658" w:rsidR="00B1376E" w:rsidRPr="00B1376E" w:rsidRDefault="00B1376E" w:rsidP="00B1376E">
      <w:pPr>
        <w:spacing w:line="276" w:lineRule="auto"/>
        <w:jc w:val="both"/>
        <w:rPr>
          <w:rFonts w:ascii="Century Gothic" w:hAnsi="Century Gothic" w:cs="Arial"/>
          <w:sz w:val="22"/>
          <w:szCs w:val="22"/>
        </w:rPr>
      </w:pPr>
      <w:r w:rsidRPr="00B1376E">
        <w:rPr>
          <w:rFonts w:ascii="Century Gothic" w:hAnsi="Century Gothic" w:cs="Arial"/>
          <w:sz w:val="22"/>
          <w:szCs w:val="22"/>
        </w:rPr>
        <w:t xml:space="preserve">O subsídio de Natal continua a ser um elemento determinante no comportamento de compra dos portugueses. De acordo com a 17.ª edição do estudo “Compras de Natal”, realizado pelo IPAM, </w:t>
      </w:r>
      <w:r w:rsidRPr="00B1376E">
        <w:rPr>
          <w:rFonts w:ascii="Century Gothic" w:hAnsi="Century Gothic" w:cs="Arial"/>
          <w:b/>
          <w:bCs/>
          <w:sz w:val="22"/>
          <w:szCs w:val="22"/>
        </w:rPr>
        <w:t>85% dos inquiridos recebe este rendimento adicional</w:t>
      </w:r>
      <w:r w:rsidRPr="00B1376E">
        <w:rPr>
          <w:rFonts w:ascii="Century Gothic" w:hAnsi="Century Gothic" w:cs="Arial"/>
          <w:sz w:val="22"/>
          <w:szCs w:val="22"/>
        </w:rPr>
        <w:t xml:space="preserve">, percentagem praticamente estável desde 2020. </w:t>
      </w:r>
      <w:r w:rsidR="002E6AE4">
        <w:rPr>
          <w:rFonts w:ascii="Century Gothic" w:hAnsi="Century Gothic" w:cs="Arial"/>
          <w:sz w:val="22"/>
          <w:szCs w:val="22"/>
        </w:rPr>
        <w:t>A</w:t>
      </w:r>
      <w:r w:rsidRPr="00B1376E">
        <w:rPr>
          <w:rFonts w:ascii="Century Gothic" w:hAnsi="Century Gothic" w:cs="Arial"/>
          <w:b/>
          <w:bCs/>
          <w:sz w:val="22"/>
          <w:szCs w:val="22"/>
        </w:rPr>
        <w:t xml:space="preserve"> maioria utiliza uma parte significativa do montante nas compras da época</w:t>
      </w:r>
      <w:r w:rsidRPr="00B1376E">
        <w:rPr>
          <w:rFonts w:ascii="Century Gothic" w:hAnsi="Century Gothic" w:cs="Arial"/>
          <w:sz w:val="22"/>
          <w:szCs w:val="22"/>
        </w:rPr>
        <w:t xml:space="preserve">, enquanto apenas </w:t>
      </w:r>
      <w:r w:rsidRPr="00B1376E">
        <w:rPr>
          <w:rFonts w:ascii="Century Gothic" w:hAnsi="Century Gothic" w:cs="Arial"/>
          <w:b/>
          <w:bCs/>
          <w:sz w:val="22"/>
          <w:szCs w:val="22"/>
        </w:rPr>
        <w:t>1% não tenciona aplicá-lo no consumo natalício</w:t>
      </w:r>
      <w:r w:rsidRPr="00B1376E">
        <w:rPr>
          <w:rFonts w:ascii="Century Gothic" w:hAnsi="Century Gothic" w:cs="Arial"/>
          <w:sz w:val="22"/>
          <w:szCs w:val="22"/>
        </w:rPr>
        <w:t xml:space="preserve"> e </w:t>
      </w:r>
      <w:r w:rsidRPr="00B1376E">
        <w:rPr>
          <w:rFonts w:ascii="Century Gothic" w:hAnsi="Century Gothic" w:cs="Arial"/>
          <w:b/>
          <w:bCs/>
          <w:sz w:val="22"/>
          <w:szCs w:val="22"/>
        </w:rPr>
        <w:t>3% prevê gastar o subsídio na totalidade</w:t>
      </w:r>
      <w:r w:rsidRPr="00B1376E">
        <w:rPr>
          <w:rFonts w:ascii="Century Gothic" w:hAnsi="Century Gothic" w:cs="Arial"/>
          <w:sz w:val="22"/>
          <w:szCs w:val="22"/>
        </w:rPr>
        <w:t>.</w:t>
      </w:r>
    </w:p>
    <w:p w14:paraId="1AF2C588" w14:textId="71C8F2C8" w:rsidR="00B1376E" w:rsidRDefault="00B1376E" w:rsidP="00B1376E">
      <w:pPr>
        <w:spacing w:line="276" w:lineRule="auto"/>
        <w:jc w:val="both"/>
        <w:rPr>
          <w:rFonts w:ascii="Century Gothic" w:hAnsi="Century Gothic" w:cs="Arial"/>
          <w:sz w:val="22"/>
          <w:szCs w:val="22"/>
        </w:rPr>
      </w:pPr>
      <w:r>
        <w:rPr>
          <w:rFonts w:ascii="Century Gothic" w:hAnsi="Century Gothic" w:cs="Arial"/>
          <w:sz w:val="22"/>
          <w:szCs w:val="22"/>
        </w:rPr>
        <w:t>No que diz respeito ao</w:t>
      </w:r>
      <w:r w:rsidRPr="00B1376E">
        <w:rPr>
          <w:rFonts w:ascii="Century Gothic" w:hAnsi="Century Gothic" w:cs="Arial"/>
          <w:sz w:val="22"/>
          <w:szCs w:val="22"/>
        </w:rPr>
        <w:t xml:space="preserve"> valor médio esperado para as compras de Natal situa-se nos </w:t>
      </w:r>
      <w:r w:rsidRPr="00B1376E">
        <w:rPr>
          <w:rFonts w:ascii="Century Gothic" w:hAnsi="Century Gothic" w:cs="Arial"/>
          <w:b/>
          <w:bCs/>
          <w:sz w:val="22"/>
          <w:szCs w:val="22"/>
        </w:rPr>
        <w:t>398 euros</w:t>
      </w:r>
      <w:r w:rsidRPr="00B1376E">
        <w:rPr>
          <w:rFonts w:ascii="Century Gothic" w:hAnsi="Century Gothic" w:cs="Arial"/>
          <w:sz w:val="22"/>
          <w:szCs w:val="22"/>
        </w:rPr>
        <w:t xml:space="preserve">, um crescimento de </w:t>
      </w:r>
      <w:r w:rsidRPr="00B1376E">
        <w:rPr>
          <w:rFonts w:ascii="Century Gothic" w:hAnsi="Century Gothic" w:cs="Arial"/>
          <w:b/>
          <w:bCs/>
          <w:sz w:val="22"/>
          <w:szCs w:val="22"/>
        </w:rPr>
        <w:t>1,55% face a 2024</w:t>
      </w:r>
      <w:r w:rsidRPr="00B1376E">
        <w:rPr>
          <w:rFonts w:ascii="Century Gothic" w:hAnsi="Century Gothic" w:cs="Arial"/>
          <w:sz w:val="22"/>
          <w:szCs w:val="22"/>
        </w:rPr>
        <w:t xml:space="preserve">. Esta evolução prolonga a inversão de tendência registada no ano passado, quando o gasto médio aumentou 10% após dois anos de descida. Contudo, tal como já tinha sido observado em 2024, </w:t>
      </w:r>
      <w:r w:rsidRPr="00B1376E">
        <w:rPr>
          <w:rFonts w:ascii="Century Gothic" w:hAnsi="Century Gothic" w:cs="Arial"/>
          <w:b/>
          <w:bCs/>
          <w:sz w:val="22"/>
          <w:szCs w:val="22"/>
        </w:rPr>
        <w:t>a maior parte dos consumidores identifica o aumento dos preços como o principal motivo para esta subida</w:t>
      </w:r>
      <w:r w:rsidRPr="00B1376E">
        <w:rPr>
          <w:rFonts w:ascii="Century Gothic" w:hAnsi="Century Gothic" w:cs="Arial"/>
          <w:sz w:val="22"/>
          <w:szCs w:val="22"/>
        </w:rPr>
        <w:t>, e não uma maior disponibilidade financeira.</w:t>
      </w:r>
    </w:p>
    <w:p w14:paraId="1863569B" w14:textId="02CB1078" w:rsidR="00B1376E" w:rsidRDefault="00C05372" w:rsidP="00B1376E">
      <w:pPr>
        <w:spacing w:line="276" w:lineRule="auto"/>
        <w:jc w:val="both"/>
        <w:rPr>
          <w:rFonts w:ascii="Century Gothic" w:hAnsi="Century Gothic" w:cs="Arial"/>
          <w:sz w:val="22"/>
          <w:szCs w:val="22"/>
        </w:rPr>
      </w:pPr>
      <w:r w:rsidRPr="00C05372">
        <w:rPr>
          <w:rFonts w:ascii="Century Gothic" w:hAnsi="Century Gothic" w:cs="Arial"/>
          <w:sz w:val="22"/>
          <w:szCs w:val="22"/>
        </w:rPr>
        <w:t>Dos inquiridos que referem que vão gastar um valor inferior em 202</w:t>
      </w:r>
      <w:r w:rsidR="002E6AE4">
        <w:rPr>
          <w:rFonts w:ascii="Century Gothic" w:hAnsi="Century Gothic" w:cs="Arial"/>
          <w:sz w:val="22"/>
          <w:szCs w:val="22"/>
        </w:rPr>
        <w:t>5</w:t>
      </w:r>
      <w:r w:rsidRPr="00C05372">
        <w:rPr>
          <w:rFonts w:ascii="Century Gothic" w:hAnsi="Century Gothic" w:cs="Arial"/>
          <w:sz w:val="22"/>
          <w:szCs w:val="22"/>
        </w:rPr>
        <w:t xml:space="preserve">, destacam-se </w:t>
      </w:r>
      <w:r w:rsidRPr="00C05372">
        <w:rPr>
          <w:rFonts w:ascii="Century Gothic" w:hAnsi="Century Gothic" w:cs="Arial"/>
          <w:b/>
          <w:bCs/>
          <w:sz w:val="22"/>
          <w:szCs w:val="22"/>
        </w:rPr>
        <w:t>reduções nos presentes para adultos (75%)</w:t>
      </w:r>
      <w:r w:rsidRPr="00C05372">
        <w:rPr>
          <w:rFonts w:ascii="Century Gothic" w:hAnsi="Century Gothic" w:cs="Arial"/>
          <w:sz w:val="22"/>
          <w:szCs w:val="22"/>
        </w:rPr>
        <w:t xml:space="preserve">, bem como nas </w:t>
      </w:r>
      <w:r w:rsidRPr="00C05372">
        <w:rPr>
          <w:rFonts w:ascii="Century Gothic" w:hAnsi="Century Gothic" w:cs="Arial"/>
          <w:b/>
          <w:bCs/>
          <w:sz w:val="22"/>
          <w:szCs w:val="22"/>
        </w:rPr>
        <w:t>ornamentações de Natal (82%)</w:t>
      </w:r>
      <w:r w:rsidRPr="00C05372">
        <w:rPr>
          <w:rFonts w:ascii="Century Gothic" w:hAnsi="Century Gothic" w:cs="Arial"/>
          <w:sz w:val="22"/>
          <w:szCs w:val="22"/>
        </w:rPr>
        <w:t>.</w:t>
      </w:r>
    </w:p>
    <w:p w14:paraId="6E77B6B4" w14:textId="77777777" w:rsidR="00C05372" w:rsidRPr="00506723" w:rsidRDefault="00C05372" w:rsidP="00506723">
      <w:pPr>
        <w:spacing w:after="0" w:line="276" w:lineRule="auto"/>
        <w:jc w:val="both"/>
        <w:rPr>
          <w:rFonts w:ascii="Century Gothic" w:hAnsi="Century Gothic" w:cs="Arial"/>
          <w:sz w:val="20"/>
          <w:szCs w:val="22"/>
        </w:rPr>
      </w:pPr>
    </w:p>
    <w:p w14:paraId="6E90B9E3" w14:textId="77777777" w:rsidR="00B1376E" w:rsidRPr="00B1376E" w:rsidRDefault="00B1376E" w:rsidP="00B1376E">
      <w:pPr>
        <w:spacing w:line="276" w:lineRule="auto"/>
        <w:jc w:val="both"/>
        <w:rPr>
          <w:rFonts w:ascii="Century Gothic" w:hAnsi="Century Gothic" w:cs="Arial"/>
          <w:b/>
          <w:bCs/>
        </w:rPr>
      </w:pPr>
      <w:r w:rsidRPr="00B1376E">
        <w:rPr>
          <w:rFonts w:ascii="Century Gothic" w:hAnsi="Century Gothic" w:cs="Arial"/>
          <w:b/>
          <w:bCs/>
        </w:rPr>
        <w:t>Consumidores redefinem prioridades e mantêm foco nas crianças</w:t>
      </w:r>
    </w:p>
    <w:p w14:paraId="41381E3E" w14:textId="77777777" w:rsidR="00B1376E" w:rsidRPr="00B1376E" w:rsidRDefault="00B1376E" w:rsidP="00B1376E">
      <w:pPr>
        <w:spacing w:line="276" w:lineRule="auto"/>
        <w:jc w:val="both"/>
        <w:rPr>
          <w:rFonts w:ascii="Century Gothic" w:hAnsi="Century Gothic" w:cs="Arial"/>
          <w:sz w:val="22"/>
          <w:szCs w:val="22"/>
        </w:rPr>
      </w:pPr>
      <w:r w:rsidRPr="00B1376E">
        <w:rPr>
          <w:rFonts w:ascii="Century Gothic" w:hAnsi="Century Gothic" w:cs="Arial"/>
          <w:sz w:val="22"/>
          <w:szCs w:val="22"/>
        </w:rPr>
        <w:t xml:space="preserve">O estudo confirma que os portugueses continuam a ajustar comportamentos para controlar despesas. </w:t>
      </w:r>
      <w:r w:rsidRPr="00B1376E">
        <w:rPr>
          <w:rFonts w:ascii="Century Gothic" w:hAnsi="Century Gothic" w:cs="Arial"/>
          <w:b/>
          <w:bCs/>
          <w:sz w:val="22"/>
          <w:szCs w:val="22"/>
        </w:rPr>
        <w:t>Quase metade dos inquiridos (49%) alterou hábitos devido à conjuntura económica</w:t>
      </w:r>
      <w:r w:rsidRPr="00B1376E">
        <w:rPr>
          <w:rFonts w:ascii="Century Gothic" w:hAnsi="Century Gothic" w:cs="Arial"/>
          <w:sz w:val="22"/>
          <w:szCs w:val="22"/>
        </w:rPr>
        <w:t>, sobretudo reduzindo custos, diminuindo o número de pessoas a quem oferecem presentes e antecipando compras para aproveitar melhores preços.</w:t>
      </w:r>
    </w:p>
    <w:p w14:paraId="20ED1634" w14:textId="376E479C" w:rsidR="00B1376E" w:rsidRPr="00B1376E" w:rsidRDefault="00B1376E" w:rsidP="00B1376E">
      <w:pPr>
        <w:spacing w:line="276" w:lineRule="auto"/>
        <w:jc w:val="both"/>
        <w:rPr>
          <w:rFonts w:ascii="Century Gothic" w:hAnsi="Century Gothic" w:cs="Arial"/>
          <w:sz w:val="22"/>
          <w:szCs w:val="22"/>
        </w:rPr>
      </w:pPr>
      <w:r w:rsidRPr="00B1376E">
        <w:rPr>
          <w:rFonts w:ascii="Century Gothic" w:hAnsi="Century Gothic" w:cs="Arial"/>
          <w:sz w:val="22"/>
          <w:szCs w:val="22"/>
        </w:rPr>
        <w:t xml:space="preserve">Apesar disso, as crianças mantêm prioridade absoluta nas compras de presentes, tal como verificado no ano passado. Entre as famílias com filhos, </w:t>
      </w:r>
      <w:r w:rsidRPr="00B1376E">
        <w:rPr>
          <w:rFonts w:ascii="Century Gothic" w:hAnsi="Century Gothic" w:cs="Arial"/>
          <w:b/>
          <w:bCs/>
          <w:sz w:val="22"/>
          <w:szCs w:val="22"/>
        </w:rPr>
        <w:t>100% afirma comprar prendas para crianças</w:t>
      </w:r>
      <w:r w:rsidR="00A24ED5">
        <w:rPr>
          <w:rFonts w:ascii="Century Gothic" w:hAnsi="Century Gothic" w:cs="Arial"/>
          <w:b/>
          <w:bCs/>
          <w:sz w:val="22"/>
          <w:szCs w:val="22"/>
        </w:rPr>
        <w:t xml:space="preserve"> e 78% para o marido e/ou mulher</w:t>
      </w:r>
      <w:r w:rsidRPr="00B1376E">
        <w:rPr>
          <w:rFonts w:ascii="Century Gothic" w:hAnsi="Century Gothic" w:cs="Arial"/>
          <w:sz w:val="22"/>
          <w:szCs w:val="22"/>
        </w:rPr>
        <w:t xml:space="preserve">, e apenas </w:t>
      </w:r>
      <w:r w:rsidRPr="00B1376E">
        <w:rPr>
          <w:rFonts w:ascii="Century Gothic" w:hAnsi="Century Gothic" w:cs="Arial"/>
          <w:b/>
          <w:bCs/>
          <w:sz w:val="22"/>
          <w:szCs w:val="22"/>
        </w:rPr>
        <w:t>12% da amostra total</w:t>
      </w:r>
      <w:r w:rsidRPr="00B1376E">
        <w:rPr>
          <w:rFonts w:ascii="Century Gothic" w:hAnsi="Century Gothic" w:cs="Arial"/>
          <w:sz w:val="22"/>
          <w:szCs w:val="22"/>
        </w:rPr>
        <w:t xml:space="preserve"> declara que não oferecerá presentes, um valor bastante inferior aos 21% registados em 2024.</w:t>
      </w:r>
    </w:p>
    <w:p w14:paraId="42798F06" w14:textId="77777777" w:rsidR="00B1376E" w:rsidRDefault="00B1376E" w:rsidP="00B1376E">
      <w:pPr>
        <w:spacing w:line="276" w:lineRule="auto"/>
        <w:jc w:val="both"/>
        <w:rPr>
          <w:rFonts w:ascii="Century Gothic" w:hAnsi="Century Gothic" w:cs="Arial"/>
          <w:sz w:val="22"/>
          <w:szCs w:val="22"/>
        </w:rPr>
      </w:pPr>
      <w:r w:rsidRPr="00B1376E">
        <w:rPr>
          <w:rFonts w:ascii="Century Gothic" w:hAnsi="Century Gothic" w:cs="Arial"/>
          <w:sz w:val="22"/>
          <w:szCs w:val="22"/>
        </w:rPr>
        <w:lastRenderedPageBreak/>
        <w:t xml:space="preserve">Nos produtos para crianças até 12 anos, </w:t>
      </w:r>
      <w:r w:rsidRPr="00B1376E">
        <w:rPr>
          <w:rFonts w:ascii="Century Gothic" w:hAnsi="Century Gothic" w:cs="Arial"/>
          <w:b/>
          <w:bCs/>
          <w:sz w:val="22"/>
          <w:szCs w:val="22"/>
        </w:rPr>
        <w:t>brinquedos lideram com 36,2%</w:t>
      </w:r>
      <w:r w:rsidRPr="00B1376E">
        <w:rPr>
          <w:rFonts w:ascii="Century Gothic" w:hAnsi="Century Gothic" w:cs="Arial"/>
          <w:sz w:val="22"/>
          <w:szCs w:val="22"/>
        </w:rPr>
        <w:t xml:space="preserve">, seguindo-se </w:t>
      </w:r>
      <w:r w:rsidRPr="00B1376E">
        <w:rPr>
          <w:rFonts w:ascii="Century Gothic" w:hAnsi="Century Gothic" w:cs="Arial"/>
          <w:b/>
          <w:bCs/>
          <w:sz w:val="22"/>
          <w:szCs w:val="22"/>
        </w:rPr>
        <w:t>roupa e calçado</w:t>
      </w:r>
      <w:r w:rsidRPr="00B1376E">
        <w:rPr>
          <w:rFonts w:ascii="Century Gothic" w:hAnsi="Century Gothic" w:cs="Arial"/>
          <w:sz w:val="22"/>
          <w:szCs w:val="22"/>
        </w:rPr>
        <w:t xml:space="preserve"> (20,2%) e </w:t>
      </w:r>
      <w:r w:rsidRPr="00B1376E">
        <w:rPr>
          <w:rFonts w:ascii="Century Gothic" w:hAnsi="Century Gothic" w:cs="Arial"/>
          <w:b/>
          <w:bCs/>
          <w:sz w:val="22"/>
          <w:szCs w:val="22"/>
        </w:rPr>
        <w:t>livros</w:t>
      </w:r>
      <w:r w:rsidRPr="00B1376E">
        <w:rPr>
          <w:rFonts w:ascii="Century Gothic" w:hAnsi="Century Gothic" w:cs="Arial"/>
          <w:sz w:val="22"/>
          <w:szCs w:val="22"/>
        </w:rPr>
        <w:t xml:space="preserve"> (17%). Para adolescentes, a preferência recai novamente sobre </w:t>
      </w:r>
      <w:r w:rsidRPr="00B1376E">
        <w:rPr>
          <w:rFonts w:ascii="Century Gothic" w:hAnsi="Century Gothic" w:cs="Arial"/>
          <w:b/>
          <w:bCs/>
          <w:sz w:val="22"/>
          <w:szCs w:val="22"/>
        </w:rPr>
        <w:t>roupa/sapatos</w:t>
      </w:r>
      <w:r w:rsidRPr="00B1376E">
        <w:rPr>
          <w:rFonts w:ascii="Century Gothic" w:hAnsi="Century Gothic" w:cs="Arial"/>
          <w:sz w:val="22"/>
          <w:szCs w:val="22"/>
        </w:rPr>
        <w:t xml:space="preserve"> (37%) e </w:t>
      </w:r>
      <w:r w:rsidRPr="00B1376E">
        <w:rPr>
          <w:rFonts w:ascii="Century Gothic" w:hAnsi="Century Gothic" w:cs="Arial"/>
          <w:b/>
          <w:bCs/>
          <w:sz w:val="22"/>
          <w:szCs w:val="22"/>
        </w:rPr>
        <w:t>jogos eletrónicos</w:t>
      </w:r>
      <w:r w:rsidRPr="00B1376E">
        <w:rPr>
          <w:rFonts w:ascii="Century Gothic" w:hAnsi="Century Gothic" w:cs="Arial"/>
          <w:sz w:val="22"/>
          <w:szCs w:val="22"/>
        </w:rPr>
        <w:t xml:space="preserve"> (19%). Nos adultos, destacam-se </w:t>
      </w:r>
      <w:r w:rsidRPr="00B1376E">
        <w:rPr>
          <w:rFonts w:ascii="Century Gothic" w:hAnsi="Century Gothic" w:cs="Arial"/>
          <w:b/>
          <w:bCs/>
          <w:sz w:val="22"/>
          <w:szCs w:val="22"/>
        </w:rPr>
        <w:t>roupa/sapatos</w:t>
      </w:r>
      <w:r w:rsidRPr="00B1376E">
        <w:rPr>
          <w:rFonts w:ascii="Century Gothic" w:hAnsi="Century Gothic" w:cs="Arial"/>
          <w:sz w:val="22"/>
          <w:szCs w:val="22"/>
        </w:rPr>
        <w:t xml:space="preserve"> (23%), </w:t>
      </w:r>
      <w:r w:rsidRPr="00B1376E">
        <w:rPr>
          <w:rFonts w:ascii="Century Gothic" w:hAnsi="Century Gothic" w:cs="Arial"/>
          <w:b/>
          <w:bCs/>
          <w:sz w:val="22"/>
          <w:szCs w:val="22"/>
        </w:rPr>
        <w:t>acessórios</w:t>
      </w:r>
      <w:r w:rsidRPr="00B1376E">
        <w:rPr>
          <w:rFonts w:ascii="Century Gothic" w:hAnsi="Century Gothic" w:cs="Arial"/>
          <w:sz w:val="22"/>
          <w:szCs w:val="22"/>
        </w:rPr>
        <w:t xml:space="preserve"> (20%) e </w:t>
      </w:r>
      <w:r w:rsidRPr="00B1376E">
        <w:rPr>
          <w:rFonts w:ascii="Century Gothic" w:hAnsi="Century Gothic" w:cs="Arial"/>
          <w:b/>
          <w:bCs/>
          <w:sz w:val="22"/>
          <w:szCs w:val="22"/>
        </w:rPr>
        <w:t>livros</w:t>
      </w:r>
      <w:r w:rsidRPr="00B1376E">
        <w:rPr>
          <w:rFonts w:ascii="Century Gothic" w:hAnsi="Century Gothic" w:cs="Arial"/>
          <w:sz w:val="22"/>
          <w:szCs w:val="22"/>
        </w:rPr>
        <w:t xml:space="preserve"> (18%).</w:t>
      </w:r>
    </w:p>
    <w:p w14:paraId="4A690887" w14:textId="77777777" w:rsidR="00C05372" w:rsidRPr="00506723" w:rsidRDefault="00C05372" w:rsidP="00506723">
      <w:pPr>
        <w:spacing w:after="0" w:line="276" w:lineRule="auto"/>
        <w:jc w:val="both"/>
        <w:rPr>
          <w:rFonts w:ascii="Century Gothic" w:hAnsi="Century Gothic" w:cs="Arial"/>
          <w:sz w:val="20"/>
          <w:szCs w:val="22"/>
        </w:rPr>
      </w:pPr>
    </w:p>
    <w:p w14:paraId="4C70B39E" w14:textId="77777777" w:rsidR="00B1376E" w:rsidRPr="00B1376E" w:rsidRDefault="00B1376E" w:rsidP="00B1376E">
      <w:pPr>
        <w:spacing w:line="276" w:lineRule="auto"/>
        <w:jc w:val="both"/>
        <w:rPr>
          <w:rFonts w:ascii="Century Gothic" w:hAnsi="Century Gothic" w:cs="Arial"/>
          <w:b/>
          <w:bCs/>
        </w:rPr>
      </w:pPr>
      <w:r w:rsidRPr="00B1376E">
        <w:rPr>
          <w:rFonts w:ascii="Century Gothic" w:hAnsi="Century Gothic" w:cs="Arial"/>
          <w:b/>
          <w:bCs/>
        </w:rPr>
        <w:t>Compras online ganham expressão, mas centros comerciais continuam relevantes</w:t>
      </w:r>
    </w:p>
    <w:p w14:paraId="3A084F40" w14:textId="77777777" w:rsidR="00C05372" w:rsidRDefault="00B1376E" w:rsidP="00B1376E">
      <w:pPr>
        <w:spacing w:line="276" w:lineRule="auto"/>
        <w:jc w:val="both"/>
        <w:rPr>
          <w:rFonts w:ascii="Century Gothic" w:hAnsi="Century Gothic" w:cs="Arial"/>
          <w:sz w:val="22"/>
          <w:szCs w:val="22"/>
        </w:rPr>
      </w:pPr>
      <w:r w:rsidRPr="00B1376E">
        <w:rPr>
          <w:rFonts w:ascii="Century Gothic" w:hAnsi="Century Gothic" w:cs="Arial"/>
          <w:sz w:val="22"/>
          <w:szCs w:val="22"/>
        </w:rPr>
        <w:t xml:space="preserve">O IPAM identifica uma consolidação clara das compras digitais: </w:t>
      </w:r>
      <w:r w:rsidRPr="00B1376E">
        <w:rPr>
          <w:rFonts w:ascii="Century Gothic" w:hAnsi="Century Gothic" w:cs="Arial"/>
          <w:b/>
          <w:bCs/>
          <w:sz w:val="22"/>
          <w:szCs w:val="22"/>
        </w:rPr>
        <w:t>34% dos portugueses pretende comprar exclusivamente online</w:t>
      </w:r>
      <w:r w:rsidR="00A24ED5">
        <w:rPr>
          <w:rFonts w:ascii="Century Gothic" w:hAnsi="Century Gothic" w:cs="Arial"/>
          <w:b/>
          <w:bCs/>
          <w:sz w:val="22"/>
          <w:szCs w:val="22"/>
        </w:rPr>
        <w:t xml:space="preserve"> (face aos 27% registados em 2024)</w:t>
      </w:r>
      <w:r w:rsidRPr="00B1376E">
        <w:rPr>
          <w:rFonts w:ascii="Century Gothic" w:hAnsi="Century Gothic" w:cs="Arial"/>
          <w:sz w:val="22"/>
          <w:szCs w:val="22"/>
        </w:rPr>
        <w:t xml:space="preserve">, um valor que reforça a mudança iniciada nos anos pós-pandemia. Ainda assim, os centros comerciais continuam a ocupar um papel relevante, sendo a principal escolha de </w:t>
      </w:r>
      <w:r w:rsidRPr="00B1376E">
        <w:rPr>
          <w:rFonts w:ascii="Century Gothic" w:hAnsi="Century Gothic" w:cs="Arial"/>
          <w:b/>
          <w:bCs/>
          <w:sz w:val="22"/>
          <w:szCs w:val="22"/>
        </w:rPr>
        <w:t>18% dos inquiridos</w:t>
      </w:r>
      <w:r w:rsidRPr="00B1376E">
        <w:rPr>
          <w:rFonts w:ascii="Century Gothic" w:hAnsi="Century Gothic" w:cs="Arial"/>
          <w:sz w:val="22"/>
          <w:szCs w:val="22"/>
        </w:rPr>
        <w:t>, acima dos que combinam este tipo de espaço com comércio de rua.</w:t>
      </w:r>
      <w:r w:rsidR="00A24ED5">
        <w:rPr>
          <w:rFonts w:ascii="Century Gothic" w:hAnsi="Century Gothic" w:cs="Arial"/>
          <w:sz w:val="22"/>
          <w:szCs w:val="22"/>
        </w:rPr>
        <w:t xml:space="preserve"> </w:t>
      </w:r>
      <w:r w:rsidR="00C05372" w:rsidRPr="00C05372">
        <w:rPr>
          <w:rFonts w:ascii="Century Gothic" w:hAnsi="Century Gothic" w:cs="Arial"/>
          <w:sz w:val="22"/>
          <w:szCs w:val="22"/>
        </w:rPr>
        <w:t xml:space="preserve">Este valor traduz uma descida face a 2024, quando os centros comerciais eram a escolha de 21% dos consumidores. O </w:t>
      </w:r>
      <w:r w:rsidR="00C05372" w:rsidRPr="00C05372">
        <w:rPr>
          <w:rFonts w:ascii="Century Gothic" w:hAnsi="Century Gothic" w:cs="Arial"/>
          <w:b/>
          <w:bCs/>
          <w:sz w:val="22"/>
          <w:szCs w:val="22"/>
        </w:rPr>
        <w:t>comércio de rua</w:t>
      </w:r>
      <w:r w:rsidR="00C05372" w:rsidRPr="00C05372">
        <w:rPr>
          <w:rFonts w:ascii="Century Gothic" w:hAnsi="Century Gothic" w:cs="Arial"/>
          <w:sz w:val="22"/>
          <w:szCs w:val="22"/>
        </w:rPr>
        <w:t xml:space="preserve"> é opção para apenas </w:t>
      </w:r>
      <w:r w:rsidR="00C05372" w:rsidRPr="00C05372">
        <w:rPr>
          <w:rFonts w:ascii="Century Gothic" w:hAnsi="Century Gothic" w:cs="Arial"/>
          <w:b/>
          <w:bCs/>
          <w:sz w:val="22"/>
          <w:szCs w:val="22"/>
        </w:rPr>
        <w:t>9% dos inquiridos</w:t>
      </w:r>
      <w:r w:rsidR="00C05372" w:rsidRPr="00C05372">
        <w:rPr>
          <w:rFonts w:ascii="Century Gothic" w:hAnsi="Century Gothic" w:cs="Arial"/>
          <w:sz w:val="22"/>
          <w:szCs w:val="22"/>
        </w:rPr>
        <w:t>.</w:t>
      </w:r>
    </w:p>
    <w:p w14:paraId="2A6A1BED" w14:textId="2F5C4F34" w:rsidR="00B1376E" w:rsidRPr="00B1376E" w:rsidRDefault="00B1376E" w:rsidP="00B1376E">
      <w:pPr>
        <w:spacing w:line="276" w:lineRule="auto"/>
        <w:jc w:val="both"/>
        <w:rPr>
          <w:rFonts w:ascii="Century Gothic" w:hAnsi="Century Gothic" w:cs="Arial"/>
          <w:sz w:val="22"/>
          <w:szCs w:val="22"/>
        </w:rPr>
      </w:pPr>
      <w:r w:rsidRPr="00B1376E">
        <w:rPr>
          <w:rFonts w:ascii="Century Gothic" w:hAnsi="Century Gothic" w:cs="Arial"/>
          <w:sz w:val="22"/>
          <w:szCs w:val="22"/>
        </w:rPr>
        <w:t xml:space="preserve">Quanto ao momento de compra, </w:t>
      </w:r>
      <w:r w:rsidRPr="00B1376E">
        <w:rPr>
          <w:rFonts w:ascii="Century Gothic" w:hAnsi="Century Gothic" w:cs="Arial"/>
          <w:b/>
          <w:bCs/>
          <w:sz w:val="22"/>
          <w:szCs w:val="22"/>
        </w:rPr>
        <w:t>57% realiza as compras em dezembro</w:t>
      </w:r>
      <w:r w:rsidRPr="00B1376E">
        <w:rPr>
          <w:rFonts w:ascii="Century Gothic" w:hAnsi="Century Gothic" w:cs="Arial"/>
          <w:sz w:val="22"/>
          <w:szCs w:val="22"/>
        </w:rPr>
        <w:t xml:space="preserve">, enquanto </w:t>
      </w:r>
      <w:r w:rsidRPr="00B1376E">
        <w:rPr>
          <w:rFonts w:ascii="Century Gothic" w:hAnsi="Century Gothic" w:cs="Arial"/>
          <w:b/>
          <w:bCs/>
          <w:sz w:val="22"/>
          <w:szCs w:val="22"/>
        </w:rPr>
        <w:t>39% opta por antecipá-las</w:t>
      </w:r>
      <w:r w:rsidRPr="00B1376E">
        <w:rPr>
          <w:rFonts w:ascii="Century Gothic" w:hAnsi="Century Gothic" w:cs="Arial"/>
          <w:sz w:val="22"/>
          <w:szCs w:val="22"/>
        </w:rPr>
        <w:t>. As principais razões relacionam-se com a procura de preços mais baixos</w:t>
      </w:r>
      <w:r w:rsidR="00394DA9" w:rsidRPr="00394DA9">
        <w:rPr>
          <w:rFonts w:ascii="Century Gothic" w:hAnsi="Century Gothic" w:cs="Arial"/>
          <w:sz w:val="22"/>
          <w:szCs w:val="22"/>
        </w:rPr>
        <w:t>,</w:t>
      </w:r>
      <w:r w:rsidR="00394DA9">
        <w:rPr>
          <w:rFonts w:ascii="Century Gothic" w:hAnsi="Century Gothic" w:cs="Arial"/>
          <w:sz w:val="22"/>
          <w:szCs w:val="22"/>
        </w:rPr>
        <w:t xml:space="preserve"> </w:t>
      </w:r>
      <w:r w:rsidR="00394DA9" w:rsidRPr="00394DA9">
        <w:rPr>
          <w:rFonts w:ascii="Century Gothic" w:hAnsi="Century Gothic" w:cs="Arial"/>
          <w:sz w:val="22"/>
          <w:szCs w:val="22"/>
        </w:rPr>
        <w:t xml:space="preserve">aproveitando promoções como </w:t>
      </w:r>
      <w:r w:rsidR="0092153B">
        <w:rPr>
          <w:rFonts w:ascii="Century Gothic" w:hAnsi="Century Gothic" w:cs="Arial"/>
          <w:sz w:val="22"/>
          <w:szCs w:val="22"/>
        </w:rPr>
        <w:t xml:space="preserve">a </w:t>
      </w:r>
      <w:r w:rsidR="00394DA9" w:rsidRPr="00394DA9">
        <w:rPr>
          <w:rFonts w:ascii="Century Gothic" w:hAnsi="Century Gothic" w:cs="Arial"/>
          <w:sz w:val="22"/>
          <w:szCs w:val="22"/>
        </w:rPr>
        <w:t xml:space="preserve">Black Friday, </w:t>
      </w:r>
      <w:r w:rsidRPr="00B1376E">
        <w:rPr>
          <w:rFonts w:ascii="Century Gothic" w:hAnsi="Century Gothic" w:cs="Arial"/>
          <w:sz w:val="22"/>
          <w:szCs w:val="22"/>
        </w:rPr>
        <w:t>menor concentração de pessoas e garantia de entregas dentro dos prazos</w:t>
      </w:r>
      <w:r w:rsidR="00394DA9">
        <w:rPr>
          <w:rFonts w:ascii="Century Gothic" w:hAnsi="Century Gothic" w:cs="Arial"/>
          <w:sz w:val="22"/>
          <w:szCs w:val="22"/>
        </w:rPr>
        <w:t xml:space="preserve"> </w:t>
      </w:r>
      <w:r w:rsidR="00C05372">
        <w:rPr>
          <w:rFonts w:ascii="Century Gothic" w:hAnsi="Century Gothic" w:cs="Arial"/>
          <w:sz w:val="22"/>
          <w:szCs w:val="22"/>
        </w:rPr>
        <w:t>n</w:t>
      </w:r>
      <w:r w:rsidR="00394DA9">
        <w:rPr>
          <w:rFonts w:ascii="Century Gothic" w:hAnsi="Century Gothic" w:cs="Arial"/>
          <w:sz w:val="22"/>
          <w:szCs w:val="22"/>
        </w:rPr>
        <w:t>o caso das compras online</w:t>
      </w:r>
      <w:r w:rsidRPr="00B1376E">
        <w:rPr>
          <w:rFonts w:ascii="Century Gothic" w:hAnsi="Century Gothic" w:cs="Arial"/>
          <w:sz w:val="22"/>
          <w:szCs w:val="22"/>
        </w:rPr>
        <w:t>.</w:t>
      </w:r>
      <w:r w:rsidR="00C05372">
        <w:rPr>
          <w:rFonts w:ascii="Century Gothic" w:hAnsi="Century Gothic" w:cs="Arial"/>
          <w:sz w:val="22"/>
          <w:szCs w:val="22"/>
        </w:rPr>
        <w:t xml:space="preserve"> </w:t>
      </w:r>
      <w:r w:rsidR="00C05372" w:rsidRPr="00C05372">
        <w:rPr>
          <w:rFonts w:ascii="Century Gothic" w:hAnsi="Century Gothic" w:cs="Arial"/>
          <w:sz w:val="22"/>
          <w:szCs w:val="22"/>
        </w:rPr>
        <w:t>O período de saldos após o Natal é referido como opção por 4% dos inquiridos.</w:t>
      </w:r>
    </w:p>
    <w:p w14:paraId="0A87951F" w14:textId="77777777" w:rsidR="00B1376E" w:rsidRPr="00B1376E" w:rsidRDefault="00B1376E" w:rsidP="00B1376E">
      <w:pPr>
        <w:spacing w:line="276" w:lineRule="auto"/>
        <w:jc w:val="both"/>
        <w:rPr>
          <w:rFonts w:ascii="Century Gothic" w:hAnsi="Century Gothic" w:cs="Arial"/>
          <w:sz w:val="22"/>
          <w:szCs w:val="22"/>
        </w:rPr>
      </w:pPr>
      <w:r w:rsidRPr="00B1376E">
        <w:rPr>
          <w:rFonts w:ascii="Century Gothic" w:hAnsi="Century Gothic" w:cs="Arial"/>
          <w:i/>
          <w:iCs/>
          <w:sz w:val="22"/>
          <w:szCs w:val="22"/>
        </w:rPr>
        <w:t>“Os dados deste ano mostram que o consumidor português preserva as tradições do Natal, mas fá-lo com maior sentido de prioridade e com uma atenção constante ao impacto da inflação. O ligeiro aumento do valor médio gasto não traduz maior poder de compra; traduz a necessidade de manter rotinas familiares numa conjuntura desafiante. Destaca-se, acima de tudo, a importância das crianças nas decisões de compra e a procura de soluções que permitam equilibrar celebração e contenção”</w:t>
      </w:r>
      <w:r w:rsidRPr="00B1376E">
        <w:rPr>
          <w:rFonts w:ascii="Century Gothic" w:hAnsi="Century Gothic" w:cs="Arial"/>
          <w:sz w:val="22"/>
          <w:szCs w:val="22"/>
        </w:rPr>
        <w:t xml:space="preserve">, afirma </w:t>
      </w:r>
      <w:r w:rsidRPr="00B1376E">
        <w:rPr>
          <w:rFonts w:ascii="Century Gothic" w:hAnsi="Century Gothic" w:cs="Arial"/>
          <w:b/>
          <w:bCs/>
          <w:sz w:val="22"/>
          <w:szCs w:val="22"/>
        </w:rPr>
        <w:t>Mafalda Ferreira, docente e coordenadora da licenciatura em Gestão de Marketing no IPAM Porto, e responsável pelo estudo</w:t>
      </w:r>
      <w:r w:rsidRPr="00B1376E">
        <w:rPr>
          <w:rFonts w:ascii="Century Gothic" w:hAnsi="Century Gothic" w:cs="Arial"/>
          <w:sz w:val="22"/>
          <w:szCs w:val="22"/>
        </w:rPr>
        <w:t>.</w:t>
      </w:r>
    </w:p>
    <w:p w14:paraId="4E491A67" w14:textId="77777777" w:rsidR="00506723" w:rsidRDefault="00506723" w:rsidP="00B1376E">
      <w:pPr>
        <w:spacing w:line="24" w:lineRule="atLeast"/>
        <w:jc w:val="both"/>
        <w:rPr>
          <w:rFonts w:ascii="Century Gothic" w:hAnsi="Century Gothic" w:cstheme="minorHAnsi"/>
          <w:b/>
          <w:bCs/>
          <w:sz w:val="20"/>
          <w:szCs w:val="20"/>
          <w:u w:val="single"/>
        </w:rPr>
      </w:pPr>
    </w:p>
    <w:p w14:paraId="00A903B6" w14:textId="6586BC87" w:rsidR="00B1376E" w:rsidRPr="00845DB8" w:rsidRDefault="00B1376E" w:rsidP="00B1376E">
      <w:pPr>
        <w:spacing w:line="24" w:lineRule="atLeast"/>
        <w:jc w:val="both"/>
        <w:rPr>
          <w:rFonts w:ascii="Century Gothic" w:hAnsi="Century Gothic" w:cstheme="minorHAnsi"/>
          <w:sz w:val="20"/>
          <w:szCs w:val="20"/>
        </w:rPr>
      </w:pPr>
      <w:r w:rsidRPr="00845DB8">
        <w:rPr>
          <w:rFonts w:ascii="Century Gothic" w:hAnsi="Century Gothic" w:cstheme="minorHAnsi"/>
          <w:b/>
          <w:bCs/>
          <w:sz w:val="20"/>
          <w:szCs w:val="20"/>
          <w:u w:val="single"/>
        </w:rPr>
        <w:t>Ficha Técnica do Estudo Compras de Natal</w:t>
      </w:r>
      <w:r>
        <w:rPr>
          <w:rFonts w:ascii="Century Gothic" w:hAnsi="Century Gothic" w:cstheme="minorHAnsi"/>
          <w:b/>
          <w:bCs/>
          <w:sz w:val="20"/>
          <w:szCs w:val="20"/>
          <w:u w:val="single"/>
        </w:rPr>
        <w:t xml:space="preserve"> 202</w:t>
      </w:r>
      <w:r w:rsidR="00A24ED5">
        <w:rPr>
          <w:rFonts w:ascii="Century Gothic" w:hAnsi="Century Gothic" w:cstheme="minorHAnsi"/>
          <w:b/>
          <w:bCs/>
          <w:sz w:val="20"/>
          <w:szCs w:val="20"/>
          <w:u w:val="single"/>
        </w:rPr>
        <w:t>5</w:t>
      </w:r>
    </w:p>
    <w:p w14:paraId="4762F86A" w14:textId="15286440" w:rsidR="00A24ED5" w:rsidRDefault="00A24ED5" w:rsidP="00B1376E">
      <w:pPr>
        <w:spacing w:after="0" w:line="24" w:lineRule="atLeast"/>
        <w:jc w:val="both"/>
        <w:rPr>
          <w:rFonts w:ascii="Century Gothic" w:hAnsi="Century Gothic" w:cstheme="minorHAnsi"/>
          <w:sz w:val="20"/>
          <w:szCs w:val="20"/>
        </w:rPr>
      </w:pPr>
      <w:r w:rsidRPr="00A24ED5">
        <w:rPr>
          <w:rFonts w:ascii="Century Gothic" w:hAnsi="Century Gothic" w:cstheme="minorHAnsi"/>
          <w:sz w:val="20"/>
          <w:szCs w:val="20"/>
        </w:rPr>
        <w:t xml:space="preserve">O estudo foi realizado pelo IPAM, sob a coordenação da professora </w:t>
      </w:r>
      <w:r w:rsidRPr="00A24ED5">
        <w:rPr>
          <w:rFonts w:ascii="Century Gothic" w:hAnsi="Century Gothic" w:cstheme="minorHAnsi"/>
          <w:b/>
          <w:bCs/>
          <w:sz w:val="20"/>
          <w:szCs w:val="20"/>
        </w:rPr>
        <w:t>Mafalda Ferreira</w:t>
      </w:r>
      <w:r w:rsidRPr="00A24ED5">
        <w:rPr>
          <w:rFonts w:ascii="Century Gothic" w:hAnsi="Century Gothic" w:cstheme="minorHAnsi"/>
          <w:sz w:val="20"/>
          <w:szCs w:val="20"/>
        </w:rPr>
        <w:t>, diretora da Licenciatura em Gestão de Marketing do IPAM Porto e doutorada em Psicologia Social pela Universidade de Cádiz.</w:t>
      </w:r>
      <w:r w:rsidR="00506723">
        <w:rPr>
          <w:rFonts w:ascii="Century Gothic" w:hAnsi="Century Gothic" w:cstheme="minorHAnsi"/>
          <w:sz w:val="20"/>
          <w:szCs w:val="20"/>
        </w:rPr>
        <w:t xml:space="preserve"> </w:t>
      </w:r>
      <w:r w:rsidRPr="00A24ED5">
        <w:rPr>
          <w:rFonts w:ascii="Century Gothic" w:hAnsi="Century Gothic" w:cstheme="minorHAnsi"/>
          <w:sz w:val="20"/>
          <w:szCs w:val="20"/>
        </w:rPr>
        <w:t xml:space="preserve">A recolha de dados decorreu </w:t>
      </w:r>
      <w:r w:rsidRPr="00A24ED5">
        <w:rPr>
          <w:rFonts w:ascii="Century Gothic" w:hAnsi="Century Gothic" w:cstheme="minorHAnsi"/>
          <w:b/>
          <w:bCs/>
          <w:sz w:val="20"/>
          <w:szCs w:val="20"/>
        </w:rPr>
        <w:t>entre 22 de novembro e 7 de dezembro de 2025</w:t>
      </w:r>
      <w:r w:rsidRPr="00A24ED5">
        <w:rPr>
          <w:rFonts w:ascii="Century Gothic" w:hAnsi="Century Gothic" w:cstheme="minorHAnsi"/>
          <w:sz w:val="20"/>
          <w:szCs w:val="20"/>
        </w:rPr>
        <w:t xml:space="preserve"> em Portugal Continental, com uma amostra composta por </w:t>
      </w:r>
      <w:r w:rsidRPr="00A24ED5">
        <w:rPr>
          <w:rFonts w:ascii="Century Gothic" w:hAnsi="Century Gothic" w:cstheme="minorHAnsi"/>
          <w:b/>
          <w:bCs/>
          <w:sz w:val="20"/>
          <w:szCs w:val="20"/>
        </w:rPr>
        <w:t>560 indivíduos</w:t>
      </w:r>
      <w:r w:rsidRPr="00845DB8">
        <w:rPr>
          <w:rFonts w:ascii="Century Gothic" w:hAnsi="Century Gothic" w:cstheme="minorHAnsi"/>
          <w:sz w:val="20"/>
          <w:szCs w:val="20"/>
        </w:rPr>
        <w:t>, maiores de 18 anos, com a seguinte distribuição por classe social: 6,5% classe social A, 33% da B, 18% da C1, 35,9% da C2 e 6,6% da D.</w:t>
      </w:r>
      <w:r>
        <w:rPr>
          <w:rFonts w:ascii="Century Gothic" w:hAnsi="Century Gothic" w:cstheme="minorHAnsi"/>
          <w:sz w:val="20"/>
          <w:szCs w:val="20"/>
        </w:rPr>
        <w:t xml:space="preserve"> </w:t>
      </w:r>
      <w:r w:rsidRPr="00A24ED5">
        <w:rPr>
          <w:rFonts w:ascii="Century Gothic" w:hAnsi="Century Gothic" w:cstheme="minorHAnsi"/>
          <w:sz w:val="20"/>
          <w:szCs w:val="20"/>
        </w:rPr>
        <w:t xml:space="preserve">Os inquéritos foram administrados </w:t>
      </w:r>
      <w:r w:rsidRPr="00A24ED5">
        <w:rPr>
          <w:rFonts w:ascii="Century Gothic" w:hAnsi="Century Gothic" w:cstheme="minorHAnsi"/>
          <w:b/>
          <w:bCs/>
          <w:sz w:val="20"/>
          <w:szCs w:val="20"/>
        </w:rPr>
        <w:t>online e presencialmente</w:t>
      </w:r>
      <w:r w:rsidRPr="00A24ED5">
        <w:rPr>
          <w:rFonts w:ascii="Century Gothic" w:hAnsi="Century Gothic" w:cstheme="minorHAnsi"/>
          <w:sz w:val="20"/>
          <w:szCs w:val="20"/>
        </w:rPr>
        <w:t>, sempre que necessário para garantir o cumprimento das quotas definidas para as diferentes classes sociais.</w:t>
      </w:r>
      <w:r w:rsidR="00506723">
        <w:rPr>
          <w:rFonts w:ascii="Century Gothic" w:hAnsi="Century Gothic" w:cstheme="minorHAnsi"/>
          <w:sz w:val="20"/>
          <w:szCs w:val="20"/>
        </w:rPr>
        <w:t xml:space="preserve"> </w:t>
      </w:r>
      <w:r w:rsidR="00C05372" w:rsidRPr="00C05372">
        <w:rPr>
          <w:rFonts w:ascii="Century Gothic" w:hAnsi="Century Gothic" w:cstheme="minorHAnsi"/>
          <w:sz w:val="20"/>
          <w:szCs w:val="20"/>
        </w:rPr>
        <w:t>Realizado ininterruptamente desde 2009, o estudo “Compras de Natal” constitui uma das análises mais consistentes sobre comportamentos de consumo nesta época festiva.</w:t>
      </w:r>
    </w:p>
    <w:p w14:paraId="5BBB5FF9" w14:textId="77777777" w:rsidR="00A24ED5" w:rsidRDefault="00A24ED5" w:rsidP="00B1376E">
      <w:pPr>
        <w:spacing w:after="0" w:line="24" w:lineRule="atLeast"/>
        <w:jc w:val="both"/>
        <w:rPr>
          <w:rFonts w:ascii="Century Gothic" w:hAnsi="Century Gothic" w:cstheme="minorHAnsi"/>
          <w:sz w:val="20"/>
          <w:szCs w:val="20"/>
        </w:rPr>
      </w:pPr>
    </w:p>
    <w:p w14:paraId="77D72087" w14:textId="5541397F" w:rsidR="00DB624A" w:rsidRPr="00506723" w:rsidRDefault="008B2E26">
      <w:pPr>
        <w:rPr>
          <w:rFonts w:ascii="Century Gothic" w:hAnsi="Century Gothic"/>
          <w:sz w:val="18"/>
          <w:szCs w:val="18"/>
        </w:rPr>
      </w:pPr>
      <w:r w:rsidRPr="00506723">
        <w:rPr>
          <w:rFonts w:ascii="Century Gothic" w:hAnsi="Century Gothic"/>
          <w:b/>
          <w:sz w:val="18"/>
          <w:szCs w:val="18"/>
        </w:rPr>
        <w:t>Para mais informações</w:t>
      </w:r>
      <w:r w:rsidR="00B1376E" w:rsidRPr="00506723">
        <w:rPr>
          <w:rFonts w:ascii="Century Gothic" w:hAnsi="Century Gothic"/>
          <w:b/>
          <w:sz w:val="18"/>
          <w:szCs w:val="18"/>
        </w:rPr>
        <w:t>, favor contactar</w:t>
      </w:r>
      <w:r w:rsidRPr="00506723">
        <w:rPr>
          <w:rFonts w:ascii="Century Gothic" w:hAnsi="Century Gothic"/>
          <w:sz w:val="18"/>
          <w:szCs w:val="18"/>
        </w:rPr>
        <w:t>:</w:t>
      </w:r>
    </w:p>
    <w:p w14:paraId="7F800919" w14:textId="77777777" w:rsidR="009C4AE2" w:rsidRPr="00506723" w:rsidRDefault="009C4AE2">
      <w:pPr>
        <w:rPr>
          <w:rFonts w:ascii="Century Gothic" w:hAnsi="Century Gothic"/>
          <w:sz w:val="18"/>
          <w:szCs w:val="18"/>
        </w:rPr>
      </w:pPr>
    </w:p>
    <w:p w14:paraId="01CEE3C8" w14:textId="77777777" w:rsidR="009C4AE2" w:rsidRPr="00506723"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noProof/>
          <w:sz w:val="18"/>
          <w:szCs w:val="18"/>
        </w:rPr>
        <w:drawing>
          <wp:inline distT="0" distB="0" distL="0" distR="0" wp14:anchorId="3EB8AB6F" wp14:editId="4D958AFA">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79051A36" w14:textId="77777777" w:rsidR="009C4AE2" w:rsidRPr="00506723" w:rsidRDefault="009C4AE2" w:rsidP="009C4AE2">
      <w:pPr>
        <w:pStyle w:val="NormalWeb"/>
        <w:spacing w:before="0" w:beforeAutospacing="0" w:after="0" w:afterAutospacing="0"/>
        <w:rPr>
          <w:rFonts w:ascii="Century Gothic" w:hAnsi="Century Gothic"/>
          <w:sz w:val="18"/>
          <w:szCs w:val="18"/>
        </w:rPr>
      </w:pPr>
    </w:p>
    <w:p w14:paraId="53CB906A" w14:textId="77777777" w:rsidR="009C4AE2" w:rsidRPr="00506723" w:rsidRDefault="009C4AE2" w:rsidP="009C4AE2">
      <w:pPr>
        <w:pStyle w:val="NormalWeb"/>
        <w:spacing w:before="0" w:beforeAutospacing="0" w:after="0" w:afterAutospacing="0"/>
        <w:rPr>
          <w:rFonts w:ascii="Century Gothic" w:hAnsi="Century Gothic"/>
          <w:sz w:val="18"/>
          <w:szCs w:val="18"/>
        </w:rPr>
      </w:pPr>
      <w:r w:rsidRPr="00506723">
        <w:rPr>
          <w:rFonts w:ascii="Century Gothic" w:hAnsi="Century Gothic"/>
          <w:sz w:val="18"/>
          <w:szCs w:val="18"/>
        </w:rPr>
        <w:t>Ana Santos | </w:t>
      </w:r>
      <w:hyperlink r:id="rId11" w:tgtFrame="_blank" w:tooltip="mailto:ana.santos@lift.com.pt" w:history="1">
        <w:r w:rsidRPr="00506723">
          <w:rPr>
            <w:rStyle w:val="Hiperligao"/>
            <w:rFonts w:ascii="Century Gothic" w:eastAsiaTheme="majorEastAsia" w:hAnsi="Century Gothic"/>
            <w:sz w:val="18"/>
            <w:szCs w:val="18"/>
          </w:rPr>
          <w:t>ana.santos@lift.com.pt</w:t>
        </w:r>
      </w:hyperlink>
      <w:r w:rsidRPr="00506723">
        <w:rPr>
          <w:rFonts w:ascii="Century Gothic" w:hAnsi="Century Gothic"/>
          <w:sz w:val="18"/>
          <w:szCs w:val="18"/>
        </w:rPr>
        <w:t xml:space="preserve"> | +351 914 409 595</w:t>
      </w:r>
    </w:p>
    <w:p w14:paraId="43701A95" w14:textId="070AAEC9" w:rsidR="009C4AE2" w:rsidRPr="00506723" w:rsidRDefault="009C4AE2" w:rsidP="009C4AE2">
      <w:pPr>
        <w:spacing w:after="0" w:line="240" w:lineRule="auto"/>
        <w:rPr>
          <w:rFonts w:ascii="Century Gothic" w:eastAsia="Times New Roman" w:hAnsi="Century Gothic" w:cs="Times New Roman"/>
          <w:kern w:val="0"/>
          <w:sz w:val="18"/>
          <w:szCs w:val="18"/>
          <w:lang w:eastAsia="pt-PT"/>
          <w14:ligatures w14:val="none"/>
        </w:rPr>
      </w:pPr>
      <w:r w:rsidRPr="00506723">
        <w:rPr>
          <w:rFonts w:ascii="Century Gothic" w:hAnsi="Century Gothic"/>
          <w:sz w:val="18"/>
          <w:szCs w:val="18"/>
        </w:rPr>
        <w:t xml:space="preserve">Hugo Costa| </w:t>
      </w:r>
      <w:hyperlink r:id="rId12" w:history="1">
        <w:r w:rsidRPr="00506723">
          <w:rPr>
            <w:rStyle w:val="Hiperligao"/>
            <w:rFonts w:ascii="Century Gothic" w:hAnsi="Century Gothic"/>
            <w:sz w:val="18"/>
            <w:szCs w:val="18"/>
          </w:rPr>
          <w:t>hugo.costa@lift.com.pt</w:t>
        </w:r>
      </w:hyperlink>
      <w:r w:rsidRPr="00506723">
        <w:rPr>
          <w:rFonts w:ascii="Century Gothic" w:hAnsi="Century Gothic"/>
          <w:sz w:val="18"/>
          <w:szCs w:val="18"/>
        </w:rPr>
        <w:t xml:space="preserve"> | +351 914 409 524</w:t>
      </w:r>
    </w:p>
    <w:p w14:paraId="750DD60E" w14:textId="66822EE0" w:rsidR="009C4AE2" w:rsidRPr="00BD04DD" w:rsidRDefault="009C4AE2">
      <w:pPr>
        <w:rPr>
          <w:rFonts w:ascii="Century Gothic" w:hAnsi="Century Gothic"/>
        </w:rPr>
      </w:pPr>
    </w:p>
    <w:p w14:paraId="4EDF6D59" w14:textId="77777777" w:rsidR="00B1376E" w:rsidRDefault="00B1376E" w:rsidP="001F0885">
      <w:pPr>
        <w:spacing w:before="240" w:after="240" w:line="240" w:lineRule="auto"/>
        <w:rPr>
          <w:rFonts w:ascii="Century Gothic" w:eastAsia="Century Gothic" w:hAnsi="Century Gothic" w:cs="Century Gothic"/>
          <w:b/>
          <w:bCs/>
          <w:color w:val="000000" w:themeColor="text1"/>
          <w:sz w:val="18"/>
          <w:szCs w:val="18"/>
        </w:rPr>
      </w:pPr>
    </w:p>
    <w:p w14:paraId="39416141" w14:textId="42479301" w:rsidR="001F0885" w:rsidRPr="00506723" w:rsidRDefault="001F0885" w:rsidP="001F0885">
      <w:pPr>
        <w:spacing w:before="240" w:after="240" w:line="240" w:lineRule="auto"/>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b/>
          <w:bCs/>
          <w:color w:val="000000" w:themeColor="text1"/>
          <w:sz w:val="16"/>
          <w:szCs w:val="16"/>
        </w:rPr>
        <w:t>Sobre o IPAM</w:t>
      </w:r>
    </w:p>
    <w:p w14:paraId="1C3CBC8D" w14:textId="36E714F4"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O IPAM lidera o ensino do Marketing em Portugal há mais de 40 anos, sendo a Marketing Business School que se dedica ao desenvolvimento de líderes de negócio capazes de criar visões estratégicas de sucesso num mundo em constante evolução. Com uma oferta educativa completa de Licenciaturas, Mestrados, Cursos</w:t>
      </w:r>
      <w:r w:rsidR="00737551" w:rsidRPr="00506723">
        <w:rPr>
          <w:rFonts w:ascii="Century Gothic" w:eastAsia="Century Gothic" w:hAnsi="Century Gothic" w:cs="Century Gothic"/>
          <w:color w:val="000000" w:themeColor="text1"/>
          <w:sz w:val="16"/>
          <w:szCs w:val="16"/>
        </w:rPr>
        <w:t xml:space="preserve"> Técnicos</w:t>
      </w:r>
      <w:r w:rsidRPr="00506723">
        <w:rPr>
          <w:rFonts w:ascii="Century Gothic" w:eastAsia="Century Gothic" w:hAnsi="Century Gothic" w:cs="Century Gothic"/>
          <w:color w:val="000000" w:themeColor="text1"/>
          <w:sz w:val="16"/>
          <w:szCs w:val="16"/>
        </w:rPr>
        <w:t xml:space="preserve"> Superiores Profissionais e Formação de Executivos nas áreas do Marketing, Negócios e Tecnologia, disponível através dos seus campus no Porto, em Lisboa ou 100% Online, o IPAM destaca-se pelo seu modelo académico imersivo e inovador com forte ligação ao mercado, em que os estudantes desenvolvem soluções para desafios reais de empresas nacionais e internacionais em cerca de 85% das unidades curriculares, potenciando a sua empregabilidade em qualquer parte do mundo.</w:t>
      </w:r>
    </w:p>
    <w:p w14:paraId="611A4111"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p>
    <w:p w14:paraId="473F0CD5" w14:textId="77777777" w:rsidR="001F0885" w:rsidRPr="00506723" w:rsidRDefault="001F0885" w:rsidP="001F0885">
      <w:pPr>
        <w:spacing w:after="0" w:line="240" w:lineRule="auto"/>
        <w:jc w:val="both"/>
        <w:rPr>
          <w:rFonts w:ascii="Century Gothic" w:eastAsia="Century Gothic" w:hAnsi="Century Gothic" w:cs="Century Gothic"/>
          <w:color w:val="000000" w:themeColor="text1"/>
          <w:sz w:val="16"/>
          <w:szCs w:val="16"/>
        </w:rPr>
      </w:pPr>
      <w:r w:rsidRPr="00506723">
        <w:rPr>
          <w:rFonts w:ascii="Century Gothic" w:eastAsia="Century Gothic" w:hAnsi="Century Gothic" w:cs="Century Gothic"/>
          <w:color w:val="000000" w:themeColor="text1"/>
          <w:sz w:val="16"/>
          <w:szCs w:val="16"/>
        </w:rPr>
        <w:t>Para mais informações sobre o IPAM: </w:t>
      </w:r>
      <w:hyperlink r:id="rId13" w:tgtFrame="_blank" w:tooltip="http://www.ipam.pt/" w:history="1">
        <w:r w:rsidRPr="00506723">
          <w:rPr>
            <w:rStyle w:val="Hiperligao"/>
            <w:rFonts w:ascii="Century Gothic" w:eastAsia="Century Gothic" w:hAnsi="Century Gothic" w:cs="Century Gothic"/>
            <w:sz w:val="16"/>
            <w:szCs w:val="16"/>
          </w:rPr>
          <w:t>www.ipam.pt</w:t>
        </w:r>
      </w:hyperlink>
    </w:p>
    <w:p w14:paraId="2B4D2E1A" w14:textId="77777777" w:rsidR="001F0885" w:rsidRPr="00506723" w:rsidRDefault="001F0885">
      <w:pPr>
        <w:rPr>
          <w:rFonts w:ascii="Century Gothic" w:hAnsi="Century Gothic"/>
          <w:sz w:val="28"/>
        </w:rPr>
      </w:pPr>
    </w:p>
    <w:sectPr w:rsidR="001F0885" w:rsidRPr="00506723" w:rsidSect="003037C6">
      <w:headerReference w:type="default" r:id="rId14"/>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70CA" w14:textId="77777777" w:rsidR="00C52C99" w:rsidRDefault="00C52C99" w:rsidP="002F5AFD">
      <w:pPr>
        <w:spacing w:after="0" w:line="240" w:lineRule="auto"/>
      </w:pPr>
      <w:r>
        <w:separator/>
      </w:r>
    </w:p>
  </w:endnote>
  <w:endnote w:type="continuationSeparator" w:id="0">
    <w:p w14:paraId="439E218B" w14:textId="77777777" w:rsidR="00C52C99" w:rsidRDefault="00C52C99" w:rsidP="002F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4035C" w14:textId="77777777" w:rsidR="00C52C99" w:rsidRDefault="00C52C99" w:rsidP="002F5AFD">
      <w:pPr>
        <w:spacing w:after="0" w:line="240" w:lineRule="auto"/>
      </w:pPr>
      <w:r>
        <w:separator/>
      </w:r>
    </w:p>
  </w:footnote>
  <w:footnote w:type="continuationSeparator" w:id="0">
    <w:p w14:paraId="6D1047AC" w14:textId="77777777" w:rsidR="00C52C99" w:rsidRDefault="00C52C99" w:rsidP="002F5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837C" w14:textId="0DA98F44" w:rsidR="002F5AFD" w:rsidRDefault="002F5AFD" w:rsidP="002F5AFD">
    <w:pPr>
      <w:pStyle w:val="Cabealho"/>
      <w:jc w:val="right"/>
    </w:pPr>
    <w:r w:rsidRPr="00234BBD">
      <w:rPr>
        <w:rFonts w:ascii="Century Gothic" w:hAnsi="Century Gothic"/>
        <w:noProof/>
        <w:sz w:val="20"/>
        <w:szCs w:val="20"/>
        <w:lang w:val="es-ES" w:eastAsia="es-ES"/>
      </w:rPr>
      <w:drawing>
        <wp:inline distT="0" distB="0" distL="0" distR="0" wp14:anchorId="3CE9D681" wp14:editId="60BE018F">
          <wp:extent cx="1743034" cy="529470"/>
          <wp:effectExtent l="0" t="0" r="0" b="4445"/>
          <wp:docPr id="643439606" name="Picture 9" descr="IPAM Licenciatura em gestão d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AM Licenciatura em gestão de market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8345" cy="537158"/>
                  </a:xfrm>
                  <a:prstGeom prst="rect">
                    <a:avLst/>
                  </a:prstGeom>
                  <a:noFill/>
                  <a:ln>
                    <a:noFill/>
                  </a:ln>
                </pic:spPr>
              </pic:pic>
            </a:graphicData>
          </a:graphic>
        </wp:inline>
      </w:drawing>
    </w:r>
  </w:p>
  <w:p w14:paraId="0C72D8C0" w14:textId="77777777" w:rsidR="002F5AFD" w:rsidRDefault="002F5AFD" w:rsidP="002F5AFD">
    <w:pPr>
      <w:pStyle w:val="Cabealho"/>
      <w:jc w:val="right"/>
    </w:pPr>
  </w:p>
  <w:p w14:paraId="18981D2B" w14:textId="77777777" w:rsidR="002F5AFD" w:rsidRDefault="002F5AFD" w:rsidP="002F5AF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D8A"/>
    <w:multiLevelType w:val="multilevel"/>
    <w:tmpl w:val="47F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D4555"/>
    <w:multiLevelType w:val="multilevel"/>
    <w:tmpl w:val="165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F38A3"/>
    <w:multiLevelType w:val="hybridMultilevel"/>
    <w:tmpl w:val="161227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AE85B65"/>
    <w:multiLevelType w:val="hybridMultilevel"/>
    <w:tmpl w:val="E904071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ED46EE3"/>
    <w:multiLevelType w:val="hybridMultilevel"/>
    <w:tmpl w:val="826E1BA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7103A09"/>
    <w:multiLevelType w:val="hybridMultilevel"/>
    <w:tmpl w:val="6E6202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500021D"/>
    <w:multiLevelType w:val="hybridMultilevel"/>
    <w:tmpl w:val="9E6628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F26672D"/>
    <w:multiLevelType w:val="multilevel"/>
    <w:tmpl w:val="069C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1438A"/>
    <w:multiLevelType w:val="hybridMultilevel"/>
    <w:tmpl w:val="083EA30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F7E67C8"/>
    <w:multiLevelType w:val="multilevel"/>
    <w:tmpl w:val="65C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33BE7"/>
    <w:multiLevelType w:val="hybridMultilevel"/>
    <w:tmpl w:val="78E8E6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5F5D4994"/>
    <w:multiLevelType w:val="multilevel"/>
    <w:tmpl w:val="F112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C4028"/>
    <w:multiLevelType w:val="multilevel"/>
    <w:tmpl w:val="EFB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73DBF"/>
    <w:multiLevelType w:val="multilevel"/>
    <w:tmpl w:val="F860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80FD8"/>
    <w:multiLevelType w:val="hybridMultilevel"/>
    <w:tmpl w:val="5CDA870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6DCB6619"/>
    <w:multiLevelType w:val="hybridMultilevel"/>
    <w:tmpl w:val="3BD6D9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7A2B1ED7"/>
    <w:multiLevelType w:val="hybridMultilevel"/>
    <w:tmpl w:val="93E062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7E500C66"/>
    <w:multiLevelType w:val="multilevel"/>
    <w:tmpl w:val="9528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551881">
    <w:abstractNumId w:val="7"/>
  </w:num>
  <w:num w:numId="2" w16cid:durableId="325864829">
    <w:abstractNumId w:val="11"/>
  </w:num>
  <w:num w:numId="3" w16cid:durableId="787357767">
    <w:abstractNumId w:val="9"/>
  </w:num>
  <w:num w:numId="4" w16cid:durableId="1303079099">
    <w:abstractNumId w:val="13"/>
  </w:num>
  <w:num w:numId="5" w16cid:durableId="622468908">
    <w:abstractNumId w:val="1"/>
  </w:num>
  <w:num w:numId="6" w16cid:durableId="498161029">
    <w:abstractNumId w:val="12"/>
  </w:num>
  <w:num w:numId="7" w16cid:durableId="155069967">
    <w:abstractNumId w:val="0"/>
  </w:num>
  <w:num w:numId="8" w16cid:durableId="1018431837">
    <w:abstractNumId w:val="17"/>
  </w:num>
  <w:num w:numId="9" w16cid:durableId="990868130">
    <w:abstractNumId w:val="16"/>
  </w:num>
  <w:num w:numId="10" w16cid:durableId="618150233">
    <w:abstractNumId w:val="6"/>
  </w:num>
  <w:num w:numId="11" w16cid:durableId="1328096305">
    <w:abstractNumId w:val="2"/>
  </w:num>
  <w:num w:numId="12" w16cid:durableId="55207407">
    <w:abstractNumId w:val="4"/>
  </w:num>
  <w:num w:numId="13" w16cid:durableId="1108163749">
    <w:abstractNumId w:val="15"/>
  </w:num>
  <w:num w:numId="14" w16cid:durableId="594291916">
    <w:abstractNumId w:val="10"/>
  </w:num>
  <w:num w:numId="15" w16cid:durableId="777261207">
    <w:abstractNumId w:val="3"/>
  </w:num>
  <w:num w:numId="16" w16cid:durableId="1429354580">
    <w:abstractNumId w:val="5"/>
  </w:num>
  <w:num w:numId="17" w16cid:durableId="1651909285">
    <w:abstractNumId w:val="8"/>
  </w:num>
  <w:num w:numId="18" w16cid:durableId="7989111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4A"/>
    <w:rsid w:val="000D3FAA"/>
    <w:rsid w:val="001F0885"/>
    <w:rsid w:val="002E6AE4"/>
    <w:rsid w:val="002F5AFD"/>
    <w:rsid w:val="003037C6"/>
    <w:rsid w:val="00305E7A"/>
    <w:rsid w:val="003421AE"/>
    <w:rsid w:val="00394DA9"/>
    <w:rsid w:val="0044462A"/>
    <w:rsid w:val="00506723"/>
    <w:rsid w:val="005A7843"/>
    <w:rsid w:val="00650547"/>
    <w:rsid w:val="0066401C"/>
    <w:rsid w:val="00737551"/>
    <w:rsid w:val="007533B3"/>
    <w:rsid w:val="008B2E26"/>
    <w:rsid w:val="008B342B"/>
    <w:rsid w:val="008E79D8"/>
    <w:rsid w:val="0092153B"/>
    <w:rsid w:val="009A5071"/>
    <w:rsid w:val="009B0848"/>
    <w:rsid w:val="009C4AE2"/>
    <w:rsid w:val="00A062BF"/>
    <w:rsid w:val="00A11A84"/>
    <w:rsid w:val="00A24ED5"/>
    <w:rsid w:val="00A8136A"/>
    <w:rsid w:val="00AE3BAA"/>
    <w:rsid w:val="00B1376E"/>
    <w:rsid w:val="00BD04DD"/>
    <w:rsid w:val="00C05372"/>
    <w:rsid w:val="00C52C99"/>
    <w:rsid w:val="00CE2F04"/>
    <w:rsid w:val="00D913E2"/>
    <w:rsid w:val="00DB624A"/>
    <w:rsid w:val="00E76ACC"/>
    <w:rsid w:val="00F21153"/>
    <w:rsid w:val="00F32A3A"/>
    <w:rsid w:val="00F623A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BB00"/>
  <w15:chartTrackingRefBased/>
  <w15:docId w15:val="{FD18E0F5-2C21-4AF4-A50D-0323B79B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DB6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DB6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B62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B62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B62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B62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B62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B62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B624A"/>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B624A"/>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B624A"/>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B624A"/>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B624A"/>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B624A"/>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B624A"/>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B624A"/>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B624A"/>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B624A"/>
    <w:rPr>
      <w:rFonts w:eastAsiaTheme="majorEastAsia" w:cstheme="majorBidi"/>
      <w:color w:val="272727" w:themeColor="text1" w:themeTint="D8"/>
    </w:rPr>
  </w:style>
  <w:style w:type="paragraph" w:styleId="Ttulo">
    <w:name w:val="Title"/>
    <w:basedOn w:val="Normal"/>
    <w:next w:val="Normal"/>
    <w:link w:val="TtuloCarter"/>
    <w:uiPriority w:val="10"/>
    <w:qFormat/>
    <w:rsid w:val="00DB6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B62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B624A"/>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B624A"/>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B624A"/>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B624A"/>
    <w:rPr>
      <w:i/>
      <w:iCs/>
      <w:color w:val="404040" w:themeColor="text1" w:themeTint="BF"/>
    </w:rPr>
  </w:style>
  <w:style w:type="paragraph" w:styleId="PargrafodaLista">
    <w:name w:val="List Paragraph"/>
    <w:basedOn w:val="Normal"/>
    <w:uiPriority w:val="34"/>
    <w:qFormat/>
    <w:rsid w:val="00DB624A"/>
    <w:pPr>
      <w:ind w:left="720"/>
      <w:contextualSpacing/>
    </w:pPr>
  </w:style>
  <w:style w:type="character" w:styleId="nfaseIntensa">
    <w:name w:val="Intense Emphasis"/>
    <w:basedOn w:val="Tipodeletrapredefinidodopargrafo"/>
    <w:uiPriority w:val="21"/>
    <w:qFormat/>
    <w:rsid w:val="00DB624A"/>
    <w:rPr>
      <w:i/>
      <w:iCs/>
      <w:color w:val="0F4761" w:themeColor="accent1" w:themeShade="BF"/>
    </w:rPr>
  </w:style>
  <w:style w:type="paragraph" w:styleId="CitaoIntensa">
    <w:name w:val="Intense Quote"/>
    <w:basedOn w:val="Normal"/>
    <w:next w:val="Normal"/>
    <w:link w:val="CitaoIntensaCarter"/>
    <w:uiPriority w:val="30"/>
    <w:qFormat/>
    <w:rsid w:val="00DB6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B624A"/>
    <w:rPr>
      <w:i/>
      <w:iCs/>
      <w:color w:val="0F4761" w:themeColor="accent1" w:themeShade="BF"/>
    </w:rPr>
  </w:style>
  <w:style w:type="character" w:styleId="RefernciaIntensa">
    <w:name w:val="Intense Reference"/>
    <w:basedOn w:val="Tipodeletrapredefinidodopargrafo"/>
    <w:uiPriority w:val="32"/>
    <w:qFormat/>
    <w:rsid w:val="00DB624A"/>
    <w:rPr>
      <w:b/>
      <w:bCs/>
      <w:smallCaps/>
      <w:color w:val="0F4761" w:themeColor="accent1" w:themeShade="BF"/>
      <w:spacing w:val="5"/>
    </w:rPr>
  </w:style>
  <w:style w:type="character" w:styleId="Hiperligao">
    <w:name w:val="Hyperlink"/>
    <w:basedOn w:val="Tipodeletrapredefinidodopargrafo"/>
    <w:uiPriority w:val="99"/>
    <w:unhideWhenUsed/>
    <w:rsid w:val="009C4AE2"/>
    <w:rPr>
      <w:color w:val="467886" w:themeColor="hyperlink"/>
      <w:u w:val="single"/>
    </w:rPr>
  </w:style>
  <w:style w:type="paragraph" w:styleId="NormalWeb">
    <w:name w:val="Normal (Web)"/>
    <w:basedOn w:val="Normal"/>
    <w:uiPriority w:val="99"/>
    <w:semiHidden/>
    <w:unhideWhenUsed/>
    <w:rsid w:val="009C4AE2"/>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paragraph" w:styleId="Cabealho">
    <w:name w:val="header"/>
    <w:basedOn w:val="Normal"/>
    <w:link w:val="CabealhoCarter"/>
    <w:uiPriority w:val="99"/>
    <w:unhideWhenUsed/>
    <w:rsid w:val="002F5AFD"/>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F5AFD"/>
  </w:style>
  <w:style w:type="paragraph" w:styleId="Rodap">
    <w:name w:val="footer"/>
    <w:basedOn w:val="Normal"/>
    <w:link w:val="RodapCarter"/>
    <w:uiPriority w:val="99"/>
    <w:unhideWhenUsed/>
    <w:rsid w:val="002F5AFD"/>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F5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pa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ugo.costa@lift.com.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a.santos@lift.com.p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F944CD0F65A143A26DBFB769D1F876" ma:contentTypeVersion="0" ma:contentTypeDescription="Create a new document." ma:contentTypeScope="" ma:versionID="0d220a14285794ad6fa5f161b211f63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75EAA-C8DE-40A6-8797-DE9D1BE8B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901DD26-FF9B-4245-96E7-1FB9CDBB23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54299D-6F9B-4C5E-BF95-78222FE34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966</Words>
  <Characters>5218</Characters>
  <Application>Microsoft Office Word</Application>
  <DocSecurity>0</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Costa</dc:creator>
  <cp:keywords/>
  <dc:description/>
  <cp:lastModifiedBy>Ana Santos</cp:lastModifiedBy>
  <cp:revision>17</cp:revision>
  <dcterms:created xsi:type="dcterms:W3CDTF">2025-11-17T09:40:00Z</dcterms:created>
  <dcterms:modified xsi:type="dcterms:W3CDTF">2025-12-16T17:37:00Z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0x01010064F944CD0F65A143A26DBFB769D1F876</vt:lpwstr>
  </property>
</Properties>
</file>