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12DF" w14:textId="77777777" w:rsidR="002628F3" w:rsidRDefault="002628F3" w:rsidP="00E83000">
      <w:pPr>
        <w:spacing w:line="240" w:lineRule="auto"/>
        <w:rPr>
          <w:rFonts w:cs="Calibri"/>
          <w:b/>
          <w:bCs/>
          <w:sz w:val="22"/>
          <w:szCs w:val="22"/>
        </w:rPr>
      </w:pPr>
    </w:p>
    <w:p w14:paraId="5F91BCFE" w14:textId="0FAE6F4A" w:rsidR="006A444E" w:rsidRPr="002628F3" w:rsidRDefault="0A7AE5BC" w:rsidP="002628F3">
      <w:pPr>
        <w:spacing w:line="240" w:lineRule="auto"/>
        <w:jc w:val="center"/>
        <w:rPr>
          <w:rFonts w:cs="Calibri"/>
          <w:b/>
          <w:bCs/>
          <w:sz w:val="22"/>
          <w:szCs w:val="22"/>
        </w:rPr>
      </w:pPr>
      <w:r w:rsidRPr="002628F3">
        <w:rPr>
          <w:rFonts w:cs="Calibri"/>
          <w:b/>
          <w:bCs/>
          <w:sz w:val="22"/>
          <w:szCs w:val="22"/>
        </w:rPr>
        <w:t xml:space="preserve">Nowe możliwości dla MŚP </w:t>
      </w:r>
    </w:p>
    <w:p w14:paraId="65631AED" w14:textId="02958A98" w:rsidR="002628F3" w:rsidRDefault="006A444E" w:rsidP="00E83000">
      <w:pPr>
        <w:spacing w:line="240" w:lineRule="auto"/>
        <w:jc w:val="center"/>
        <w:rPr>
          <w:rFonts w:cs="Calibri"/>
          <w:b/>
          <w:bCs/>
          <w:sz w:val="22"/>
          <w:szCs w:val="22"/>
        </w:rPr>
      </w:pPr>
      <w:r w:rsidRPr="002628F3">
        <w:rPr>
          <w:rFonts w:cs="Calibri"/>
          <w:b/>
          <w:bCs/>
          <w:sz w:val="22"/>
          <w:szCs w:val="22"/>
        </w:rPr>
        <w:t xml:space="preserve">1 grudnia 2025 </w:t>
      </w:r>
      <w:r w:rsidR="00D651CA" w:rsidRPr="002628F3">
        <w:rPr>
          <w:rFonts w:cs="Calibri"/>
          <w:b/>
          <w:bCs/>
          <w:sz w:val="22"/>
          <w:szCs w:val="22"/>
        </w:rPr>
        <w:t xml:space="preserve">roku </w:t>
      </w:r>
      <w:r w:rsidRPr="002628F3">
        <w:rPr>
          <w:rFonts w:cs="Calibri"/>
          <w:b/>
          <w:bCs/>
          <w:sz w:val="22"/>
          <w:szCs w:val="22"/>
        </w:rPr>
        <w:t xml:space="preserve">wystartował nabór do </w:t>
      </w:r>
      <w:r w:rsidR="005D3237" w:rsidRPr="002628F3">
        <w:rPr>
          <w:rFonts w:cs="Calibri"/>
          <w:b/>
          <w:bCs/>
          <w:sz w:val="22"/>
          <w:szCs w:val="22"/>
        </w:rPr>
        <w:t xml:space="preserve">projektu </w:t>
      </w:r>
      <w:r w:rsidR="0A7AE5BC" w:rsidRPr="002628F3">
        <w:rPr>
          <w:rFonts w:cs="Calibri"/>
          <w:b/>
          <w:bCs/>
          <w:sz w:val="22"/>
          <w:szCs w:val="22"/>
        </w:rPr>
        <w:t>Polski</w:t>
      </w:r>
      <w:r w:rsidR="005D3237" w:rsidRPr="002628F3">
        <w:rPr>
          <w:rFonts w:cs="Calibri"/>
          <w:b/>
          <w:bCs/>
          <w:sz w:val="22"/>
          <w:szCs w:val="22"/>
        </w:rPr>
        <w:t>e</w:t>
      </w:r>
      <w:r w:rsidR="0A7AE5BC" w:rsidRPr="002628F3">
        <w:rPr>
          <w:rFonts w:cs="Calibri"/>
          <w:b/>
          <w:bCs/>
          <w:sz w:val="22"/>
          <w:szCs w:val="22"/>
        </w:rPr>
        <w:t xml:space="preserve"> Most</w:t>
      </w:r>
      <w:r w:rsidR="005D3237" w:rsidRPr="002628F3">
        <w:rPr>
          <w:rFonts w:cs="Calibri"/>
          <w:b/>
          <w:bCs/>
          <w:sz w:val="22"/>
          <w:szCs w:val="22"/>
        </w:rPr>
        <w:t>y</w:t>
      </w:r>
      <w:r w:rsidR="0A7AE5BC" w:rsidRPr="002628F3">
        <w:rPr>
          <w:rFonts w:cs="Calibri"/>
          <w:b/>
          <w:bCs/>
          <w:sz w:val="22"/>
          <w:szCs w:val="22"/>
        </w:rPr>
        <w:t xml:space="preserve"> Technologiczn</w:t>
      </w:r>
      <w:r w:rsidR="005D3237" w:rsidRPr="002628F3">
        <w:rPr>
          <w:rFonts w:cs="Calibri"/>
          <w:b/>
          <w:bCs/>
          <w:sz w:val="22"/>
          <w:szCs w:val="22"/>
        </w:rPr>
        <w:t>e</w:t>
      </w:r>
    </w:p>
    <w:p w14:paraId="6A82BE13" w14:textId="75BDA701" w:rsidR="002628F3" w:rsidRDefault="002628F3" w:rsidP="00EB349F">
      <w:pPr>
        <w:jc w:val="both"/>
        <w:rPr>
          <w:rFonts w:cs="Calibri"/>
          <w:b/>
          <w:bCs/>
          <w:sz w:val="22"/>
          <w:szCs w:val="22"/>
        </w:rPr>
      </w:pPr>
      <w:r w:rsidRPr="002628F3">
        <w:rPr>
          <w:rFonts w:cs="Calibri"/>
          <w:b/>
          <w:bCs/>
          <w:sz w:val="22"/>
          <w:szCs w:val="22"/>
        </w:rPr>
        <w:t>Polska Agencja Inwestycji i Handlu ogłosiła pierwszy nabór do projektu Polskie Mosty Technologiczne, realizowanego w ramach programu Fundusze Europejskie dla Nowoczesnej Gospodarki. Inicjatywa skierowana jest do firm działających na rynku od co najmniej dwóch lat, posiadających innowacyjny produkt, usługę lub technologię oraz plany eksportowe na rynki pozaunijne.</w:t>
      </w:r>
      <w:r w:rsidR="00E83000" w:rsidRPr="00E83000">
        <w:t xml:space="preserve"> </w:t>
      </w:r>
      <w:r w:rsidR="00E83000" w:rsidRPr="00E83000">
        <w:rPr>
          <w:rFonts w:cs="Calibri"/>
          <w:b/>
          <w:bCs/>
          <w:sz w:val="22"/>
          <w:szCs w:val="22"/>
        </w:rPr>
        <w:t>Mogą się one ubiegać o granty wspierające ekspansję na rynki takie jak Japonia, Chiny, Wietnam czy Republika Południowej Afryki. Nabór wniosków potrwa do 7 stycznia.</w:t>
      </w:r>
    </w:p>
    <w:p w14:paraId="6C64BFF5" w14:textId="058C1809" w:rsidR="008747B3" w:rsidRPr="002628F3" w:rsidRDefault="0F28083F" w:rsidP="00EB349F">
      <w:pPr>
        <w:jc w:val="both"/>
        <w:rPr>
          <w:rFonts w:cs="Calibri"/>
          <w:sz w:val="22"/>
          <w:szCs w:val="22"/>
        </w:rPr>
      </w:pPr>
      <w:r w:rsidRPr="002628F3">
        <w:rPr>
          <w:rFonts w:cs="Calibri"/>
          <w:sz w:val="22"/>
          <w:szCs w:val="22"/>
        </w:rPr>
        <w:t xml:space="preserve">Polskie Mosty Technologiczne (PMT) to projekt współfinansowany ze środków Unii Europejskiej, którego celem jest </w:t>
      </w:r>
      <w:r w:rsidR="569BE7C6" w:rsidRPr="002628F3">
        <w:rPr>
          <w:rFonts w:cs="Calibri"/>
          <w:sz w:val="22"/>
          <w:szCs w:val="22"/>
        </w:rPr>
        <w:t>wzmocnienie</w:t>
      </w:r>
      <w:r w:rsidRPr="002628F3">
        <w:rPr>
          <w:rFonts w:cs="Calibri"/>
          <w:sz w:val="22"/>
          <w:szCs w:val="22"/>
        </w:rPr>
        <w:t xml:space="preserve"> internacjonalizacji polskich mikro, małych i średnich </w:t>
      </w:r>
      <w:r w:rsidR="569BE7C6" w:rsidRPr="002628F3">
        <w:rPr>
          <w:rFonts w:cs="Calibri"/>
          <w:sz w:val="22"/>
          <w:szCs w:val="22"/>
        </w:rPr>
        <w:t>przedsiębiorstw. Program łączy doradztwo eksperckie, opracowanie strategii ekspansji oraz dofinansowanie działań eksportowych, zapewniając firmom kompleksowe przygotowani</w:t>
      </w:r>
      <w:r w:rsidR="003661BA" w:rsidRPr="002628F3">
        <w:rPr>
          <w:rFonts w:cs="Calibri"/>
          <w:sz w:val="22"/>
          <w:szCs w:val="22"/>
        </w:rPr>
        <w:t>e</w:t>
      </w:r>
      <w:r w:rsidR="569BE7C6" w:rsidRPr="002628F3">
        <w:rPr>
          <w:rFonts w:cs="Calibri"/>
          <w:sz w:val="22"/>
          <w:szCs w:val="22"/>
        </w:rPr>
        <w:t xml:space="preserve"> do wejścia na rynki </w:t>
      </w:r>
      <w:r w:rsidR="7A81DF42" w:rsidRPr="002628F3">
        <w:rPr>
          <w:rFonts w:cs="Calibri"/>
          <w:sz w:val="22"/>
          <w:szCs w:val="22"/>
        </w:rPr>
        <w:t>zagraniczne</w:t>
      </w:r>
      <w:r w:rsidR="569BE7C6" w:rsidRPr="002628F3">
        <w:rPr>
          <w:rFonts w:cs="Calibri"/>
          <w:sz w:val="22"/>
          <w:szCs w:val="22"/>
        </w:rPr>
        <w:t>.</w:t>
      </w:r>
      <w:r w:rsidRPr="002628F3">
        <w:rPr>
          <w:rFonts w:cs="Calibri"/>
          <w:sz w:val="22"/>
          <w:szCs w:val="22"/>
        </w:rPr>
        <w:t xml:space="preserve"> </w:t>
      </w:r>
    </w:p>
    <w:p w14:paraId="601476B7" w14:textId="09990526" w:rsidR="008747B3" w:rsidRPr="002628F3" w:rsidRDefault="00CB4411" w:rsidP="006E03F2">
      <w:pPr>
        <w:jc w:val="both"/>
        <w:rPr>
          <w:rFonts w:cs="Calibri"/>
          <w:i/>
          <w:iCs/>
          <w:sz w:val="22"/>
          <w:szCs w:val="22"/>
        </w:rPr>
      </w:pPr>
      <w:r w:rsidRPr="002628F3">
        <w:rPr>
          <w:rFonts w:cs="Calibri"/>
          <w:sz w:val="22"/>
          <w:szCs w:val="22"/>
        </w:rPr>
        <w:t>–</w:t>
      </w:r>
      <w:r w:rsidR="0F28083F" w:rsidRPr="002628F3">
        <w:rPr>
          <w:rFonts w:cs="Calibri"/>
          <w:i/>
          <w:iCs/>
          <w:sz w:val="22"/>
          <w:szCs w:val="22"/>
        </w:rPr>
        <w:t xml:space="preserve"> </w:t>
      </w:r>
      <w:r w:rsidR="0A7AE5BC" w:rsidRPr="002628F3">
        <w:rPr>
          <w:rFonts w:cs="Calibri"/>
          <w:i/>
          <w:iCs/>
          <w:sz w:val="22"/>
          <w:szCs w:val="22"/>
        </w:rPr>
        <w:t xml:space="preserve">Inicjatywa daje polskim firmom realną szansę na profesjonalne przygotowanie się do </w:t>
      </w:r>
      <w:r w:rsidR="0085398C" w:rsidRPr="002628F3">
        <w:rPr>
          <w:rFonts w:cs="Calibri"/>
          <w:i/>
          <w:iCs/>
          <w:sz w:val="22"/>
          <w:szCs w:val="22"/>
        </w:rPr>
        <w:t xml:space="preserve">rozszerzenia </w:t>
      </w:r>
      <w:r w:rsidR="0A7AE5BC" w:rsidRPr="002628F3">
        <w:rPr>
          <w:rFonts w:cs="Calibri"/>
          <w:i/>
          <w:iCs/>
          <w:sz w:val="22"/>
          <w:szCs w:val="22"/>
        </w:rPr>
        <w:t xml:space="preserve">działalności </w:t>
      </w:r>
      <w:r w:rsidR="0085398C" w:rsidRPr="002628F3">
        <w:rPr>
          <w:rFonts w:cs="Calibri"/>
          <w:i/>
          <w:iCs/>
          <w:sz w:val="22"/>
          <w:szCs w:val="22"/>
        </w:rPr>
        <w:t>na rynki pozaunijne</w:t>
      </w:r>
      <w:r w:rsidR="0A7AE5BC" w:rsidRPr="002628F3">
        <w:rPr>
          <w:rFonts w:cs="Calibri"/>
          <w:i/>
          <w:iCs/>
          <w:sz w:val="22"/>
          <w:szCs w:val="22"/>
        </w:rPr>
        <w:t xml:space="preserve">, znacząco wzmacniając ich konkurencyjność i potencjał rozwojowy. W </w:t>
      </w:r>
      <w:r w:rsidR="21F1B074" w:rsidRPr="002628F3">
        <w:rPr>
          <w:rFonts w:cs="Calibri"/>
          <w:i/>
          <w:iCs/>
          <w:sz w:val="22"/>
          <w:szCs w:val="22"/>
        </w:rPr>
        <w:t>ramach pierwszego naboru</w:t>
      </w:r>
      <w:r w:rsidR="00CB033B" w:rsidRPr="002628F3">
        <w:rPr>
          <w:rFonts w:cs="Calibri"/>
          <w:i/>
          <w:iCs/>
          <w:sz w:val="22"/>
          <w:szCs w:val="22"/>
        </w:rPr>
        <w:t>, który rozpocz</w:t>
      </w:r>
      <w:r w:rsidR="00B045DC" w:rsidRPr="002628F3">
        <w:rPr>
          <w:rFonts w:cs="Calibri"/>
          <w:i/>
          <w:iCs/>
          <w:sz w:val="22"/>
          <w:szCs w:val="22"/>
        </w:rPr>
        <w:t>ął</w:t>
      </w:r>
      <w:r w:rsidR="00CB033B" w:rsidRPr="002628F3">
        <w:rPr>
          <w:rFonts w:cs="Calibri"/>
          <w:i/>
          <w:iCs/>
          <w:sz w:val="22"/>
          <w:szCs w:val="22"/>
        </w:rPr>
        <w:t xml:space="preserve"> </w:t>
      </w:r>
      <w:r w:rsidR="000B08E9" w:rsidRPr="002628F3">
        <w:rPr>
          <w:rFonts w:cs="Calibri"/>
          <w:i/>
          <w:iCs/>
          <w:sz w:val="22"/>
          <w:szCs w:val="22"/>
        </w:rPr>
        <w:t>się 1</w:t>
      </w:r>
      <w:r w:rsidR="00CB033B" w:rsidRPr="002628F3">
        <w:rPr>
          <w:rFonts w:cs="Calibri"/>
          <w:i/>
          <w:iCs/>
          <w:sz w:val="22"/>
          <w:szCs w:val="22"/>
        </w:rPr>
        <w:t xml:space="preserve"> grudnia 2025</w:t>
      </w:r>
      <w:r w:rsidR="00B045DC" w:rsidRPr="002628F3">
        <w:rPr>
          <w:rFonts w:cs="Calibri"/>
          <w:i/>
          <w:iCs/>
          <w:sz w:val="22"/>
          <w:szCs w:val="22"/>
        </w:rPr>
        <w:t xml:space="preserve"> roku</w:t>
      </w:r>
      <w:r w:rsidR="006D404C" w:rsidRPr="002628F3">
        <w:rPr>
          <w:rFonts w:cs="Calibri"/>
          <w:i/>
          <w:iCs/>
          <w:sz w:val="22"/>
          <w:szCs w:val="22"/>
        </w:rPr>
        <w:t xml:space="preserve"> i potrwa do 7 stycznia 2026</w:t>
      </w:r>
      <w:r w:rsidR="00B045DC" w:rsidRPr="002628F3">
        <w:rPr>
          <w:rFonts w:cs="Calibri"/>
          <w:i/>
          <w:iCs/>
          <w:sz w:val="22"/>
          <w:szCs w:val="22"/>
        </w:rPr>
        <w:t xml:space="preserve"> roku</w:t>
      </w:r>
      <w:r w:rsidR="006D404C" w:rsidRPr="002628F3">
        <w:rPr>
          <w:rFonts w:cs="Calibri"/>
          <w:i/>
          <w:iCs/>
          <w:sz w:val="22"/>
          <w:szCs w:val="22"/>
        </w:rPr>
        <w:t>,</w:t>
      </w:r>
      <w:r w:rsidR="0A7AE5BC" w:rsidRPr="002628F3">
        <w:rPr>
          <w:rFonts w:cs="Calibri"/>
          <w:i/>
          <w:iCs/>
          <w:sz w:val="22"/>
          <w:szCs w:val="22"/>
        </w:rPr>
        <w:t xml:space="preserve"> przedsiębiorcy mogą </w:t>
      </w:r>
      <w:r w:rsidR="006D404C" w:rsidRPr="002628F3">
        <w:rPr>
          <w:rFonts w:cs="Calibri"/>
          <w:i/>
          <w:iCs/>
          <w:sz w:val="22"/>
          <w:szCs w:val="22"/>
        </w:rPr>
        <w:t>składać wnioski za pośrednictwem Systemu Obsługi Projektu</w:t>
      </w:r>
      <w:r w:rsidR="00B045DC" w:rsidRPr="002628F3">
        <w:rPr>
          <w:rFonts w:cs="Calibri"/>
          <w:i/>
          <w:iCs/>
          <w:sz w:val="22"/>
          <w:szCs w:val="22"/>
        </w:rPr>
        <w:t xml:space="preserve"> (SOP)</w:t>
      </w:r>
      <w:r w:rsidR="006D404C" w:rsidRPr="002628F3">
        <w:rPr>
          <w:rFonts w:cs="Calibri"/>
          <w:i/>
          <w:iCs/>
          <w:sz w:val="22"/>
          <w:szCs w:val="22"/>
        </w:rPr>
        <w:t xml:space="preserve"> i tym samym </w:t>
      </w:r>
      <w:r w:rsidR="0A7AE5BC" w:rsidRPr="002628F3">
        <w:rPr>
          <w:rFonts w:cs="Calibri"/>
          <w:i/>
          <w:iCs/>
          <w:sz w:val="22"/>
          <w:szCs w:val="22"/>
        </w:rPr>
        <w:t>ubiegać się o granty wspierające ekspansję na rynk</w:t>
      </w:r>
      <w:r w:rsidR="000B08E9" w:rsidRPr="002628F3">
        <w:rPr>
          <w:rFonts w:cs="Calibri"/>
          <w:i/>
          <w:iCs/>
          <w:sz w:val="22"/>
          <w:szCs w:val="22"/>
        </w:rPr>
        <w:t>i takie</w:t>
      </w:r>
      <w:r w:rsidR="0A7AE5BC" w:rsidRPr="002628F3">
        <w:rPr>
          <w:rFonts w:cs="Calibri"/>
          <w:i/>
          <w:iCs/>
          <w:sz w:val="22"/>
          <w:szCs w:val="22"/>
        </w:rPr>
        <w:t xml:space="preserve"> jak</w:t>
      </w:r>
      <w:r w:rsidR="006D404C" w:rsidRPr="002628F3">
        <w:rPr>
          <w:rFonts w:cs="Calibri"/>
          <w:i/>
          <w:iCs/>
          <w:sz w:val="22"/>
          <w:szCs w:val="22"/>
        </w:rPr>
        <w:t>:</w:t>
      </w:r>
      <w:r w:rsidR="0A7AE5BC" w:rsidRPr="002628F3">
        <w:rPr>
          <w:rFonts w:cs="Calibri"/>
          <w:i/>
          <w:iCs/>
          <w:sz w:val="22"/>
          <w:szCs w:val="22"/>
        </w:rPr>
        <w:t xml:space="preserve"> Japonia, Chiny, Wietnam czy Republika Południowej Afryki</w:t>
      </w:r>
      <w:r w:rsidR="00CB033B" w:rsidRPr="002628F3">
        <w:rPr>
          <w:rFonts w:cs="Calibri"/>
          <w:i/>
          <w:iCs/>
          <w:sz w:val="22"/>
          <w:szCs w:val="22"/>
        </w:rPr>
        <w:t xml:space="preserve"> </w:t>
      </w:r>
      <w:r w:rsidR="006D404C" w:rsidRPr="002628F3">
        <w:rPr>
          <w:rFonts w:cs="Calibri"/>
          <w:i/>
          <w:iCs/>
          <w:sz w:val="22"/>
          <w:szCs w:val="22"/>
        </w:rPr>
        <w:t xml:space="preserve">w ramach branż wskazanych dla tych rynków </w:t>
      </w:r>
      <w:r w:rsidR="00CB033B" w:rsidRPr="002628F3">
        <w:rPr>
          <w:rFonts w:cs="Calibri"/>
          <w:i/>
          <w:iCs/>
          <w:sz w:val="22"/>
          <w:szCs w:val="22"/>
        </w:rPr>
        <w:t>(dokumentacja</w:t>
      </w:r>
      <w:r w:rsidR="00762795">
        <w:rPr>
          <w:rFonts w:cs="Calibri"/>
          <w:i/>
          <w:iCs/>
          <w:sz w:val="22"/>
          <w:szCs w:val="22"/>
        </w:rPr>
        <w:t xml:space="preserve"> </w:t>
      </w:r>
      <w:r w:rsidR="00CB033B" w:rsidRPr="002628F3">
        <w:rPr>
          <w:rFonts w:cs="Calibri"/>
          <w:i/>
          <w:iCs/>
          <w:sz w:val="22"/>
          <w:szCs w:val="22"/>
        </w:rPr>
        <w:t xml:space="preserve">dostępna na stronie </w:t>
      </w:r>
      <w:hyperlink r:id="rId7" w:history="1">
        <w:r w:rsidR="006A6EA8" w:rsidRPr="002628F3">
          <w:rPr>
            <w:rStyle w:val="Hipercze"/>
            <w:rFonts w:cs="Calibri"/>
            <w:i/>
            <w:iCs/>
            <w:sz w:val="22"/>
            <w:szCs w:val="22"/>
          </w:rPr>
          <w:t>https://pmt.paih.gov.pl</w:t>
        </w:r>
      </w:hyperlink>
      <w:r w:rsidR="00CB033B" w:rsidRPr="002628F3">
        <w:rPr>
          <w:rFonts w:cs="Calibri"/>
          <w:i/>
          <w:iCs/>
          <w:sz w:val="22"/>
          <w:szCs w:val="22"/>
        </w:rPr>
        <w:t>)</w:t>
      </w:r>
      <w:r w:rsidR="0A7AE5BC" w:rsidRPr="002628F3">
        <w:rPr>
          <w:rFonts w:cs="Calibri"/>
          <w:i/>
          <w:iCs/>
          <w:sz w:val="22"/>
          <w:szCs w:val="22"/>
        </w:rPr>
        <w:t xml:space="preserve">. </w:t>
      </w:r>
      <w:r w:rsidR="0085398C" w:rsidRPr="002628F3">
        <w:rPr>
          <w:rFonts w:cs="Calibri"/>
          <w:i/>
          <w:iCs/>
          <w:sz w:val="22"/>
          <w:szCs w:val="22"/>
        </w:rPr>
        <w:t>D</w:t>
      </w:r>
      <w:r w:rsidR="0A7AE5BC" w:rsidRPr="002628F3">
        <w:rPr>
          <w:rFonts w:cs="Calibri"/>
          <w:i/>
          <w:iCs/>
          <w:sz w:val="22"/>
          <w:szCs w:val="22"/>
        </w:rPr>
        <w:t xml:space="preserve">zięki temu wsparciu </w:t>
      </w:r>
      <w:r w:rsidR="0085398C" w:rsidRPr="002628F3">
        <w:rPr>
          <w:rFonts w:cs="Calibri"/>
          <w:i/>
          <w:iCs/>
          <w:sz w:val="22"/>
          <w:szCs w:val="22"/>
        </w:rPr>
        <w:t xml:space="preserve">przedsiębiorcy mogą </w:t>
      </w:r>
      <w:r w:rsidR="0A7AE5BC" w:rsidRPr="002628F3">
        <w:rPr>
          <w:rFonts w:cs="Calibri"/>
          <w:i/>
          <w:iCs/>
          <w:sz w:val="22"/>
          <w:szCs w:val="22"/>
        </w:rPr>
        <w:t xml:space="preserve">szybciej i skuteczniej </w:t>
      </w:r>
      <w:r w:rsidR="0085398C" w:rsidRPr="002628F3">
        <w:rPr>
          <w:rFonts w:cs="Calibri"/>
          <w:i/>
          <w:iCs/>
          <w:sz w:val="22"/>
          <w:szCs w:val="22"/>
        </w:rPr>
        <w:t>zbudować</w:t>
      </w:r>
      <w:r w:rsidR="0A7AE5BC" w:rsidRPr="002628F3">
        <w:rPr>
          <w:rFonts w:cs="Calibri"/>
          <w:i/>
          <w:iCs/>
          <w:sz w:val="22"/>
          <w:szCs w:val="22"/>
        </w:rPr>
        <w:t xml:space="preserve"> swoją pozycję na globalnej mapie biznesu</w:t>
      </w:r>
      <w:r w:rsidR="0A7AE5BC" w:rsidRPr="002628F3">
        <w:rPr>
          <w:rFonts w:cs="Calibri"/>
          <w:sz w:val="22"/>
          <w:szCs w:val="22"/>
        </w:rPr>
        <w:t xml:space="preserve"> </w:t>
      </w:r>
      <w:r w:rsidRPr="002628F3">
        <w:rPr>
          <w:rFonts w:cs="Calibri"/>
          <w:sz w:val="22"/>
          <w:szCs w:val="22"/>
        </w:rPr>
        <w:t>–</w:t>
      </w:r>
      <w:r w:rsidR="0A7AE5BC" w:rsidRPr="002628F3">
        <w:rPr>
          <w:rFonts w:cs="Calibri"/>
          <w:sz w:val="22"/>
          <w:szCs w:val="22"/>
        </w:rPr>
        <w:t xml:space="preserve"> </w:t>
      </w:r>
      <w:r w:rsidR="0F28083F" w:rsidRPr="002628F3">
        <w:rPr>
          <w:rFonts w:cs="Calibri"/>
          <w:sz w:val="22"/>
          <w:szCs w:val="22"/>
        </w:rPr>
        <w:t xml:space="preserve">mówi </w:t>
      </w:r>
      <w:r w:rsidR="0F28083F" w:rsidRPr="002628F3">
        <w:rPr>
          <w:rFonts w:cs="Calibri"/>
          <w:b/>
          <w:bCs/>
          <w:sz w:val="22"/>
          <w:szCs w:val="22"/>
        </w:rPr>
        <w:t xml:space="preserve">Magdalena Gąsior, </w:t>
      </w:r>
      <w:r w:rsidR="00A343C5" w:rsidRPr="002628F3">
        <w:rPr>
          <w:rFonts w:cs="Calibri"/>
          <w:b/>
          <w:bCs/>
          <w:sz w:val="22"/>
          <w:szCs w:val="22"/>
        </w:rPr>
        <w:t>z zespołu projektu</w:t>
      </w:r>
      <w:r w:rsidR="0F28083F" w:rsidRPr="002628F3">
        <w:rPr>
          <w:rFonts w:cs="Calibri"/>
          <w:b/>
          <w:bCs/>
          <w:sz w:val="22"/>
          <w:szCs w:val="22"/>
        </w:rPr>
        <w:t xml:space="preserve"> PMT</w:t>
      </w:r>
      <w:r w:rsidR="0F28083F" w:rsidRPr="002628F3">
        <w:rPr>
          <w:rFonts w:cs="Calibri"/>
          <w:sz w:val="22"/>
          <w:szCs w:val="22"/>
        </w:rPr>
        <w:t>.</w:t>
      </w:r>
    </w:p>
    <w:p w14:paraId="5E7D148D" w14:textId="27D67B9E" w:rsidR="00EB349F" w:rsidRPr="002628F3" w:rsidRDefault="29BA1130" w:rsidP="006E03F2">
      <w:pPr>
        <w:pStyle w:val="NormalnyWeb"/>
        <w:jc w:val="both"/>
        <w:rPr>
          <w:rFonts w:asciiTheme="minorHAnsi" w:hAnsiTheme="minorHAnsi" w:cs="Calibri"/>
          <w:sz w:val="22"/>
          <w:szCs w:val="22"/>
        </w:rPr>
      </w:pPr>
      <w:r w:rsidRPr="002628F3">
        <w:rPr>
          <w:rFonts w:asciiTheme="minorHAnsi" w:hAnsiTheme="minorHAnsi" w:cs="Calibri"/>
          <w:sz w:val="22"/>
          <w:szCs w:val="22"/>
        </w:rPr>
        <w:t>Do udziału</w:t>
      </w:r>
      <w:r w:rsidR="569BE7C6" w:rsidRPr="002628F3">
        <w:rPr>
          <w:rFonts w:asciiTheme="minorHAnsi" w:hAnsiTheme="minorHAnsi" w:cs="Calibri"/>
          <w:sz w:val="22"/>
          <w:szCs w:val="22"/>
        </w:rPr>
        <w:t xml:space="preserve"> w </w:t>
      </w:r>
      <w:r w:rsidR="0A7AE5BC" w:rsidRPr="002628F3">
        <w:rPr>
          <w:rFonts w:asciiTheme="minorHAnsi" w:hAnsiTheme="minorHAnsi" w:cs="Calibri"/>
          <w:sz w:val="22"/>
          <w:szCs w:val="22"/>
        </w:rPr>
        <w:t>PMT</w:t>
      </w:r>
      <w:r w:rsidR="569BE7C6" w:rsidRPr="002628F3">
        <w:rPr>
          <w:rFonts w:asciiTheme="minorHAnsi" w:hAnsiTheme="minorHAnsi" w:cs="Calibri"/>
          <w:sz w:val="22"/>
          <w:szCs w:val="22"/>
        </w:rPr>
        <w:t xml:space="preserve"> mogą zgłaszać </w:t>
      </w:r>
      <w:r w:rsidR="2F626CB3" w:rsidRPr="002628F3">
        <w:rPr>
          <w:rFonts w:asciiTheme="minorHAnsi" w:hAnsiTheme="minorHAnsi" w:cs="Calibri"/>
          <w:sz w:val="22"/>
          <w:szCs w:val="22"/>
        </w:rPr>
        <w:t xml:space="preserve">się </w:t>
      </w:r>
      <w:r w:rsidR="569BE7C6" w:rsidRPr="002628F3">
        <w:rPr>
          <w:rFonts w:asciiTheme="minorHAnsi" w:hAnsiTheme="minorHAnsi" w:cs="Calibri"/>
          <w:sz w:val="22"/>
          <w:szCs w:val="22"/>
        </w:rPr>
        <w:t>mikro, małe i średnie przedsiębiorstwa, które:</w:t>
      </w:r>
    </w:p>
    <w:p w14:paraId="12396602" w14:textId="5D76DE78" w:rsidR="00B045DC" w:rsidRPr="002628F3" w:rsidRDefault="00B045DC" w:rsidP="00B045DC">
      <w:pPr>
        <w:pStyle w:val="NormalnyWeb"/>
        <w:numPr>
          <w:ilvl w:val="0"/>
          <w:numId w:val="3"/>
        </w:numPr>
        <w:jc w:val="both"/>
        <w:rPr>
          <w:rFonts w:asciiTheme="minorHAnsi" w:hAnsiTheme="minorHAnsi" w:cs="Calibri"/>
          <w:sz w:val="22"/>
          <w:szCs w:val="22"/>
        </w:rPr>
      </w:pPr>
      <w:r w:rsidRPr="002628F3">
        <w:rPr>
          <w:rFonts w:asciiTheme="minorHAnsi" w:hAnsiTheme="minorHAnsi" w:cs="Calibri"/>
          <w:sz w:val="22"/>
          <w:szCs w:val="22"/>
        </w:rPr>
        <w:t>mają siedzibę i prowadz</w:t>
      </w:r>
      <w:r w:rsidR="003661BA" w:rsidRPr="002628F3">
        <w:rPr>
          <w:rFonts w:asciiTheme="minorHAnsi" w:hAnsiTheme="minorHAnsi" w:cs="Calibri"/>
          <w:sz w:val="22"/>
          <w:szCs w:val="22"/>
        </w:rPr>
        <w:t>ą</w:t>
      </w:r>
      <w:r w:rsidRPr="002628F3">
        <w:rPr>
          <w:rFonts w:asciiTheme="minorHAnsi" w:hAnsiTheme="minorHAnsi" w:cs="Calibri"/>
          <w:sz w:val="22"/>
          <w:szCs w:val="22"/>
        </w:rPr>
        <w:t xml:space="preserve"> działalność na terenie RP, nie krócej niż 2 lata obrachunkowe,</w:t>
      </w:r>
    </w:p>
    <w:p w14:paraId="7AA9E08B" w14:textId="38959AE1" w:rsidR="00EB349F" w:rsidRPr="002628F3" w:rsidRDefault="00EB349F" w:rsidP="006E03F2">
      <w:pPr>
        <w:pStyle w:val="NormalnyWeb"/>
        <w:numPr>
          <w:ilvl w:val="0"/>
          <w:numId w:val="3"/>
        </w:numPr>
        <w:jc w:val="both"/>
        <w:rPr>
          <w:rFonts w:asciiTheme="minorHAnsi" w:hAnsiTheme="minorHAnsi" w:cs="Calibri"/>
          <w:sz w:val="22"/>
          <w:szCs w:val="22"/>
        </w:rPr>
      </w:pPr>
      <w:r w:rsidRPr="002628F3">
        <w:rPr>
          <w:rFonts w:asciiTheme="minorHAnsi" w:hAnsiTheme="minorHAnsi" w:cs="Calibri"/>
          <w:sz w:val="22"/>
          <w:szCs w:val="22"/>
        </w:rPr>
        <w:t xml:space="preserve">posiadają </w:t>
      </w:r>
      <w:r w:rsidRPr="002628F3">
        <w:rPr>
          <w:rStyle w:val="Pogrubienie"/>
          <w:rFonts w:asciiTheme="minorHAnsi" w:eastAsiaTheme="majorEastAsia" w:hAnsiTheme="minorHAnsi" w:cs="Calibri"/>
          <w:sz w:val="22"/>
          <w:szCs w:val="22"/>
        </w:rPr>
        <w:t>innowacyjny produkt, usługę lub technologię</w:t>
      </w:r>
      <w:r w:rsidRPr="002628F3">
        <w:rPr>
          <w:rFonts w:asciiTheme="minorHAnsi" w:hAnsiTheme="minorHAnsi" w:cs="Calibri"/>
          <w:sz w:val="22"/>
          <w:szCs w:val="22"/>
        </w:rPr>
        <w:t>,</w:t>
      </w:r>
    </w:p>
    <w:p w14:paraId="62182F74" w14:textId="31F12992" w:rsidR="00EB349F" w:rsidRPr="002628F3" w:rsidRDefault="00EB349F" w:rsidP="006E03F2">
      <w:pPr>
        <w:pStyle w:val="NormalnyWeb"/>
        <w:numPr>
          <w:ilvl w:val="0"/>
          <w:numId w:val="3"/>
        </w:numPr>
        <w:jc w:val="both"/>
        <w:rPr>
          <w:rFonts w:asciiTheme="minorHAnsi" w:hAnsiTheme="minorHAnsi" w:cs="Calibri"/>
          <w:sz w:val="22"/>
          <w:szCs w:val="22"/>
        </w:rPr>
      </w:pPr>
      <w:r w:rsidRPr="002628F3">
        <w:rPr>
          <w:rFonts w:asciiTheme="minorHAnsi" w:hAnsiTheme="minorHAnsi" w:cs="Calibri"/>
          <w:sz w:val="22"/>
          <w:szCs w:val="22"/>
        </w:rPr>
        <w:t xml:space="preserve">wpisują się w </w:t>
      </w:r>
      <w:r w:rsidR="006A444E" w:rsidRPr="002628F3">
        <w:rPr>
          <w:rFonts w:asciiTheme="minorHAnsi" w:hAnsiTheme="minorHAnsi" w:cs="Calibri"/>
          <w:sz w:val="22"/>
          <w:szCs w:val="22"/>
        </w:rPr>
        <w:t xml:space="preserve">wybrane sektory gospodarki i </w:t>
      </w:r>
      <w:r w:rsidRPr="002628F3">
        <w:rPr>
          <w:rStyle w:val="Pogrubienie"/>
          <w:rFonts w:asciiTheme="minorHAnsi" w:eastAsiaTheme="majorEastAsia" w:hAnsiTheme="minorHAnsi" w:cs="Calibri"/>
          <w:sz w:val="22"/>
          <w:szCs w:val="22"/>
        </w:rPr>
        <w:t>Krajowe Inteligentne Specjalizacje (KIS)</w:t>
      </w:r>
      <w:r w:rsidR="00B045DC" w:rsidRPr="002628F3">
        <w:rPr>
          <w:rStyle w:val="Pogrubienie"/>
          <w:rFonts w:asciiTheme="minorHAnsi" w:eastAsiaTheme="majorEastAsia" w:hAnsiTheme="minorHAnsi" w:cs="Calibri"/>
          <w:sz w:val="22"/>
          <w:szCs w:val="22"/>
        </w:rPr>
        <w:t>,</w:t>
      </w:r>
    </w:p>
    <w:p w14:paraId="54E151D3" w14:textId="25A8D272" w:rsidR="00EB349F" w:rsidRPr="002628F3" w:rsidRDefault="00EB349F" w:rsidP="006A444E">
      <w:pPr>
        <w:pStyle w:val="NormalnyWeb"/>
        <w:numPr>
          <w:ilvl w:val="0"/>
          <w:numId w:val="3"/>
        </w:numPr>
        <w:rPr>
          <w:rFonts w:asciiTheme="minorHAnsi" w:hAnsiTheme="minorHAnsi" w:cs="Calibri"/>
          <w:sz w:val="22"/>
          <w:szCs w:val="22"/>
        </w:rPr>
      </w:pPr>
      <w:r w:rsidRPr="002628F3">
        <w:rPr>
          <w:rFonts w:asciiTheme="minorHAnsi" w:hAnsiTheme="minorHAnsi" w:cs="Calibri"/>
          <w:sz w:val="22"/>
          <w:szCs w:val="22"/>
        </w:rPr>
        <w:t xml:space="preserve">posiadają </w:t>
      </w:r>
      <w:r w:rsidRPr="002628F3">
        <w:rPr>
          <w:rStyle w:val="Pogrubienie"/>
          <w:rFonts w:asciiTheme="minorHAnsi" w:eastAsiaTheme="majorEastAsia" w:hAnsiTheme="minorHAnsi" w:cs="Calibri"/>
          <w:sz w:val="22"/>
          <w:szCs w:val="22"/>
        </w:rPr>
        <w:t>udokumentowane doświadczenie eksportowe</w:t>
      </w:r>
      <w:r w:rsidRPr="002628F3">
        <w:rPr>
          <w:rFonts w:asciiTheme="minorHAnsi" w:hAnsiTheme="minorHAnsi" w:cs="Calibri"/>
          <w:sz w:val="22"/>
          <w:szCs w:val="22"/>
        </w:rPr>
        <w:t xml:space="preserve"> </w:t>
      </w:r>
      <w:r w:rsidR="000B08E9" w:rsidRPr="002628F3">
        <w:rPr>
          <w:rFonts w:asciiTheme="minorHAnsi" w:hAnsiTheme="minorHAnsi" w:cs="Calibri"/>
          <w:sz w:val="22"/>
          <w:szCs w:val="22"/>
        </w:rPr>
        <w:t>stanowiące co najmniej</w:t>
      </w:r>
      <w:r w:rsidRPr="002628F3">
        <w:rPr>
          <w:rFonts w:asciiTheme="minorHAnsi" w:hAnsiTheme="minorHAnsi" w:cs="Calibri"/>
          <w:sz w:val="22"/>
          <w:szCs w:val="22"/>
        </w:rPr>
        <w:t xml:space="preserve"> 3% </w:t>
      </w:r>
      <w:r w:rsidR="000B08E9" w:rsidRPr="002628F3">
        <w:rPr>
          <w:rFonts w:asciiTheme="minorHAnsi" w:hAnsiTheme="minorHAnsi" w:cs="Calibri"/>
          <w:sz w:val="22"/>
          <w:szCs w:val="22"/>
        </w:rPr>
        <w:t>przychodów</w:t>
      </w:r>
      <w:r w:rsidR="006A444E" w:rsidRPr="002628F3">
        <w:rPr>
          <w:rFonts w:asciiTheme="minorHAnsi" w:hAnsiTheme="minorHAnsi" w:cs="Calibri"/>
          <w:sz w:val="22"/>
          <w:szCs w:val="22"/>
        </w:rPr>
        <w:t xml:space="preserve"> w jednym z wymaganych okresów rozliczeniowych</w:t>
      </w:r>
      <w:r w:rsidR="00B045DC" w:rsidRPr="002628F3">
        <w:rPr>
          <w:rFonts w:asciiTheme="minorHAnsi" w:hAnsiTheme="minorHAnsi" w:cs="Calibri"/>
          <w:sz w:val="22"/>
          <w:szCs w:val="22"/>
        </w:rPr>
        <w:t>,</w:t>
      </w:r>
    </w:p>
    <w:p w14:paraId="4569DB26" w14:textId="77777777" w:rsidR="00B045DC" w:rsidRDefault="569BE7C6" w:rsidP="00B045DC">
      <w:pPr>
        <w:pStyle w:val="NormalnyWeb"/>
        <w:numPr>
          <w:ilvl w:val="0"/>
          <w:numId w:val="3"/>
        </w:numPr>
        <w:jc w:val="both"/>
        <w:rPr>
          <w:rFonts w:asciiTheme="minorHAnsi" w:hAnsiTheme="minorHAnsi" w:cs="Calibri"/>
          <w:sz w:val="22"/>
          <w:szCs w:val="22"/>
        </w:rPr>
      </w:pPr>
      <w:r w:rsidRPr="002628F3">
        <w:rPr>
          <w:rFonts w:asciiTheme="minorHAnsi" w:hAnsiTheme="minorHAnsi" w:cs="Calibri"/>
          <w:sz w:val="22"/>
          <w:szCs w:val="22"/>
        </w:rPr>
        <w:t xml:space="preserve">posiadają </w:t>
      </w:r>
      <w:r w:rsidRPr="002628F3">
        <w:rPr>
          <w:rStyle w:val="Pogrubienie"/>
          <w:rFonts w:asciiTheme="minorHAnsi" w:eastAsiaTheme="majorEastAsia" w:hAnsiTheme="minorHAnsi" w:cs="Calibri"/>
          <w:sz w:val="22"/>
          <w:szCs w:val="22"/>
        </w:rPr>
        <w:t>aktywną stronę internetową</w:t>
      </w:r>
      <w:r w:rsidRPr="002628F3">
        <w:rPr>
          <w:rFonts w:asciiTheme="minorHAnsi" w:hAnsiTheme="minorHAnsi" w:cs="Calibri"/>
          <w:sz w:val="22"/>
          <w:szCs w:val="22"/>
        </w:rPr>
        <w:t>.</w:t>
      </w:r>
    </w:p>
    <w:p w14:paraId="5AB888B9" w14:textId="48EBE3AA" w:rsidR="00E83000" w:rsidRPr="002628F3" w:rsidRDefault="00E83000" w:rsidP="00E83000">
      <w:pPr>
        <w:pStyle w:val="NormalnyWeb"/>
        <w:jc w:val="both"/>
        <w:rPr>
          <w:rFonts w:asciiTheme="minorHAnsi" w:hAnsiTheme="minorHAnsi" w:cs="Calibri"/>
          <w:sz w:val="22"/>
          <w:szCs w:val="22"/>
        </w:rPr>
      </w:pPr>
      <w:r w:rsidRPr="00E83000">
        <w:rPr>
          <w:rFonts w:asciiTheme="minorHAnsi" w:hAnsiTheme="minorHAnsi" w:cs="Calibri"/>
          <w:sz w:val="22"/>
          <w:szCs w:val="22"/>
        </w:rPr>
        <w:t>Tegoroczna edycja projektu Polskie Mosty Technologiczne skierowana jest do firm reprezentujących szerokie spektrum branż, w tym m.in. sektor budowy i wykańczania budowli, elektroniki profesjonalnej, mikroelektroniki i fotoniki, IT/ICT, branży kosmetycznej, kosmicznej i lotniczej, a także sektora kreatywnego, w tym branży gier komputerowych. Ze wsparcia mogą skorzystać również przedsiębiorstwa działające w obszarze maszyn i urządzeń, meblarstwa, branży medycznej i farmaceutycznej, spożywczej, wysokich technologii związanych z bezpieczeństwem i towarami podwójnego zastosowania oraz zielonych technologii.</w:t>
      </w:r>
    </w:p>
    <w:p w14:paraId="0907E4C4" w14:textId="0F29974F" w:rsidR="00B045DC" w:rsidRPr="002628F3" w:rsidRDefault="00B045DC" w:rsidP="003661BA">
      <w:pPr>
        <w:pStyle w:val="NormalnyWeb"/>
        <w:jc w:val="both"/>
        <w:rPr>
          <w:rFonts w:asciiTheme="minorHAnsi" w:hAnsiTheme="minorHAnsi" w:cs="Calibri"/>
          <w:sz w:val="22"/>
          <w:szCs w:val="22"/>
        </w:rPr>
      </w:pPr>
      <w:r w:rsidRPr="002628F3">
        <w:rPr>
          <w:rFonts w:asciiTheme="minorHAnsi" w:hAnsiTheme="minorHAnsi" w:cs="Calibri"/>
          <w:sz w:val="22"/>
          <w:szCs w:val="22"/>
        </w:rPr>
        <w:t>Pozo</w:t>
      </w:r>
      <w:r w:rsidR="00F12A46" w:rsidRPr="002628F3">
        <w:rPr>
          <w:rFonts w:asciiTheme="minorHAnsi" w:hAnsiTheme="minorHAnsi" w:cs="Calibri"/>
          <w:sz w:val="22"/>
          <w:szCs w:val="22"/>
        </w:rPr>
        <w:t>stałe</w:t>
      </w:r>
      <w:r w:rsidRPr="002628F3">
        <w:rPr>
          <w:rFonts w:asciiTheme="minorHAnsi" w:hAnsiTheme="minorHAnsi" w:cs="Calibri"/>
          <w:sz w:val="22"/>
          <w:szCs w:val="22"/>
        </w:rPr>
        <w:t xml:space="preserve"> </w:t>
      </w:r>
      <w:r w:rsidR="00F12A46" w:rsidRPr="002628F3">
        <w:rPr>
          <w:rFonts w:asciiTheme="minorHAnsi" w:hAnsiTheme="minorHAnsi" w:cs="Calibri"/>
          <w:sz w:val="22"/>
          <w:szCs w:val="22"/>
        </w:rPr>
        <w:t>kryteria udziału</w:t>
      </w:r>
      <w:r w:rsidRPr="002628F3">
        <w:rPr>
          <w:rFonts w:asciiTheme="minorHAnsi" w:hAnsiTheme="minorHAnsi" w:cs="Calibri"/>
          <w:sz w:val="22"/>
          <w:szCs w:val="22"/>
        </w:rPr>
        <w:t xml:space="preserve"> znajdują się na stronie </w:t>
      </w:r>
      <w:r w:rsidR="00F12A46" w:rsidRPr="002628F3">
        <w:rPr>
          <w:rFonts w:asciiTheme="minorHAnsi" w:hAnsiTheme="minorHAnsi" w:cs="Calibri"/>
          <w:sz w:val="22"/>
          <w:szCs w:val="22"/>
        </w:rPr>
        <w:t>projektu PMT.</w:t>
      </w:r>
    </w:p>
    <w:p w14:paraId="69537141" w14:textId="583B9DB9" w:rsidR="00BA610C" w:rsidRPr="002628F3" w:rsidRDefault="0A7AE5BC" w:rsidP="00110E5D">
      <w:pPr>
        <w:spacing w:before="100" w:beforeAutospacing="1" w:after="100" w:afterAutospacing="1" w:line="240" w:lineRule="auto"/>
        <w:jc w:val="both"/>
        <w:rPr>
          <w:rFonts w:eastAsia="Times New Roman" w:cs="Calibri"/>
          <w:kern w:val="0"/>
          <w:sz w:val="22"/>
          <w:szCs w:val="22"/>
          <w:lang w:eastAsia="pl-PL"/>
          <w14:ligatures w14:val="none"/>
        </w:rPr>
      </w:pPr>
      <w:r w:rsidRPr="002628F3">
        <w:rPr>
          <w:rFonts w:eastAsia="Times New Roman" w:cs="Calibri"/>
          <w:kern w:val="0"/>
          <w:sz w:val="22"/>
          <w:szCs w:val="22"/>
          <w:lang w:eastAsia="pl-PL"/>
          <w14:ligatures w14:val="none"/>
        </w:rPr>
        <w:lastRenderedPageBreak/>
        <w:t>Projekt Polskie Mosty Technologiczne</w:t>
      </w:r>
      <w:r w:rsidR="569BE7C6" w:rsidRPr="002628F3">
        <w:rPr>
          <w:rFonts w:eastAsia="Times New Roman" w:cs="Calibri"/>
          <w:kern w:val="0"/>
          <w:sz w:val="22"/>
          <w:szCs w:val="22"/>
          <w:lang w:eastAsia="pl-PL"/>
          <w14:ligatures w14:val="none"/>
        </w:rPr>
        <w:t xml:space="preserve"> zapewnia</w:t>
      </w:r>
      <w:r w:rsidR="00065C3F" w:rsidRPr="002628F3">
        <w:rPr>
          <w:rFonts w:eastAsia="Times New Roman" w:cs="Calibri"/>
          <w:kern w:val="0"/>
          <w:sz w:val="22"/>
          <w:szCs w:val="22"/>
          <w:lang w:eastAsia="pl-PL"/>
          <w14:ligatures w14:val="none"/>
        </w:rPr>
        <w:t xml:space="preserve"> grant</w:t>
      </w:r>
      <w:r w:rsidR="0085398C" w:rsidRPr="002628F3">
        <w:rPr>
          <w:rFonts w:eastAsia="Times New Roman" w:cs="Calibri"/>
          <w:kern w:val="0"/>
          <w:sz w:val="22"/>
          <w:szCs w:val="22"/>
          <w:lang w:eastAsia="pl-PL"/>
          <w14:ligatures w14:val="none"/>
        </w:rPr>
        <w:t xml:space="preserve">, o </w:t>
      </w:r>
      <w:r w:rsidR="00065C3F" w:rsidRPr="002628F3">
        <w:rPr>
          <w:rFonts w:eastAsia="Times New Roman" w:cs="Calibri"/>
          <w:kern w:val="0"/>
          <w:sz w:val="22"/>
          <w:szCs w:val="22"/>
          <w:lang w:eastAsia="pl-PL"/>
          <w14:ligatures w14:val="none"/>
        </w:rPr>
        <w:t>łącznej</w:t>
      </w:r>
      <w:r w:rsidR="0085398C" w:rsidRPr="002628F3">
        <w:rPr>
          <w:rFonts w:eastAsia="Times New Roman" w:cs="Calibri"/>
          <w:kern w:val="0"/>
          <w:sz w:val="22"/>
          <w:szCs w:val="22"/>
          <w:lang w:eastAsia="pl-PL"/>
          <w14:ligatures w14:val="none"/>
        </w:rPr>
        <w:t xml:space="preserve"> wartości do 180 tys. zł</w:t>
      </w:r>
      <w:r w:rsidR="00F12A46" w:rsidRPr="002628F3">
        <w:rPr>
          <w:rFonts w:eastAsia="Times New Roman" w:cs="Calibri"/>
          <w:kern w:val="0"/>
          <w:sz w:val="22"/>
          <w:szCs w:val="22"/>
          <w:lang w:eastAsia="pl-PL"/>
          <w14:ligatures w14:val="none"/>
        </w:rPr>
        <w:t xml:space="preserve"> w ramach pomocy de minimis</w:t>
      </w:r>
      <w:r w:rsidR="569BE7C6" w:rsidRPr="002628F3">
        <w:rPr>
          <w:rFonts w:eastAsia="Times New Roman" w:cs="Calibri"/>
          <w:kern w:val="0"/>
          <w:sz w:val="22"/>
          <w:szCs w:val="22"/>
          <w:lang w:eastAsia="pl-PL"/>
          <w14:ligatures w14:val="none"/>
        </w:rPr>
        <w:t xml:space="preserve">. W pierwszej kolejności przedsiębiorcy biorą udział w warsztatach oraz korzystają </w:t>
      </w:r>
      <w:r w:rsidR="00F12A46" w:rsidRPr="002628F3">
        <w:rPr>
          <w:rFonts w:eastAsia="Times New Roman" w:cs="Calibri"/>
          <w:kern w:val="0"/>
          <w:sz w:val="22"/>
          <w:szCs w:val="22"/>
          <w:lang w:eastAsia="pl-PL"/>
          <w14:ligatures w14:val="none"/>
        </w:rPr>
        <w:t xml:space="preserve">z konsultacji eksperckich w ramach etapu krajowego. </w:t>
      </w:r>
      <w:r w:rsidR="002628F3" w:rsidRPr="002628F3">
        <w:rPr>
          <w:rFonts w:eastAsia="Times New Roman" w:cs="Calibri"/>
          <w:kern w:val="0"/>
          <w:sz w:val="22"/>
          <w:szCs w:val="22"/>
          <w:lang w:eastAsia="pl-PL"/>
          <w14:ligatures w14:val="none"/>
        </w:rPr>
        <w:t xml:space="preserve">W ramach etapu zagranicznego </w:t>
      </w:r>
      <w:r w:rsidR="00762795">
        <w:rPr>
          <w:rFonts w:eastAsia="Times New Roman" w:cs="Calibri"/>
          <w:kern w:val="0"/>
          <w:sz w:val="22"/>
          <w:szCs w:val="22"/>
          <w:lang w:eastAsia="pl-PL"/>
          <w14:ligatures w14:val="none"/>
        </w:rPr>
        <w:t>firmy</w:t>
      </w:r>
      <w:r w:rsidR="002628F3" w:rsidRPr="002628F3">
        <w:rPr>
          <w:rFonts w:eastAsia="Times New Roman" w:cs="Calibri"/>
          <w:kern w:val="0"/>
          <w:sz w:val="22"/>
          <w:szCs w:val="22"/>
          <w:lang w:eastAsia="pl-PL"/>
          <w14:ligatures w14:val="none"/>
        </w:rPr>
        <w:t xml:space="preserve"> ponoszą kwalifikowalne koszty do 150 tys. zł, które następnie są rozliczane w formie refundacji. Wymagany wkład własny przedsiębiorcy wynosi ok. 23 procent. </w:t>
      </w:r>
      <w:r w:rsidR="00BA610C" w:rsidRPr="002628F3">
        <w:rPr>
          <w:rFonts w:eastAsia="Times New Roman" w:cs="Calibri"/>
          <w:kern w:val="0"/>
          <w:sz w:val="22"/>
          <w:szCs w:val="22"/>
          <w:lang w:eastAsia="pl-PL"/>
          <w14:ligatures w14:val="none"/>
        </w:rPr>
        <w:t xml:space="preserve">Przez cały okres trwania projektu firma </w:t>
      </w:r>
      <w:r w:rsidR="002628F3" w:rsidRPr="002628F3">
        <w:rPr>
          <w:rFonts w:eastAsia="Times New Roman" w:cs="Calibri"/>
          <w:kern w:val="0"/>
          <w:sz w:val="22"/>
          <w:szCs w:val="22"/>
          <w:lang w:eastAsia="pl-PL"/>
          <w14:ligatures w14:val="none"/>
        </w:rPr>
        <w:t>ma możliwość</w:t>
      </w:r>
      <w:r w:rsidR="00BA610C" w:rsidRPr="002628F3">
        <w:rPr>
          <w:rFonts w:eastAsia="Times New Roman" w:cs="Calibri"/>
          <w:kern w:val="0"/>
          <w:sz w:val="22"/>
          <w:szCs w:val="22"/>
          <w:lang w:eastAsia="pl-PL"/>
          <w14:ligatures w14:val="none"/>
        </w:rPr>
        <w:t xml:space="preserve"> skorzysta</w:t>
      </w:r>
      <w:r w:rsidR="002628F3" w:rsidRPr="002628F3">
        <w:rPr>
          <w:rFonts w:eastAsia="Times New Roman" w:cs="Calibri"/>
          <w:kern w:val="0"/>
          <w:sz w:val="22"/>
          <w:szCs w:val="22"/>
          <w:lang w:eastAsia="pl-PL"/>
          <w14:ligatures w14:val="none"/>
        </w:rPr>
        <w:t>nia</w:t>
      </w:r>
      <w:r w:rsidR="00BA610C" w:rsidRPr="002628F3">
        <w:rPr>
          <w:rFonts w:eastAsia="Times New Roman" w:cs="Calibri"/>
          <w:kern w:val="0"/>
          <w:sz w:val="22"/>
          <w:szCs w:val="22"/>
          <w:lang w:eastAsia="pl-PL"/>
          <w14:ligatures w14:val="none"/>
        </w:rPr>
        <w:t xml:space="preserve"> z usług Zagranicznych Biur Handlowych PAIH. </w:t>
      </w:r>
    </w:p>
    <w:p w14:paraId="5115361E" w14:textId="30467182" w:rsidR="7EC222B1" w:rsidRPr="002628F3" w:rsidRDefault="00BA610C" w:rsidP="00110E5D">
      <w:pPr>
        <w:spacing w:before="100" w:beforeAutospacing="1" w:after="100" w:afterAutospacing="1" w:line="240" w:lineRule="auto"/>
        <w:jc w:val="both"/>
        <w:rPr>
          <w:rFonts w:cs="Calibri"/>
          <w:sz w:val="22"/>
          <w:szCs w:val="22"/>
        </w:rPr>
      </w:pPr>
      <w:r w:rsidRPr="002628F3">
        <w:rPr>
          <w:rFonts w:eastAsia="Times New Roman" w:cs="Calibri"/>
          <w:kern w:val="0"/>
          <w:sz w:val="22"/>
          <w:szCs w:val="22"/>
          <w:lang w:eastAsia="pl-PL"/>
          <w14:ligatures w14:val="none"/>
        </w:rPr>
        <w:t xml:space="preserve">Oferta projektu PMT zapewnia </w:t>
      </w:r>
      <w:r w:rsidR="569BE7C6" w:rsidRPr="002628F3">
        <w:rPr>
          <w:rFonts w:eastAsia="Times New Roman" w:cs="Calibri"/>
          <w:kern w:val="0"/>
          <w:sz w:val="22"/>
          <w:szCs w:val="22"/>
          <w:lang w:eastAsia="pl-PL"/>
          <w14:ligatures w14:val="none"/>
        </w:rPr>
        <w:t>firm</w:t>
      </w:r>
      <w:r w:rsidRPr="002628F3">
        <w:rPr>
          <w:rFonts w:eastAsia="Times New Roman" w:cs="Calibri"/>
          <w:kern w:val="0"/>
          <w:sz w:val="22"/>
          <w:szCs w:val="22"/>
          <w:lang w:eastAsia="pl-PL"/>
          <w14:ligatures w14:val="none"/>
        </w:rPr>
        <w:t>om</w:t>
      </w:r>
      <w:r w:rsidR="569BE7C6" w:rsidRPr="002628F3">
        <w:rPr>
          <w:rFonts w:eastAsia="Times New Roman" w:cs="Calibri"/>
          <w:kern w:val="0"/>
          <w:sz w:val="22"/>
          <w:szCs w:val="22"/>
          <w:lang w:eastAsia="pl-PL"/>
          <w14:ligatures w14:val="none"/>
        </w:rPr>
        <w:t xml:space="preserve"> zarówno odpowiednie </w:t>
      </w:r>
      <w:r w:rsidRPr="002628F3">
        <w:rPr>
          <w:rFonts w:eastAsia="Times New Roman" w:cs="Calibri"/>
          <w:kern w:val="0"/>
          <w:sz w:val="22"/>
          <w:szCs w:val="22"/>
          <w:lang w:eastAsia="pl-PL"/>
          <w14:ligatures w14:val="none"/>
        </w:rPr>
        <w:t>wsparcie</w:t>
      </w:r>
      <w:r w:rsidR="00CE01BB" w:rsidRPr="002628F3">
        <w:rPr>
          <w:rFonts w:eastAsia="Times New Roman" w:cs="Calibri"/>
          <w:kern w:val="0"/>
          <w:sz w:val="22"/>
          <w:szCs w:val="22"/>
          <w:lang w:eastAsia="pl-PL"/>
          <w14:ligatures w14:val="none"/>
        </w:rPr>
        <w:t xml:space="preserve"> </w:t>
      </w:r>
      <w:r w:rsidR="0050692E" w:rsidRPr="002628F3">
        <w:rPr>
          <w:rFonts w:eastAsia="Times New Roman" w:cs="Calibri"/>
          <w:kern w:val="0"/>
          <w:sz w:val="22"/>
          <w:szCs w:val="22"/>
          <w:lang w:eastAsia="pl-PL"/>
          <w14:ligatures w14:val="none"/>
        </w:rPr>
        <w:t>eksperckie</w:t>
      </w:r>
      <w:r w:rsidR="003661BA" w:rsidRPr="002628F3">
        <w:rPr>
          <w:rFonts w:eastAsia="Times New Roman" w:cs="Calibri"/>
          <w:kern w:val="0"/>
          <w:sz w:val="22"/>
          <w:szCs w:val="22"/>
          <w:lang w:eastAsia="pl-PL"/>
          <w14:ligatures w14:val="none"/>
        </w:rPr>
        <w:t xml:space="preserve">, </w:t>
      </w:r>
      <w:r w:rsidRPr="002628F3">
        <w:rPr>
          <w:rFonts w:eastAsia="Times New Roman" w:cs="Calibri"/>
          <w:kern w:val="0"/>
          <w:sz w:val="22"/>
          <w:szCs w:val="22"/>
          <w:lang w:eastAsia="pl-PL"/>
          <w14:ligatures w14:val="none"/>
        </w:rPr>
        <w:t xml:space="preserve">jak i </w:t>
      </w:r>
      <w:r w:rsidR="569BE7C6" w:rsidRPr="002628F3">
        <w:rPr>
          <w:rFonts w:eastAsia="Times New Roman" w:cs="Calibri"/>
          <w:kern w:val="0"/>
          <w:sz w:val="22"/>
          <w:szCs w:val="22"/>
          <w:lang w:eastAsia="pl-PL"/>
          <w14:ligatures w14:val="none"/>
        </w:rPr>
        <w:t>finansow</w:t>
      </w:r>
      <w:r w:rsidRPr="002628F3">
        <w:rPr>
          <w:rFonts w:eastAsia="Times New Roman" w:cs="Calibri"/>
          <w:kern w:val="0"/>
          <w:sz w:val="22"/>
          <w:szCs w:val="22"/>
          <w:lang w:eastAsia="pl-PL"/>
          <w14:ligatures w14:val="none"/>
        </w:rPr>
        <w:t>anie</w:t>
      </w:r>
      <w:r w:rsidR="569BE7C6" w:rsidRPr="002628F3">
        <w:rPr>
          <w:rFonts w:eastAsia="Times New Roman" w:cs="Calibri"/>
          <w:kern w:val="0"/>
          <w:sz w:val="22"/>
          <w:szCs w:val="22"/>
          <w:lang w:eastAsia="pl-PL"/>
          <w14:ligatures w14:val="none"/>
        </w:rPr>
        <w:t xml:space="preserve"> niezbędne do skuteczne</w:t>
      </w:r>
      <w:r w:rsidRPr="002628F3">
        <w:rPr>
          <w:rFonts w:eastAsia="Times New Roman" w:cs="Calibri"/>
          <w:kern w:val="0"/>
          <w:sz w:val="22"/>
          <w:szCs w:val="22"/>
          <w:lang w:eastAsia="pl-PL"/>
          <w14:ligatures w14:val="none"/>
        </w:rPr>
        <w:t>go eksportu</w:t>
      </w:r>
      <w:r w:rsidR="569BE7C6" w:rsidRPr="002628F3">
        <w:rPr>
          <w:rFonts w:eastAsia="Times New Roman" w:cs="Calibri"/>
          <w:kern w:val="0"/>
          <w:sz w:val="22"/>
          <w:szCs w:val="22"/>
          <w:lang w:eastAsia="pl-PL"/>
          <w14:ligatures w14:val="none"/>
        </w:rPr>
        <w:t>.</w:t>
      </w:r>
    </w:p>
    <w:p w14:paraId="7C6C7749" w14:textId="77777777" w:rsidR="002628F3" w:rsidRPr="002628F3" w:rsidRDefault="002628F3" w:rsidP="006E03F2">
      <w:pPr>
        <w:jc w:val="both"/>
        <w:rPr>
          <w:rFonts w:eastAsia="Times New Roman" w:cs="Calibri"/>
          <w:kern w:val="0"/>
          <w:sz w:val="22"/>
          <w:szCs w:val="22"/>
          <w:lang w:eastAsia="pl-PL"/>
          <w14:ligatures w14:val="none"/>
        </w:rPr>
      </w:pPr>
      <w:r w:rsidRPr="002628F3">
        <w:rPr>
          <w:rFonts w:eastAsia="Times New Roman" w:cs="Calibri"/>
          <w:kern w:val="0"/>
          <w:sz w:val="22"/>
          <w:szCs w:val="22"/>
          <w:lang w:eastAsia="pl-PL"/>
          <w14:ligatures w14:val="none"/>
        </w:rPr>
        <w:t xml:space="preserve">W 2026 roku planowane są kolejne nabory, obejmujące nowe rynki docelowe oraz wybrane sektory gospodarki. Wśród przyszłych kierunków znajdują się m.in.: Stany Zjednoczone, Kanada, Brazylia, Wielka Brytania, Zjednoczone Emiraty Arabskie, Egipt, Maroko oraz Turcja. W skali całego projektu PMT przewidziano realizację 10 naborów. </w:t>
      </w:r>
    </w:p>
    <w:p w14:paraId="14F183DE" w14:textId="0568973F" w:rsidR="008747B3" w:rsidRPr="002628F3" w:rsidRDefault="008747B3" w:rsidP="006E03F2">
      <w:pPr>
        <w:jc w:val="both"/>
        <w:rPr>
          <w:rFonts w:cs="Calibri"/>
          <w:sz w:val="22"/>
          <w:szCs w:val="22"/>
        </w:rPr>
      </w:pPr>
      <w:r w:rsidRPr="002628F3">
        <w:rPr>
          <w:rFonts w:cs="Calibri"/>
          <w:sz w:val="22"/>
          <w:szCs w:val="22"/>
        </w:rPr>
        <w:t xml:space="preserve">Więcej informacji na temat </w:t>
      </w:r>
      <w:r w:rsidR="003661BA" w:rsidRPr="002628F3">
        <w:rPr>
          <w:rFonts w:cs="Calibri"/>
          <w:sz w:val="22"/>
          <w:szCs w:val="22"/>
        </w:rPr>
        <w:t xml:space="preserve">projektu </w:t>
      </w:r>
      <w:r w:rsidR="006E03F2" w:rsidRPr="002628F3">
        <w:rPr>
          <w:rFonts w:cs="Calibri"/>
          <w:sz w:val="22"/>
          <w:szCs w:val="22"/>
        </w:rPr>
        <w:t>PMT</w:t>
      </w:r>
      <w:r w:rsidRPr="002628F3">
        <w:rPr>
          <w:rFonts w:cs="Calibri"/>
          <w:sz w:val="22"/>
          <w:szCs w:val="22"/>
        </w:rPr>
        <w:t xml:space="preserve">: </w:t>
      </w:r>
      <w:r w:rsidR="00BA610C" w:rsidRPr="002628F3">
        <w:rPr>
          <w:rFonts w:cs="Calibri"/>
          <w:sz w:val="22"/>
          <w:szCs w:val="22"/>
        </w:rPr>
        <w:t>pmt.paih.gov.pl</w:t>
      </w:r>
      <w:r w:rsidR="00E83000">
        <w:rPr>
          <w:rFonts w:cs="Calibri"/>
          <w:sz w:val="22"/>
          <w:szCs w:val="22"/>
        </w:rPr>
        <w:t xml:space="preserve"> </w:t>
      </w:r>
    </w:p>
    <w:p w14:paraId="188E9B91" w14:textId="7610BA98" w:rsidR="00E82733" w:rsidRPr="002628F3" w:rsidRDefault="00E82733" w:rsidP="00110E5D">
      <w:pPr>
        <w:jc w:val="both"/>
        <w:rPr>
          <w:rFonts w:cs="Calibri"/>
          <w:sz w:val="22"/>
          <w:szCs w:val="22"/>
        </w:rPr>
      </w:pPr>
      <w:r w:rsidRPr="002628F3">
        <w:rPr>
          <w:rFonts w:cs="Calibri"/>
          <w:sz w:val="22"/>
          <w:szCs w:val="22"/>
        </w:rPr>
        <w:t>Projekt realizowany przez Polską Agencję Inwestycji i Handlu w ramach Programu Fundusze Europejskie dla Nowoczesnej Gospodarki 2021-2027.</w:t>
      </w:r>
    </w:p>
    <w:p w14:paraId="458F71EA" w14:textId="77777777" w:rsidR="008747B3" w:rsidRPr="002628F3" w:rsidRDefault="008747B3" w:rsidP="008747B3">
      <w:pPr>
        <w:spacing w:line="259" w:lineRule="auto"/>
        <w:jc w:val="both"/>
        <w:rPr>
          <w:rFonts w:cs="Calibri"/>
          <w:sz w:val="22"/>
          <w:szCs w:val="22"/>
        </w:rPr>
      </w:pPr>
    </w:p>
    <w:p w14:paraId="6FD11B3C" w14:textId="773C1F8C" w:rsidR="00D27CAF" w:rsidRPr="002628F3" w:rsidRDefault="00D27CAF" w:rsidP="00D27CAF">
      <w:pPr>
        <w:jc w:val="both"/>
        <w:rPr>
          <w:rFonts w:cs="Calibri"/>
          <w:sz w:val="22"/>
          <w:szCs w:val="22"/>
        </w:rPr>
      </w:pPr>
    </w:p>
    <w:sectPr w:rsidR="00D27CAF" w:rsidRPr="002628F3" w:rsidSect="006530AD">
      <w:headerReference w:type="default" r:id="rId8"/>
      <w:footerReference w:type="default" r:id="rId9"/>
      <w:pgSz w:w="11906" w:h="16838"/>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8CF6" w14:textId="77777777" w:rsidR="0018053B" w:rsidRDefault="0018053B" w:rsidP="00A72641">
      <w:pPr>
        <w:spacing w:after="0" w:line="240" w:lineRule="auto"/>
      </w:pPr>
      <w:r>
        <w:separator/>
      </w:r>
    </w:p>
  </w:endnote>
  <w:endnote w:type="continuationSeparator" w:id="0">
    <w:p w14:paraId="0F4A6322" w14:textId="77777777" w:rsidR="0018053B" w:rsidRDefault="0018053B" w:rsidP="00A72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A126" w14:textId="31F9EEB9" w:rsidR="002628F3" w:rsidRDefault="002628F3">
    <w:pPr>
      <w:pStyle w:val="Stopka"/>
    </w:pPr>
    <w:r>
      <w:rPr>
        <w:noProof/>
      </w:rPr>
      <w:drawing>
        <wp:inline distT="0" distB="0" distL="0" distR="0" wp14:anchorId="5F6870A1" wp14:editId="1774FC99">
          <wp:extent cx="5760720" cy="549910"/>
          <wp:effectExtent l="0" t="0" r="0" b="0"/>
          <wp:docPr id="171214104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99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5D8F" w14:textId="77777777" w:rsidR="0018053B" w:rsidRDefault="0018053B" w:rsidP="00A72641">
      <w:pPr>
        <w:spacing w:after="0" w:line="240" w:lineRule="auto"/>
      </w:pPr>
      <w:r>
        <w:separator/>
      </w:r>
    </w:p>
  </w:footnote>
  <w:footnote w:type="continuationSeparator" w:id="0">
    <w:p w14:paraId="6198CA15" w14:textId="77777777" w:rsidR="0018053B" w:rsidRDefault="0018053B" w:rsidP="00A72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97AC" w14:textId="198F9683" w:rsidR="00A72641" w:rsidRDefault="00A72641" w:rsidP="00A72641">
    <w:pPr>
      <w:pStyle w:val="Nagwek"/>
      <w:jc w:val="right"/>
      <w:rPr>
        <w:rFonts w:ascii="Calibri" w:hAnsi="Calibri" w:cs="Calibri"/>
        <w:sz w:val="20"/>
        <w:szCs w:val="20"/>
      </w:rPr>
    </w:pPr>
    <w:r w:rsidRPr="00A72641">
      <w:rPr>
        <w:rFonts w:ascii="Calibri" w:hAnsi="Calibri" w:cs="Calibri"/>
        <w:noProof/>
        <w:sz w:val="20"/>
        <w:szCs w:val="20"/>
      </w:rPr>
      <w:drawing>
        <wp:anchor distT="0" distB="0" distL="114300" distR="114300" simplePos="0" relativeHeight="251658240" behindDoc="0" locked="0" layoutInCell="1" allowOverlap="1" wp14:anchorId="40DE8B8B" wp14:editId="390FD48C">
          <wp:simplePos x="0" y="0"/>
          <wp:positionH relativeFrom="margin">
            <wp:align>left</wp:align>
          </wp:positionH>
          <wp:positionV relativeFrom="paragraph">
            <wp:posOffset>-205740</wp:posOffset>
          </wp:positionV>
          <wp:extent cx="1840048" cy="823421"/>
          <wp:effectExtent l="0" t="0" r="0" b="0"/>
          <wp:wrapThrough wrapText="bothSides">
            <wp:wrapPolygon edited="0">
              <wp:start x="2684" y="4500"/>
              <wp:lineTo x="2013" y="7000"/>
              <wp:lineTo x="2237" y="12500"/>
              <wp:lineTo x="5816" y="13500"/>
              <wp:lineTo x="6487" y="15500"/>
              <wp:lineTo x="7829" y="16500"/>
              <wp:lineTo x="8947" y="16500"/>
              <wp:lineTo x="12079" y="15000"/>
              <wp:lineTo x="19013" y="12500"/>
              <wp:lineTo x="19460" y="10500"/>
              <wp:lineTo x="15658" y="4500"/>
              <wp:lineTo x="2684" y="4500"/>
            </wp:wrapPolygon>
          </wp:wrapThrough>
          <wp:docPr id="1955348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048" cy="823421"/>
                  </a:xfrm>
                  <a:prstGeom prst="rect">
                    <a:avLst/>
                  </a:prstGeom>
                  <a:noFill/>
                </pic:spPr>
              </pic:pic>
            </a:graphicData>
          </a:graphic>
        </wp:anchor>
      </w:drawing>
    </w:r>
  </w:p>
  <w:p w14:paraId="0E90AE35" w14:textId="221BA4D7" w:rsidR="00A72641" w:rsidRPr="00A72641" w:rsidRDefault="00A72641" w:rsidP="00A72641">
    <w:pPr>
      <w:pStyle w:val="Nagwek"/>
      <w:jc w:val="right"/>
      <w:rPr>
        <w:rFonts w:ascii="Calibri" w:hAnsi="Calibri" w:cs="Calibri"/>
      </w:rPr>
    </w:pPr>
    <w:r w:rsidRPr="00A72641">
      <w:rPr>
        <w:rFonts w:ascii="Calibri" w:hAnsi="Calibri" w:cs="Calibri"/>
        <w:sz w:val="20"/>
        <w:szCs w:val="20"/>
      </w:rPr>
      <w:t>INFORMACJA PRASOWA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5D91"/>
    <w:multiLevelType w:val="multilevel"/>
    <w:tmpl w:val="C1C0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20B96"/>
    <w:multiLevelType w:val="multilevel"/>
    <w:tmpl w:val="475C1B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30099"/>
    <w:multiLevelType w:val="hybridMultilevel"/>
    <w:tmpl w:val="40B24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A264A6A"/>
    <w:multiLevelType w:val="multilevel"/>
    <w:tmpl w:val="1B76D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132354104">
    <w:abstractNumId w:val="3"/>
  </w:num>
  <w:num w:numId="2" w16cid:durableId="1341346431">
    <w:abstractNumId w:val="1"/>
  </w:num>
  <w:num w:numId="3" w16cid:durableId="160170931">
    <w:abstractNumId w:val="0"/>
  </w:num>
  <w:num w:numId="4" w16cid:durableId="1319572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AF"/>
    <w:rsid w:val="00040ADB"/>
    <w:rsid w:val="00065C3F"/>
    <w:rsid w:val="000B08E9"/>
    <w:rsid w:val="00110E5D"/>
    <w:rsid w:val="0018053B"/>
    <w:rsid w:val="00203528"/>
    <w:rsid w:val="002628F3"/>
    <w:rsid w:val="002B1D88"/>
    <w:rsid w:val="003661BA"/>
    <w:rsid w:val="0037198C"/>
    <w:rsid w:val="00384398"/>
    <w:rsid w:val="0050692E"/>
    <w:rsid w:val="00546808"/>
    <w:rsid w:val="005D3237"/>
    <w:rsid w:val="00611020"/>
    <w:rsid w:val="006530AD"/>
    <w:rsid w:val="00653A37"/>
    <w:rsid w:val="006A444E"/>
    <w:rsid w:val="006A6EA8"/>
    <w:rsid w:val="006D404C"/>
    <w:rsid w:val="006E03F2"/>
    <w:rsid w:val="00762795"/>
    <w:rsid w:val="00776431"/>
    <w:rsid w:val="00796C8C"/>
    <w:rsid w:val="008022AE"/>
    <w:rsid w:val="0085398C"/>
    <w:rsid w:val="008747B3"/>
    <w:rsid w:val="0095185E"/>
    <w:rsid w:val="00A24475"/>
    <w:rsid w:val="00A343C5"/>
    <w:rsid w:val="00A72641"/>
    <w:rsid w:val="00B045DC"/>
    <w:rsid w:val="00B230A7"/>
    <w:rsid w:val="00B50805"/>
    <w:rsid w:val="00B51DD2"/>
    <w:rsid w:val="00BA610C"/>
    <w:rsid w:val="00CB033B"/>
    <w:rsid w:val="00CB4411"/>
    <w:rsid w:val="00CD40FE"/>
    <w:rsid w:val="00CE01BB"/>
    <w:rsid w:val="00D27CAF"/>
    <w:rsid w:val="00D651CA"/>
    <w:rsid w:val="00DB5CED"/>
    <w:rsid w:val="00E10781"/>
    <w:rsid w:val="00E82733"/>
    <w:rsid w:val="00E83000"/>
    <w:rsid w:val="00EB349F"/>
    <w:rsid w:val="00EB73D1"/>
    <w:rsid w:val="00F12A46"/>
    <w:rsid w:val="00F972F0"/>
    <w:rsid w:val="0A7AE5BC"/>
    <w:rsid w:val="0EB72563"/>
    <w:rsid w:val="0F28083F"/>
    <w:rsid w:val="1425BC41"/>
    <w:rsid w:val="15F2069D"/>
    <w:rsid w:val="1BBBCE65"/>
    <w:rsid w:val="1D629D95"/>
    <w:rsid w:val="208B8C91"/>
    <w:rsid w:val="21F1B074"/>
    <w:rsid w:val="2578FADE"/>
    <w:rsid w:val="29BA1130"/>
    <w:rsid w:val="29D38850"/>
    <w:rsid w:val="2A22BBA0"/>
    <w:rsid w:val="2A692482"/>
    <w:rsid w:val="2BCED806"/>
    <w:rsid w:val="2F626CB3"/>
    <w:rsid w:val="3C9E9C82"/>
    <w:rsid w:val="3E999DA4"/>
    <w:rsid w:val="3FE6CF07"/>
    <w:rsid w:val="47801CE4"/>
    <w:rsid w:val="4FCB679F"/>
    <w:rsid w:val="52F2B115"/>
    <w:rsid w:val="53BB56C7"/>
    <w:rsid w:val="560E62AA"/>
    <w:rsid w:val="569BE7C6"/>
    <w:rsid w:val="6274E79C"/>
    <w:rsid w:val="756B7D05"/>
    <w:rsid w:val="7957490D"/>
    <w:rsid w:val="7A81DF42"/>
    <w:rsid w:val="7DA58B0E"/>
    <w:rsid w:val="7EC22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21A42"/>
  <w15:chartTrackingRefBased/>
  <w15:docId w15:val="{1FDB2B5A-C5D1-F846-8901-EFC450E2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27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27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27CA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27CA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27CA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unhideWhenUsed/>
    <w:qFormat/>
    <w:rsid w:val="00D27CA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27CA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27CA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27CA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7CA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27CA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27CA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27CA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27CA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rsid w:val="00D27CA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27CA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27CA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27CAF"/>
    <w:rPr>
      <w:rFonts w:eastAsiaTheme="majorEastAsia" w:cstheme="majorBidi"/>
      <w:color w:val="272727" w:themeColor="text1" w:themeTint="D8"/>
    </w:rPr>
  </w:style>
  <w:style w:type="paragraph" w:styleId="Tytu">
    <w:name w:val="Title"/>
    <w:basedOn w:val="Normalny"/>
    <w:next w:val="Normalny"/>
    <w:link w:val="TytuZnak"/>
    <w:uiPriority w:val="10"/>
    <w:qFormat/>
    <w:rsid w:val="00D27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27CA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27CA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27CA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27CAF"/>
    <w:pPr>
      <w:spacing w:before="160"/>
      <w:jc w:val="center"/>
    </w:pPr>
    <w:rPr>
      <w:i/>
      <w:iCs/>
      <w:color w:val="404040" w:themeColor="text1" w:themeTint="BF"/>
    </w:rPr>
  </w:style>
  <w:style w:type="character" w:customStyle="1" w:styleId="CytatZnak">
    <w:name w:val="Cytat Znak"/>
    <w:basedOn w:val="Domylnaczcionkaakapitu"/>
    <w:link w:val="Cytat"/>
    <w:uiPriority w:val="29"/>
    <w:rsid w:val="00D27CAF"/>
    <w:rPr>
      <w:i/>
      <w:iCs/>
      <w:color w:val="404040" w:themeColor="text1" w:themeTint="BF"/>
    </w:rPr>
  </w:style>
  <w:style w:type="paragraph" w:styleId="Akapitzlist">
    <w:name w:val="List Paragraph"/>
    <w:basedOn w:val="Normalny"/>
    <w:uiPriority w:val="34"/>
    <w:qFormat/>
    <w:rsid w:val="00D27CAF"/>
    <w:pPr>
      <w:ind w:left="720"/>
      <w:contextualSpacing/>
    </w:pPr>
  </w:style>
  <w:style w:type="character" w:styleId="Wyrnienieintensywne">
    <w:name w:val="Intense Emphasis"/>
    <w:basedOn w:val="Domylnaczcionkaakapitu"/>
    <w:uiPriority w:val="21"/>
    <w:qFormat/>
    <w:rsid w:val="00D27CAF"/>
    <w:rPr>
      <w:i/>
      <w:iCs/>
      <w:color w:val="0F4761" w:themeColor="accent1" w:themeShade="BF"/>
    </w:rPr>
  </w:style>
  <w:style w:type="paragraph" w:styleId="Cytatintensywny">
    <w:name w:val="Intense Quote"/>
    <w:basedOn w:val="Normalny"/>
    <w:next w:val="Normalny"/>
    <w:link w:val="CytatintensywnyZnak"/>
    <w:uiPriority w:val="30"/>
    <w:qFormat/>
    <w:rsid w:val="00D27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27CAF"/>
    <w:rPr>
      <w:i/>
      <w:iCs/>
      <w:color w:val="0F4761" w:themeColor="accent1" w:themeShade="BF"/>
    </w:rPr>
  </w:style>
  <w:style w:type="character" w:styleId="Odwoanieintensywne">
    <w:name w:val="Intense Reference"/>
    <w:basedOn w:val="Domylnaczcionkaakapitu"/>
    <w:uiPriority w:val="32"/>
    <w:qFormat/>
    <w:rsid w:val="00D27CAF"/>
    <w:rPr>
      <w:b/>
      <w:bCs/>
      <w:smallCaps/>
      <w:color w:val="0F4761" w:themeColor="accent1" w:themeShade="BF"/>
      <w:spacing w:val="5"/>
    </w:rPr>
  </w:style>
  <w:style w:type="character" w:styleId="Hipercze">
    <w:name w:val="Hyperlink"/>
    <w:basedOn w:val="Domylnaczcionkaakapitu"/>
    <w:uiPriority w:val="99"/>
    <w:unhideWhenUsed/>
    <w:rsid w:val="008747B3"/>
    <w:rPr>
      <w:color w:val="467886" w:themeColor="hyperlink"/>
      <w:u w:val="single"/>
    </w:rPr>
  </w:style>
  <w:style w:type="character" w:styleId="Pogrubienie">
    <w:name w:val="Strong"/>
    <w:basedOn w:val="Domylnaczcionkaakapitu"/>
    <w:uiPriority w:val="22"/>
    <w:qFormat/>
    <w:rsid w:val="00EB349F"/>
    <w:rPr>
      <w:b/>
      <w:bCs/>
    </w:rPr>
  </w:style>
  <w:style w:type="paragraph" w:styleId="NormalnyWeb">
    <w:name w:val="Normal (Web)"/>
    <w:basedOn w:val="Normalny"/>
    <w:uiPriority w:val="99"/>
    <w:semiHidden/>
    <w:unhideWhenUsed/>
    <w:rsid w:val="00EB349F"/>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Poprawka">
    <w:name w:val="Revision"/>
    <w:hidden/>
    <w:uiPriority w:val="99"/>
    <w:semiHidden/>
    <w:rsid w:val="0085398C"/>
    <w:pPr>
      <w:spacing w:after="0" w:line="240" w:lineRule="auto"/>
    </w:pPr>
  </w:style>
  <w:style w:type="character" w:styleId="Odwoaniedokomentarza">
    <w:name w:val="annotation reference"/>
    <w:basedOn w:val="Domylnaczcionkaakapitu"/>
    <w:uiPriority w:val="99"/>
    <w:semiHidden/>
    <w:unhideWhenUsed/>
    <w:rsid w:val="0085398C"/>
    <w:rPr>
      <w:sz w:val="16"/>
      <w:szCs w:val="16"/>
    </w:rPr>
  </w:style>
  <w:style w:type="paragraph" w:styleId="Tekstkomentarza">
    <w:name w:val="annotation text"/>
    <w:basedOn w:val="Normalny"/>
    <w:link w:val="TekstkomentarzaZnak"/>
    <w:uiPriority w:val="99"/>
    <w:unhideWhenUsed/>
    <w:rsid w:val="0085398C"/>
    <w:pPr>
      <w:spacing w:line="240" w:lineRule="auto"/>
    </w:pPr>
    <w:rPr>
      <w:sz w:val="20"/>
      <w:szCs w:val="20"/>
    </w:rPr>
  </w:style>
  <w:style w:type="character" w:customStyle="1" w:styleId="TekstkomentarzaZnak">
    <w:name w:val="Tekst komentarza Znak"/>
    <w:basedOn w:val="Domylnaczcionkaakapitu"/>
    <w:link w:val="Tekstkomentarza"/>
    <w:uiPriority w:val="99"/>
    <w:rsid w:val="0085398C"/>
    <w:rPr>
      <w:sz w:val="20"/>
      <w:szCs w:val="20"/>
    </w:rPr>
  </w:style>
  <w:style w:type="paragraph" w:styleId="Tematkomentarza">
    <w:name w:val="annotation subject"/>
    <w:basedOn w:val="Tekstkomentarza"/>
    <w:next w:val="Tekstkomentarza"/>
    <w:link w:val="TematkomentarzaZnak"/>
    <w:uiPriority w:val="99"/>
    <w:semiHidden/>
    <w:unhideWhenUsed/>
    <w:rsid w:val="0085398C"/>
    <w:rPr>
      <w:b/>
      <w:bCs/>
    </w:rPr>
  </w:style>
  <w:style w:type="character" w:customStyle="1" w:styleId="TematkomentarzaZnak">
    <w:name w:val="Temat komentarza Znak"/>
    <w:basedOn w:val="TekstkomentarzaZnak"/>
    <w:link w:val="Tematkomentarza"/>
    <w:uiPriority w:val="99"/>
    <w:semiHidden/>
    <w:rsid w:val="0085398C"/>
    <w:rPr>
      <w:b/>
      <w:bCs/>
      <w:sz w:val="20"/>
      <w:szCs w:val="20"/>
    </w:rPr>
  </w:style>
  <w:style w:type="character" w:styleId="Nierozpoznanawzmianka">
    <w:name w:val="Unresolved Mention"/>
    <w:basedOn w:val="Domylnaczcionkaakapitu"/>
    <w:uiPriority w:val="99"/>
    <w:semiHidden/>
    <w:unhideWhenUsed/>
    <w:rsid w:val="00CB033B"/>
    <w:rPr>
      <w:color w:val="605E5C"/>
      <w:shd w:val="clear" w:color="auto" w:fill="E1DFDD"/>
    </w:rPr>
  </w:style>
  <w:style w:type="paragraph" w:styleId="Nagwek">
    <w:name w:val="header"/>
    <w:basedOn w:val="Normalny"/>
    <w:link w:val="NagwekZnak"/>
    <w:uiPriority w:val="99"/>
    <w:unhideWhenUsed/>
    <w:rsid w:val="00A726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2641"/>
  </w:style>
  <w:style w:type="paragraph" w:styleId="Stopka">
    <w:name w:val="footer"/>
    <w:basedOn w:val="Normalny"/>
    <w:link w:val="StopkaZnak"/>
    <w:uiPriority w:val="99"/>
    <w:unhideWhenUsed/>
    <w:rsid w:val="00A726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2641"/>
  </w:style>
  <w:style w:type="character" w:styleId="UyteHipercze">
    <w:name w:val="FollowedHyperlink"/>
    <w:basedOn w:val="Domylnaczcionkaakapitu"/>
    <w:uiPriority w:val="99"/>
    <w:semiHidden/>
    <w:unhideWhenUsed/>
    <w:rsid w:val="00A343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mt.paih.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600</Words>
  <Characters>3604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Niemyjski</dc:creator>
  <cp:keywords/>
  <dc:description/>
  <cp:lastModifiedBy>Karolina Kwiecień CCG</cp:lastModifiedBy>
  <cp:revision>4</cp:revision>
  <dcterms:created xsi:type="dcterms:W3CDTF">2025-12-16T14:15:00Z</dcterms:created>
  <dcterms:modified xsi:type="dcterms:W3CDTF">2025-12-16T15:13:00Z</dcterms:modified>
</cp:coreProperties>
</file>