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Informacja prasowa</w:t>
      </w:r>
    </w:p>
    <w:p w:rsidR="00000000" w:rsidDel="00000000" w:rsidP="00000000" w:rsidRDefault="00000000" w:rsidRPr="00000000" w14:paraId="00000002">
      <w:pPr>
        <w:ind w:left="4320" w:firstLine="720"/>
        <w:jc w:val="right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Warszawa, 16.12.2025 r.</w:t>
      </w:r>
    </w:p>
    <w:p w:rsidR="00000000" w:rsidDel="00000000" w:rsidP="00000000" w:rsidRDefault="00000000" w:rsidRPr="00000000" w14:paraId="00000003">
      <w:pPr>
        <w:jc w:val="center"/>
        <w:rPr>
          <w:rFonts w:ascii="Raleway" w:cs="Raleway" w:eastAsia="Raleway" w:hAnsi="Raleway"/>
          <w:b w:val="1"/>
          <w:bCs w:val="1"/>
          <w:color w:val="333333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Raleway" w:cs="Raleway" w:eastAsia="Raleway" w:hAnsi="Raleway"/>
          <w:b w:val="1"/>
          <w:bCs w:val="1"/>
          <w:color w:val="333333"/>
          <w:sz w:val="30"/>
          <w:szCs w:val="30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30"/>
          <w:szCs w:val="30"/>
          <w:highlight w:val="white"/>
          <w:rtl w:val="0"/>
        </w:rPr>
        <w:t xml:space="preserve">Kuba Adamus dołącza do Labcon jako Business &amp; Creative Integration Manager</w:t>
      </w:r>
    </w:p>
    <w:p w:rsidR="00000000" w:rsidDel="00000000" w:rsidP="00000000" w:rsidRDefault="00000000" w:rsidRPr="00000000" w14:paraId="00000005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Do zespołu Labcon (Group One) dołączył Kuba Adamus, obejmując stanowisko Business &amp; Creative Integration Managera. W nowopowstałej roli będzie odpowiadał za integrację procesów kreatywnych i mediowych oraz pełne wykorzystanie potencjału współpracy w ramach całej grupy. Takie podejście umożliwia tworzenie kompleksowych rozwiązań 360°, które precyzyjniej odpowiadają na biznesowe potrzeby klientów.</w:t>
      </w:r>
    </w:p>
    <w:p w:rsidR="00000000" w:rsidDel="00000000" w:rsidP="00000000" w:rsidRDefault="00000000" w:rsidRPr="00000000" w14:paraId="00000007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Kuba Adamus jest ekspertem w obszarze digital marketingu i mediów, z ponad 7-letnim doświadczeniem w realizowaniu projektów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dla czołowych marek na polskim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rynku, m.in. Grupy Polsat Plus, Colgate-Palmolive, Beko, Mlekpol, Invest Komfort czy Ekstraklasy. W ostatnich latach pracował w należącej również do Group One agencji mediowej MediaPlus jako Business Manager, odpowiadając za nadzór nad procesami planowania kampanii oraz rozwój współpracy z kluczowymi klientami. Silne fundamenty analityczne, praktyczna znajomość ekosystemu digital i dogłębne rozumienie mechanizmów planowania, zakupu, pomiaru i optymalizacji mediów czynią go naturalnym liderem projektów komunikacyjnych 360, wymagających ścisłej współpracy między agencjami mediowymi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a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kreatywnymi. </w:t>
      </w:r>
    </w:p>
    <w:p w:rsidR="00000000" w:rsidDel="00000000" w:rsidP="00000000" w:rsidRDefault="00000000" w:rsidRPr="00000000" w14:paraId="00000009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“</w:t>
      </w: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W Labcon od lat budujemy model współpracy, który integruje procesy kreatywne i mediowe, zapewniając klientom jeden, spójny kierunek działań. Dołączenie Kuby Adamusa jest ważnym elementem rozwoju agencji. Jego doświadczenie wyniesione z MediaPlus, połączenie wiedzy mediowej ze strategicznym myśleniem oraz umiejętność prowadzenia partnerskich relacji biznesowych sprawiają, że naturalnie wpisuje się w rolę integratora między zespołami. Kuba wzmacnia nowo zbudowany zespół Client Service i widzę w nim partnera, który realnie podniesie jakość współpracy z domami mediowymi i pozwoli nam dostarczać klientom jeszcze bardziej spójne i efektywne rozwiązania 360°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” - mówi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Marta Rysia Jarkiewicz-Michalczuk, Client Service Director Labcon.</w:t>
      </w:r>
    </w:p>
    <w:p w:rsidR="00000000" w:rsidDel="00000000" w:rsidP="00000000" w:rsidRDefault="00000000" w:rsidRPr="00000000" w14:paraId="0000000B">
      <w:pPr>
        <w:ind w:left="720" w:firstLine="0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Do kluczowych zadań Kuby Adamusa należeć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będzie rozwijanie istniejących i tworzenie nowych standardów współpracy z należącymi do Group One agencjami mediowymi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przekładanie danych mediowych na język strategii kreatywnej oraz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wzmocnienie pozycji Labcon jako partnera, który rozumie pełny kontekst działań: od planowania mediów, przez kreację, po optymalizację kampani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i. Powołanie roli Business &amp; Creative Integration Manager w zespole Client Service to naturalny krok w rozwoju modelu House of Communication, w którym od lat działają spółki Group One. </w:t>
      </w:r>
      <w:r w:rsidDel="00000000" w:rsidR="00000000" w:rsidRPr="00000000">
        <w:rPr>
          <w:rFonts w:ascii="Raleway" w:cs="Raleway" w:eastAsia="Raleway" w:hAnsi="Raleway"/>
          <w:rtl w:val="0"/>
        </w:rPr>
        <w:br w:type="textWrapping"/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***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Raleway" w:cs="Raleway" w:eastAsia="Raleway" w:hAnsi="Raleway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rtl w:val="0"/>
        </w:rPr>
        <w:t xml:space="preserve">Labcon - Relevant Stories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Raleway" w:cs="Raleway" w:eastAsia="Raleway" w:hAnsi="Raleway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Raleway" w:cs="Raleway" w:eastAsia="Raleway" w:hAnsi="Raleway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Labcon</w:t>
      </w: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 to agencja tworząca komunikację, która angażuje konsumentów. Nagradzana w konkursach takich jak: Effie Awards (3 srebrne statuetki), MIXX Awards (złoto, brąz i wyróżnienie), Innovation Awards (brąz), Złote Spinacze (2 x złoto, srebro, brąz), Young Creatives Cannes (2 x nagroda główna) oraz w konkursie Klubu Twórców Reklamy (srebrny miecz). Wyróżniona nagrodą specjalną Międzynarodowego Festiwalu Kreatywności Golden Drum. Dzięki szerokim kompetencjom (strategia, social media, influencer marketing, PR, branding) </w:t>
      </w: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Labcon</w:t>
      </w: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 tworzy rekomendacje przez pryzmat potrzeb klienta, a nie wąskiej specjalizacji. </w:t>
      </w:r>
    </w:p>
    <w:p w:rsidR="00000000" w:rsidDel="00000000" w:rsidP="00000000" w:rsidRDefault="00000000" w:rsidRPr="00000000" w14:paraId="00000012">
      <w:pPr>
        <w:jc w:val="both"/>
        <w:rPr>
          <w:rFonts w:ascii="Raleway" w:cs="Raleway" w:eastAsia="Raleway" w:hAnsi="Raleway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2880" w:firstLine="720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6"/>
          <w:szCs w:val="16"/>
          <w:highlight w:val="white"/>
          <w:rtl w:val="0"/>
        </w:rPr>
        <w:t xml:space="preserve">    </w:t>
      </w: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Dodatkowe informacje:</w:t>
        <w:br w:type="textWrapping"/>
      </w:r>
    </w:p>
    <w:p w:rsidR="00000000" w:rsidDel="00000000" w:rsidP="00000000" w:rsidRDefault="00000000" w:rsidRPr="00000000" w14:paraId="00000014">
      <w:pPr>
        <w:spacing w:after="100" w:lineRule="auto"/>
        <w:jc w:val="center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Szymon Ślęzak | Senior PR &amp; Creative  Specialist Group One</w:t>
      </w:r>
    </w:p>
    <w:p w:rsidR="00000000" w:rsidDel="00000000" w:rsidP="00000000" w:rsidRDefault="00000000" w:rsidRPr="00000000" w14:paraId="00000015">
      <w:pPr>
        <w:spacing w:after="100" w:lineRule="auto"/>
        <w:jc w:val="center"/>
        <w:rPr>
          <w:rFonts w:ascii="Raleway" w:cs="Raleway" w:eastAsia="Raleway" w:hAnsi="Raleway"/>
          <w:i w:val="1"/>
          <w:iCs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szymon.slezak@groupone.com.pl | +48 539 090 705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333333"/>
          <w:sz w:val="21"/>
          <w:szCs w:val="21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16">
      <w:pPr>
        <w:shd w:fill="ffffff" w:val="clear"/>
        <w:spacing w:after="300" w:before="22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00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300" w:before="220" w:lineRule="auto"/>
        <w:ind w:left="0" w:firstLine="0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line="276" w:lineRule="auto"/>
      <w:jc w:val="center"/>
      <w:rPr/>
    </w:pPr>
    <w:r w:rsidDel="00000000" w:rsidR="00000000" w:rsidRPr="00000000">
      <w:rPr>
        <w:rFonts w:ascii="Raleway" w:cs="Raleway" w:eastAsia="Raleway" w:hAnsi="Raleway"/>
        <w:b w:val="1"/>
        <w:bCs w:val="1"/>
      </w:rPr>
      <w:drawing>
        <wp:inline distB="114300" distT="114300" distL="114300" distR="114300">
          <wp:extent cx="5731200" cy="8382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9" l="0" r="0" t="79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ind w:left="720" w:firstLine="720"/>
      <w:jc w:val="center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3075150</wp:posOffset>
          </wp:positionH>
          <wp:positionV relativeFrom="page">
            <wp:posOffset>333375</wp:posOffset>
          </wp:positionV>
          <wp:extent cx="1409700" cy="552450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8571" l="0" r="0" t="31972"/>
                  <a:stretch>
                    <a:fillRect/>
                  </a:stretch>
                </pic:blipFill>
                <pic:spPr>
                  <a:xfrm>
                    <a:off x="0" y="0"/>
                    <a:ext cx="1409700" cy="552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line="276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