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B8FB4" w14:textId="77777777" w:rsidR="00A41B5D" w:rsidRPr="00E25EB5" w:rsidRDefault="00A41B5D" w:rsidP="5897F02B">
      <w:pPr>
        <w:ind w:left="720"/>
        <w:rPr>
          <w:rFonts w:ascii="Georgia" w:eastAsia="Georgia" w:hAnsi="Georgia" w:cs="Georgia"/>
          <w:b/>
          <w:bCs/>
          <w:u w:val="single"/>
          <w:lang w:val="pt-PT"/>
        </w:rPr>
      </w:pPr>
    </w:p>
    <w:p w14:paraId="41C5F075" w14:textId="13A2A651" w:rsidR="00AD219B" w:rsidRPr="00AE66DE" w:rsidRDefault="41FA0F9E" w:rsidP="5897F02B">
      <w:pPr>
        <w:jc w:val="center"/>
        <w:rPr>
          <w:rFonts w:ascii="Georgia" w:eastAsia="Georgia" w:hAnsi="Georgia" w:cs="Georgia"/>
          <w:sz w:val="20"/>
          <w:szCs w:val="20"/>
          <w:lang w:val="en-US"/>
        </w:rPr>
      </w:pPr>
      <w:r w:rsidRPr="00AE66DE">
        <w:rPr>
          <w:rFonts w:ascii="Georgia" w:eastAsia="Georgia" w:hAnsi="Georgia" w:cs="Georgia"/>
          <w:color w:val="000000" w:themeColor="text1"/>
          <w:sz w:val="20"/>
          <w:szCs w:val="20"/>
          <w:lang w:val="en-US"/>
        </w:rPr>
        <w:t xml:space="preserve">Estudo </w:t>
      </w:r>
      <w:r w:rsidRPr="00AE66DE">
        <w:rPr>
          <w:rFonts w:ascii="Georgia" w:eastAsia="Georgia" w:hAnsi="Georgia" w:cs="Georgia"/>
          <w:i/>
          <w:iCs/>
          <w:color w:val="000000" w:themeColor="text1"/>
          <w:sz w:val="20"/>
          <w:szCs w:val="20"/>
          <w:lang w:val="en-US"/>
        </w:rPr>
        <w:t>“</w:t>
      </w:r>
      <w:hyperlink r:id="rId7">
        <w:r w:rsidR="0CFB776A" w:rsidRPr="00AE66DE">
          <w:rPr>
            <w:rStyle w:val="Hiperligao"/>
            <w:rFonts w:ascii="Georgia" w:eastAsia="Georgia" w:hAnsi="Georgia" w:cs="Georgia"/>
            <w:i/>
            <w:iCs/>
            <w:sz w:val="20"/>
            <w:szCs w:val="20"/>
            <w:lang w:val="en-US"/>
          </w:rPr>
          <w:t>The state of AI in 2025: Agents, innovation, and transformation</w:t>
        </w:r>
      </w:hyperlink>
      <w:r w:rsidR="0CFB776A" w:rsidRPr="00AE66DE">
        <w:rPr>
          <w:rFonts w:ascii="Georgia" w:eastAsia="Georgia" w:hAnsi="Georgia" w:cs="Georgia"/>
          <w:i/>
          <w:iCs/>
          <w:color w:val="000000" w:themeColor="text1"/>
          <w:sz w:val="20"/>
          <w:szCs w:val="20"/>
          <w:lang w:val="en-US"/>
        </w:rPr>
        <w:t>”</w:t>
      </w:r>
      <w:r w:rsidRPr="00AE66DE">
        <w:rPr>
          <w:rFonts w:ascii="Georgia" w:eastAsia="Georgia" w:hAnsi="Georgia" w:cs="Georgia"/>
          <w:i/>
          <w:iCs/>
          <w:color w:val="000000" w:themeColor="text1"/>
          <w:sz w:val="20"/>
          <w:szCs w:val="20"/>
          <w:lang w:val="en-US"/>
        </w:rPr>
        <w:t>,</w:t>
      </w:r>
      <w:r w:rsidRPr="00AE66DE">
        <w:rPr>
          <w:rFonts w:ascii="Georgia" w:eastAsia="Georgia" w:hAnsi="Georgia" w:cs="Georgia"/>
          <w:color w:val="000000" w:themeColor="text1"/>
          <w:sz w:val="20"/>
          <w:szCs w:val="20"/>
          <w:lang w:val="en-US"/>
        </w:rPr>
        <w:t xml:space="preserve"> </w:t>
      </w:r>
      <w:r w:rsidRPr="00AE66DE">
        <w:rPr>
          <w:rFonts w:ascii="Georgia" w:eastAsia="Georgia" w:hAnsi="Georgia" w:cs="Georgia"/>
          <w:sz w:val="20"/>
          <w:szCs w:val="20"/>
          <w:lang w:val="en-US"/>
        </w:rPr>
        <w:t>elaborado pelo McKinsey Global Institute</w:t>
      </w:r>
    </w:p>
    <w:p w14:paraId="5E4EA15D" w14:textId="15DE4FA4" w:rsidR="00440A6A" w:rsidRPr="00AE66DE" w:rsidRDefault="00440A6A" w:rsidP="4573FA8B">
      <w:pPr>
        <w:ind w:left="720"/>
        <w:rPr>
          <w:rFonts w:ascii="Georgia" w:eastAsia="Georgia" w:hAnsi="Georgia" w:cs="Georgia"/>
          <w:b/>
          <w:bCs/>
          <w:u w:val="single"/>
          <w:lang w:val="en-US"/>
        </w:rPr>
      </w:pPr>
    </w:p>
    <w:p w14:paraId="17A29EF0" w14:textId="13ADC7C3" w:rsidR="4573FA8B" w:rsidRPr="00AE66DE" w:rsidRDefault="4573FA8B" w:rsidP="4573FA8B">
      <w:pPr>
        <w:ind w:left="720"/>
        <w:jc w:val="center"/>
        <w:rPr>
          <w:rFonts w:ascii="Georgia" w:eastAsia="Georgia" w:hAnsi="Georgia" w:cs="Georgia"/>
          <w:b/>
          <w:bCs/>
          <w:sz w:val="32"/>
          <w:szCs w:val="32"/>
          <w:lang w:val="en-US"/>
        </w:rPr>
      </w:pPr>
    </w:p>
    <w:p w14:paraId="0987DFB0" w14:textId="22CA55EA" w:rsidR="5FF02846" w:rsidRPr="00E25EB5" w:rsidRDefault="005A59CA" w:rsidP="4573FA8B">
      <w:pPr>
        <w:ind w:left="720"/>
        <w:jc w:val="center"/>
        <w:rPr>
          <w:rFonts w:ascii="Georgia" w:eastAsia="Georgia" w:hAnsi="Georgia" w:cs="Georgia"/>
          <w:b/>
          <w:bCs/>
          <w:sz w:val="32"/>
          <w:szCs w:val="32"/>
          <w:lang w:val="pt-PT"/>
        </w:rPr>
      </w:pPr>
      <w:r>
        <w:rPr>
          <w:rFonts w:ascii="Georgia" w:eastAsia="Georgia" w:hAnsi="Georgia" w:cs="Georgia"/>
          <w:b/>
          <w:bCs/>
          <w:sz w:val="32"/>
          <w:szCs w:val="32"/>
          <w:lang w:val="pt-PT"/>
        </w:rPr>
        <w:t>9 em cada 10</w:t>
      </w:r>
      <w:r w:rsidR="5FF02846" w:rsidRPr="00E25EB5">
        <w:rPr>
          <w:rFonts w:ascii="Georgia" w:eastAsia="Georgia" w:hAnsi="Georgia" w:cs="Georgia"/>
          <w:b/>
          <w:bCs/>
          <w:sz w:val="32"/>
          <w:szCs w:val="32"/>
          <w:lang w:val="pt-PT"/>
        </w:rPr>
        <w:t xml:space="preserve"> empresas utiliza</w:t>
      </w:r>
      <w:r w:rsidR="00393375">
        <w:rPr>
          <w:rFonts w:ascii="Georgia" w:eastAsia="Georgia" w:hAnsi="Georgia" w:cs="Georgia"/>
          <w:b/>
          <w:bCs/>
          <w:sz w:val="32"/>
          <w:szCs w:val="32"/>
          <w:lang w:val="pt-PT"/>
        </w:rPr>
        <w:t>m</w:t>
      </w:r>
      <w:r w:rsidR="5FF02846" w:rsidRPr="00E25EB5">
        <w:rPr>
          <w:rFonts w:ascii="Georgia" w:eastAsia="Georgia" w:hAnsi="Georgia" w:cs="Georgia"/>
          <w:b/>
          <w:bCs/>
          <w:sz w:val="32"/>
          <w:szCs w:val="32"/>
          <w:lang w:val="pt-PT"/>
        </w:rPr>
        <w:t xml:space="preserve"> IA mas apenas um terço </w:t>
      </w:r>
      <w:r w:rsidR="54F9668E" w:rsidRPr="00E25EB5">
        <w:rPr>
          <w:rFonts w:ascii="Georgia" w:eastAsia="Georgia" w:hAnsi="Georgia" w:cs="Georgia"/>
          <w:b/>
          <w:bCs/>
          <w:sz w:val="32"/>
          <w:szCs w:val="32"/>
          <w:lang w:val="pt-PT"/>
        </w:rPr>
        <w:t>alcança</w:t>
      </w:r>
      <w:r w:rsidR="5FF02846" w:rsidRPr="00E25EB5">
        <w:rPr>
          <w:rFonts w:ascii="Georgia" w:eastAsia="Georgia" w:hAnsi="Georgia" w:cs="Georgia"/>
          <w:b/>
          <w:bCs/>
          <w:sz w:val="32"/>
          <w:szCs w:val="32"/>
          <w:lang w:val="pt-PT"/>
        </w:rPr>
        <w:t xml:space="preserve"> ganhos de escala</w:t>
      </w:r>
    </w:p>
    <w:p w14:paraId="7CE86BC4" w14:textId="080FD5B9" w:rsidR="00AD219B" w:rsidRPr="00E25EB5" w:rsidRDefault="00AD219B" w:rsidP="5897F02B">
      <w:pPr>
        <w:ind w:left="720"/>
        <w:jc w:val="both"/>
        <w:rPr>
          <w:rFonts w:ascii="Georgia" w:eastAsia="Georgia" w:hAnsi="Georgia" w:cs="Georgia"/>
          <w:b/>
          <w:bCs/>
          <w:sz w:val="32"/>
          <w:szCs w:val="32"/>
          <w:lang w:val="pt-PT"/>
        </w:rPr>
      </w:pPr>
    </w:p>
    <w:p w14:paraId="443D1953" w14:textId="0D80F2D7" w:rsidR="0001576C" w:rsidRPr="00E25EB5" w:rsidRDefault="50C459F9" w:rsidP="5897F02B">
      <w:pPr>
        <w:pStyle w:val="PargrafodaLista"/>
        <w:numPr>
          <w:ilvl w:val="0"/>
          <w:numId w:val="1"/>
        </w:numPr>
        <w:jc w:val="both"/>
        <w:rPr>
          <w:rFonts w:ascii="Georgia" w:hAnsi="Georgia"/>
          <w:b/>
          <w:bCs/>
          <w:lang w:val="pt-PT"/>
        </w:rPr>
      </w:pPr>
      <w:r w:rsidRPr="00E25EB5">
        <w:rPr>
          <w:rFonts w:ascii="Georgia" w:hAnsi="Georgia"/>
          <w:b/>
          <w:bCs/>
          <w:lang w:val="pt-PT"/>
        </w:rPr>
        <w:t>88% das empresas já utiliza IA regularmente</w:t>
      </w:r>
      <w:r w:rsidR="005A59CA">
        <w:rPr>
          <w:rFonts w:ascii="Georgia" w:hAnsi="Georgia"/>
          <w:b/>
          <w:bCs/>
          <w:lang w:val="pt-PT"/>
        </w:rPr>
        <w:t xml:space="preserve"> </w:t>
      </w:r>
      <w:r w:rsidRPr="00E25EB5">
        <w:rPr>
          <w:rFonts w:ascii="Georgia" w:hAnsi="Georgia"/>
          <w:b/>
          <w:bCs/>
          <w:lang w:val="pt-PT"/>
        </w:rPr>
        <w:t xml:space="preserve">face a 78% </w:t>
      </w:r>
      <w:r w:rsidR="61E5C55F" w:rsidRPr="00E25EB5">
        <w:rPr>
          <w:rFonts w:ascii="Georgia" w:hAnsi="Georgia"/>
          <w:b/>
          <w:bCs/>
          <w:lang w:val="pt-PT"/>
        </w:rPr>
        <w:t>n</w:t>
      </w:r>
      <w:r w:rsidRPr="00E25EB5">
        <w:rPr>
          <w:rFonts w:ascii="Georgia" w:hAnsi="Georgia"/>
          <w:b/>
          <w:bCs/>
          <w:lang w:val="pt-PT"/>
        </w:rPr>
        <w:t xml:space="preserve">o ano passado </w:t>
      </w:r>
    </w:p>
    <w:p w14:paraId="15FEB459" w14:textId="37E5FF53" w:rsidR="0001576C" w:rsidRPr="00E25EB5" w:rsidRDefault="2A69B658" w:rsidP="5897F02B">
      <w:pPr>
        <w:pStyle w:val="PargrafodaLista"/>
        <w:numPr>
          <w:ilvl w:val="0"/>
          <w:numId w:val="1"/>
        </w:numPr>
        <w:jc w:val="both"/>
        <w:rPr>
          <w:rFonts w:ascii="Georgia" w:hAnsi="Georgia"/>
          <w:b/>
          <w:bCs/>
          <w:lang w:val="pt-PT"/>
        </w:rPr>
      </w:pPr>
      <w:r w:rsidRPr="00E25EB5">
        <w:rPr>
          <w:rFonts w:ascii="Georgia" w:hAnsi="Georgia"/>
          <w:b/>
          <w:bCs/>
          <w:lang w:val="pt-PT"/>
        </w:rPr>
        <w:t>Empresas líderes na adoção (6%) investem mais de 20% do orçamento digital em IA e associam mais de 5% do EBIT à tecnologia, enquanto redesenham processos para acelerar a inovação</w:t>
      </w:r>
    </w:p>
    <w:p w14:paraId="316FDE7C" w14:textId="37EC7975" w:rsidR="0001576C" w:rsidRPr="00E25EB5" w:rsidRDefault="7992A201" w:rsidP="5897F02B">
      <w:pPr>
        <w:pStyle w:val="PargrafodaLista"/>
        <w:numPr>
          <w:ilvl w:val="0"/>
          <w:numId w:val="1"/>
        </w:numPr>
        <w:jc w:val="both"/>
        <w:rPr>
          <w:rFonts w:ascii="Georgia" w:hAnsi="Georgia"/>
          <w:b/>
          <w:bCs/>
          <w:lang w:val="pt-PT"/>
        </w:rPr>
      </w:pPr>
      <w:r w:rsidRPr="00E25EB5">
        <w:rPr>
          <w:rFonts w:ascii="Georgia" w:hAnsi="Georgia"/>
          <w:b/>
          <w:bCs/>
          <w:lang w:val="pt-PT"/>
        </w:rPr>
        <w:t>No entanto</w:t>
      </w:r>
      <w:r w:rsidR="670ABE65" w:rsidRPr="00E25EB5">
        <w:rPr>
          <w:rFonts w:ascii="Georgia" w:hAnsi="Georgia"/>
          <w:b/>
          <w:bCs/>
          <w:lang w:val="pt-PT"/>
        </w:rPr>
        <w:t>,</w:t>
      </w:r>
      <w:r w:rsidRPr="00E25EB5">
        <w:rPr>
          <w:rFonts w:ascii="Georgia" w:hAnsi="Georgia"/>
          <w:b/>
          <w:bCs/>
          <w:lang w:val="pt-PT"/>
        </w:rPr>
        <w:t xml:space="preserve"> est</w:t>
      </w:r>
      <w:r w:rsidR="48A2F789" w:rsidRPr="00E25EB5">
        <w:rPr>
          <w:rFonts w:ascii="Georgia" w:hAnsi="Georgia"/>
          <w:b/>
          <w:bCs/>
          <w:lang w:val="pt-PT"/>
        </w:rPr>
        <w:t>e</w:t>
      </w:r>
      <w:r w:rsidR="7A3F9FFE" w:rsidRPr="00E25EB5">
        <w:rPr>
          <w:rFonts w:ascii="Georgia" w:hAnsi="Georgia"/>
          <w:b/>
          <w:bCs/>
          <w:lang w:val="pt-PT"/>
        </w:rPr>
        <w:t xml:space="preserve"> </w:t>
      </w:r>
      <w:r w:rsidR="50C459F9" w:rsidRPr="00E25EB5">
        <w:rPr>
          <w:rFonts w:ascii="Georgia" w:hAnsi="Georgia"/>
          <w:b/>
          <w:bCs/>
          <w:lang w:val="pt-PT"/>
        </w:rPr>
        <w:t xml:space="preserve">impacto financeiro da IA </w:t>
      </w:r>
      <w:r w:rsidR="0F9AB202" w:rsidRPr="00E25EB5">
        <w:rPr>
          <w:rFonts w:ascii="Georgia" w:hAnsi="Georgia"/>
          <w:b/>
          <w:bCs/>
          <w:lang w:val="pt-PT"/>
        </w:rPr>
        <w:t>ainda é</w:t>
      </w:r>
      <w:r w:rsidR="50C459F9" w:rsidRPr="00E25EB5">
        <w:rPr>
          <w:rFonts w:ascii="Georgia" w:hAnsi="Georgia"/>
          <w:b/>
          <w:bCs/>
          <w:lang w:val="pt-PT"/>
        </w:rPr>
        <w:t xml:space="preserve"> limitado, com apenas 39% a reportar impactos no EBIT</w:t>
      </w:r>
    </w:p>
    <w:p w14:paraId="289C5E78" w14:textId="0D4DFF9E" w:rsidR="4573FA8B" w:rsidRPr="00E25EB5" w:rsidRDefault="4573FA8B" w:rsidP="4573FA8B">
      <w:pPr>
        <w:pStyle w:val="PargrafodaLista"/>
        <w:jc w:val="both"/>
        <w:rPr>
          <w:rFonts w:ascii="Georgia" w:hAnsi="Georgia"/>
          <w:b/>
          <w:bCs/>
          <w:lang w:val="pt-PT"/>
        </w:rPr>
      </w:pPr>
    </w:p>
    <w:p w14:paraId="2DC9BD0C" w14:textId="718E689E" w:rsidR="00460C9D" w:rsidRPr="00E25EB5" w:rsidRDefault="0001576C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b/>
          <w:bCs/>
          <w:lang w:val="pt-PT"/>
        </w:rPr>
        <w:t xml:space="preserve">Lisboa, </w:t>
      </w:r>
      <w:r w:rsidR="005A59CA">
        <w:rPr>
          <w:b/>
          <w:bCs/>
          <w:lang w:val="pt-PT"/>
        </w:rPr>
        <w:t>1</w:t>
      </w:r>
      <w:r w:rsidR="003A43B0">
        <w:rPr>
          <w:b/>
          <w:bCs/>
          <w:lang w:val="pt-PT"/>
        </w:rPr>
        <w:t>6</w:t>
      </w:r>
      <w:r w:rsidRPr="00E25EB5">
        <w:rPr>
          <w:b/>
          <w:bCs/>
          <w:lang w:val="pt-PT"/>
        </w:rPr>
        <w:t xml:space="preserve"> de </w:t>
      </w:r>
      <w:r w:rsidR="3CF29C92" w:rsidRPr="00E25EB5">
        <w:rPr>
          <w:b/>
          <w:bCs/>
          <w:lang w:val="pt-PT"/>
        </w:rPr>
        <w:t>dezembro</w:t>
      </w:r>
      <w:r w:rsidRPr="00E25EB5">
        <w:rPr>
          <w:b/>
          <w:bCs/>
          <w:lang w:val="pt-PT"/>
        </w:rPr>
        <w:t xml:space="preserve"> de 2025</w:t>
      </w:r>
      <w:r w:rsidRPr="00E25EB5">
        <w:rPr>
          <w:lang w:val="pt-PT"/>
        </w:rPr>
        <w:t xml:space="preserve"> - </w:t>
      </w:r>
      <w:r w:rsidR="291068B9" w:rsidRPr="00E25EB5">
        <w:rPr>
          <w:lang w:val="pt-PT"/>
        </w:rPr>
        <w:t xml:space="preserve">O ano de 2025 marca um ponto de viragem para a inteligência artificial (IA) nas empresas. </w:t>
      </w:r>
      <w:r w:rsidR="5849AA6A" w:rsidRPr="00E25EB5">
        <w:rPr>
          <w:lang w:val="pt-PT"/>
        </w:rPr>
        <w:t xml:space="preserve">Três anos após a popularização da IA Generativa, esta tecnologia está </w:t>
      </w:r>
      <w:r w:rsidR="18C20A14" w:rsidRPr="00E25EB5">
        <w:rPr>
          <w:lang w:val="pt-PT"/>
        </w:rPr>
        <w:t>presente na maioria das empresas</w:t>
      </w:r>
      <w:r w:rsidR="3B8FF56F" w:rsidRPr="00E25EB5">
        <w:rPr>
          <w:lang w:val="pt-PT"/>
        </w:rPr>
        <w:t xml:space="preserve"> a nível global</w:t>
      </w:r>
      <w:r w:rsidR="5849AA6A" w:rsidRPr="00E25EB5">
        <w:rPr>
          <w:lang w:val="pt-PT"/>
        </w:rPr>
        <w:t xml:space="preserve">, mas </w:t>
      </w:r>
      <w:r w:rsidR="669FD41C" w:rsidRPr="00E25EB5">
        <w:rPr>
          <w:lang w:val="pt-PT"/>
        </w:rPr>
        <w:t xml:space="preserve">nem todas estão a conseguir </w:t>
      </w:r>
      <w:r w:rsidR="521B38BA" w:rsidRPr="00E25EB5">
        <w:rPr>
          <w:lang w:val="pt-PT"/>
        </w:rPr>
        <w:t>ganhos de escala</w:t>
      </w:r>
      <w:r w:rsidR="669FD41C" w:rsidRPr="00E25EB5">
        <w:rPr>
          <w:lang w:val="pt-PT"/>
        </w:rPr>
        <w:t>.</w:t>
      </w:r>
      <w:r w:rsidR="5849AA6A" w:rsidRPr="00E25EB5">
        <w:rPr>
          <w:lang w:val="pt-PT"/>
        </w:rPr>
        <w:t xml:space="preserve"> </w:t>
      </w:r>
      <w:r w:rsidR="385F04C9" w:rsidRPr="00E25EB5">
        <w:rPr>
          <w:lang w:val="pt-PT"/>
        </w:rPr>
        <w:t>O</w:t>
      </w:r>
      <w:r w:rsidR="5849AA6A" w:rsidRPr="00E25EB5">
        <w:rPr>
          <w:lang w:val="pt-PT"/>
        </w:rPr>
        <w:t xml:space="preserve"> </w:t>
      </w:r>
      <w:r w:rsidR="49B1F520" w:rsidRPr="00E25EB5">
        <w:rPr>
          <w:lang w:val="pt-PT"/>
        </w:rPr>
        <w:t>relatório</w:t>
      </w:r>
      <w:r w:rsidR="5849AA6A" w:rsidRPr="00E25EB5">
        <w:rPr>
          <w:lang w:val="pt-PT"/>
        </w:rPr>
        <w:t xml:space="preserve"> “</w:t>
      </w:r>
      <w:hyperlink r:id="rId8">
        <w:r w:rsidR="0FA1974F" w:rsidRPr="00E25EB5">
          <w:rPr>
            <w:rStyle w:val="Hiperligao"/>
            <w:i/>
            <w:iCs/>
            <w:lang w:val="pt-PT"/>
          </w:rPr>
          <w:t>T</w:t>
        </w:r>
        <w:r w:rsidR="5849AA6A" w:rsidRPr="00E25EB5">
          <w:rPr>
            <w:rStyle w:val="Hiperligao"/>
            <w:i/>
            <w:iCs/>
            <w:lang w:val="pt-PT"/>
          </w:rPr>
          <w:t>he State of AI in 2025: Agents, Innovation, and Transformation</w:t>
        </w:r>
      </w:hyperlink>
      <w:r w:rsidR="5849AA6A" w:rsidRPr="00E25EB5">
        <w:rPr>
          <w:i/>
          <w:iCs/>
          <w:lang w:val="pt-PT"/>
        </w:rPr>
        <w:t>”</w:t>
      </w:r>
      <w:r w:rsidR="7927AB2C" w:rsidRPr="00E25EB5">
        <w:rPr>
          <w:i/>
          <w:iCs/>
          <w:lang w:val="pt-PT"/>
        </w:rPr>
        <w:t xml:space="preserve">, </w:t>
      </w:r>
      <w:r w:rsidR="748837A3" w:rsidRPr="00E25EB5">
        <w:rPr>
          <w:lang w:val="pt-PT"/>
        </w:rPr>
        <w:t>desenvolvido</w:t>
      </w:r>
      <w:r w:rsidR="1718BD87" w:rsidRPr="00E25EB5">
        <w:rPr>
          <w:lang w:val="pt-PT"/>
        </w:rPr>
        <w:t xml:space="preserve"> </w:t>
      </w:r>
      <w:r w:rsidR="748837A3" w:rsidRPr="00E25EB5">
        <w:rPr>
          <w:lang w:val="pt-PT"/>
        </w:rPr>
        <w:t>p</w:t>
      </w:r>
      <w:r w:rsidR="2DD5FB8F" w:rsidRPr="00E25EB5">
        <w:rPr>
          <w:lang w:val="pt-PT"/>
        </w:rPr>
        <w:t xml:space="preserve">ela </w:t>
      </w:r>
      <w:r w:rsidR="5849AA6A" w:rsidRPr="00E25EB5">
        <w:rPr>
          <w:lang w:val="pt-PT"/>
        </w:rPr>
        <w:t>McKinsey &amp; Company,</w:t>
      </w:r>
      <w:r w:rsidR="2287E2C8" w:rsidRPr="00E25EB5">
        <w:rPr>
          <w:lang w:val="pt-PT"/>
        </w:rPr>
        <w:t xml:space="preserve"> revela que</w:t>
      </w:r>
      <w:r w:rsidR="5849AA6A" w:rsidRPr="00E25EB5">
        <w:rPr>
          <w:lang w:val="pt-PT"/>
        </w:rPr>
        <w:t xml:space="preserve"> a maioria </w:t>
      </w:r>
      <w:r w:rsidR="1EA81E6B" w:rsidRPr="00E25EB5">
        <w:rPr>
          <w:lang w:val="pt-PT"/>
        </w:rPr>
        <w:t xml:space="preserve">(88%) </w:t>
      </w:r>
      <w:r w:rsidR="5849AA6A" w:rsidRPr="00E25EB5">
        <w:rPr>
          <w:lang w:val="pt-PT"/>
        </w:rPr>
        <w:t xml:space="preserve">das organizações </w:t>
      </w:r>
      <w:r w:rsidR="2F3D3ECD" w:rsidRPr="00E25EB5">
        <w:rPr>
          <w:lang w:val="pt-PT"/>
        </w:rPr>
        <w:t xml:space="preserve">já utilizam IA em pelo menos uma função de negócio, um crescimento face aos 78% registados em 2024. </w:t>
      </w:r>
    </w:p>
    <w:p w14:paraId="0FC065DC" w14:textId="0F489560" w:rsidR="00460C9D" w:rsidRPr="00E25EB5" w:rsidRDefault="119DB9C8" w:rsidP="5897F02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Apesar da disseminação da tecnologia, apenas um terço das organizações afirma estar a conseguir escalar os seus programas de IA a nível global, e o estudo revela uma clara diferença entre empresas de maior e menor dimensão. Entre as organizações com mais de 5 mil milhões de dólares em receitas, quase metade já alcançou uma fase de escala efetiva. Em contraste, apenas 29% das empresas com menos de 100 milhões de dólares de faturação atingiram o mesmo nível de maturidade, evidenciando que capacidades de investimento, talento disponível e infraestruturas tecnológicas continuam a desempenhar um papel determinante no sucesso destas iniciativas.</w:t>
      </w:r>
    </w:p>
    <w:p w14:paraId="63915A08" w14:textId="77777777" w:rsidR="00E25EB5" w:rsidRDefault="30632CD0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O estudo</w:t>
      </w:r>
      <w:r w:rsidR="3D398C78" w:rsidRPr="00E25EB5">
        <w:rPr>
          <w:lang w:val="pt-PT"/>
        </w:rPr>
        <w:t xml:space="preserve"> destaca</w:t>
      </w:r>
      <w:r w:rsidR="5849AA6A" w:rsidRPr="00E25EB5">
        <w:rPr>
          <w:lang w:val="pt-PT"/>
        </w:rPr>
        <w:t xml:space="preserve"> </w:t>
      </w:r>
      <w:r w:rsidR="3D1680DC" w:rsidRPr="00E25EB5">
        <w:rPr>
          <w:lang w:val="pt-PT"/>
        </w:rPr>
        <w:t>que</w:t>
      </w:r>
      <w:r w:rsidR="583E53C2" w:rsidRPr="00E25EB5">
        <w:rPr>
          <w:lang w:val="pt-PT"/>
        </w:rPr>
        <w:t xml:space="preserve"> </w:t>
      </w:r>
      <w:r w:rsidR="3E89F882" w:rsidRPr="00E25EB5">
        <w:rPr>
          <w:lang w:val="pt-PT"/>
        </w:rPr>
        <w:t>os</w:t>
      </w:r>
      <w:r w:rsidR="5849AA6A" w:rsidRPr="00E25EB5">
        <w:rPr>
          <w:lang w:val="pt-PT"/>
        </w:rPr>
        <w:t xml:space="preserve"> agentes de IA</w:t>
      </w:r>
      <w:r w:rsidR="1739EC3E" w:rsidRPr="00E25EB5">
        <w:rPr>
          <w:lang w:val="pt-PT"/>
        </w:rPr>
        <w:t xml:space="preserve"> - sistemas capazes de planear e executar múltiplos passos de forma autónoma -</w:t>
      </w:r>
      <w:r w:rsidR="6D23E8A5" w:rsidRPr="00E25EB5">
        <w:rPr>
          <w:lang w:val="pt-PT"/>
        </w:rPr>
        <w:t xml:space="preserve"> estão a ganhar terreno dentro das empresas, com 62% a </w:t>
      </w:r>
      <w:r w:rsidR="3B57EFE0" w:rsidRPr="00E25EB5">
        <w:rPr>
          <w:lang w:val="pt-PT"/>
        </w:rPr>
        <w:t>relat</w:t>
      </w:r>
      <w:r w:rsidR="6D23E8A5" w:rsidRPr="00E25EB5">
        <w:rPr>
          <w:lang w:val="pt-PT"/>
        </w:rPr>
        <w:t xml:space="preserve">arem que estão a testar </w:t>
      </w:r>
      <w:r w:rsidR="74B670EC" w:rsidRPr="00E25EB5">
        <w:rPr>
          <w:lang w:val="pt-PT"/>
        </w:rPr>
        <w:t xml:space="preserve">estes </w:t>
      </w:r>
      <w:r w:rsidR="6D23E8A5" w:rsidRPr="00E25EB5">
        <w:rPr>
          <w:lang w:val="pt-PT"/>
        </w:rPr>
        <w:t xml:space="preserve">agentes e </w:t>
      </w:r>
      <w:r w:rsidR="2B9C2495" w:rsidRPr="00E25EB5">
        <w:rPr>
          <w:lang w:val="pt-PT"/>
        </w:rPr>
        <w:t>quase</w:t>
      </w:r>
      <w:r w:rsidR="6D23E8A5" w:rsidRPr="00E25EB5">
        <w:rPr>
          <w:lang w:val="pt-PT"/>
        </w:rPr>
        <w:t xml:space="preserve"> um quarto a </w:t>
      </w:r>
      <w:r w:rsidR="1A0D9519" w:rsidRPr="00E25EB5">
        <w:rPr>
          <w:lang w:val="pt-PT"/>
        </w:rPr>
        <w:t>afirmar</w:t>
      </w:r>
      <w:r w:rsidR="61DE170A" w:rsidRPr="00E25EB5">
        <w:rPr>
          <w:lang w:val="pt-PT"/>
        </w:rPr>
        <w:t xml:space="preserve"> </w:t>
      </w:r>
      <w:r w:rsidR="1A0D9519" w:rsidRPr="00E25EB5">
        <w:rPr>
          <w:lang w:val="pt-PT"/>
        </w:rPr>
        <w:t>que já estão a escalar pelo menos um agente</w:t>
      </w:r>
      <w:r w:rsidR="18172013" w:rsidRPr="00E25EB5">
        <w:rPr>
          <w:lang w:val="pt-PT"/>
        </w:rPr>
        <w:t>.</w:t>
      </w:r>
      <w:r w:rsidR="339C7143" w:rsidRPr="00E25EB5">
        <w:rPr>
          <w:lang w:val="pt-PT"/>
        </w:rPr>
        <w:t xml:space="preserve"> No entanto, a sua utilização continua concentrada em áreas específicas, como Tecnologias da Informação (TI), gestão de conhecimento, marketing e vendas, onde os casos de uso mais maduros incluem automação de processos, suporte ao cliente e otimização de estratégias comerciais.</w:t>
      </w:r>
      <w:r w:rsidR="02D3E554" w:rsidRPr="00E25EB5">
        <w:rPr>
          <w:lang w:val="pt-PT"/>
        </w:rPr>
        <w:t xml:space="preserve"> A nível setorial, a utilização é mais </w:t>
      </w:r>
      <w:r w:rsidR="02D3E554" w:rsidRPr="00E25EB5">
        <w:rPr>
          <w:lang w:val="pt-PT"/>
        </w:rPr>
        <w:lastRenderedPageBreak/>
        <w:t>frequentemente reportada no setor tecnológico, media e telecomunicações, e no setor da saúde.</w:t>
      </w:r>
    </w:p>
    <w:p w14:paraId="2916061E" w14:textId="77777777" w:rsidR="00E25EB5" w:rsidRDefault="000C2908" w:rsidP="4573FA8B">
      <w:pPr>
        <w:spacing w:before="240" w:after="240" w:line="360" w:lineRule="auto"/>
        <w:jc w:val="both"/>
        <w:rPr>
          <w:b/>
          <w:bCs/>
          <w:lang w:val="pt-PT"/>
        </w:rPr>
      </w:pPr>
      <w:r w:rsidRPr="00E25EB5">
        <w:rPr>
          <w:b/>
          <w:bCs/>
          <w:lang w:val="pt-PT"/>
        </w:rPr>
        <w:t>A revolução silenciosa da IA: mais inovação, mais competitividade</w:t>
      </w:r>
    </w:p>
    <w:p w14:paraId="248778B4" w14:textId="55D0E44F" w:rsidR="00460C9D" w:rsidRPr="00E25EB5" w:rsidRDefault="019C33AD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A</w:t>
      </w:r>
      <w:r w:rsidR="5BDB01B9" w:rsidRPr="00E25EB5">
        <w:rPr>
          <w:lang w:val="pt-PT"/>
        </w:rPr>
        <w:t>pesar do aumento da adoção, o relatório mostra que o impacto financeiro direto da IA continua a ser reduzido. Apenas 39% das organizações reportam efeitos positivos no EBIT atribuídos à tecnologia, e a maioria desses impactos permanece inferior a 5%. Ainda assim, começam a emergir sinais claros de transformação</w:t>
      </w:r>
      <w:r w:rsidR="56BB14B2" w:rsidRPr="00E25EB5">
        <w:rPr>
          <w:lang w:val="pt-PT"/>
        </w:rPr>
        <w:t>, com</w:t>
      </w:r>
      <w:r w:rsidR="5BDB01B9" w:rsidRPr="00E25EB5">
        <w:rPr>
          <w:lang w:val="pt-PT"/>
        </w:rPr>
        <w:t xml:space="preserve"> a maioria das empresas </w:t>
      </w:r>
      <w:r w:rsidR="6DAEC82E" w:rsidRPr="00E25EB5">
        <w:rPr>
          <w:lang w:val="pt-PT"/>
        </w:rPr>
        <w:t xml:space="preserve">a admitir </w:t>
      </w:r>
      <w:r w:rsidR="5BDB01B9" w:rsidRPr="00E25EB5">
        <w:rPr>
          <w:lang w:val="pt-PT"/>
        </w:rPr>
        <w:t xml:space="preserve">melhorias na capacidade de inovar, bem como um aumento na satisfação dos clientes e uma maior diferenciação competitiva. </w:t>
      </w:r>
      <w:r w:rsidR="168A722A" w:rsidRPr="00E25EB5">
        <w:rPr>
          <w:lang w:val="pt-PT"/>
        </w:rPr>
        <w:t>Para alguma</w:t>
      </w:r>
      <w:r w:rsidR="5BDB01B9" w:rsidRPr="00E25EB5">
        <w:rPr>
          <w:lang w:val="pt-PT"/>
        </w:rPr>
        <w:t>s funções, como engenharia de software, manufatura ou TI, observam-se já reduções tangíveis de custos, enquanto em áreas como marketing, vendas e desenvolvimento de produto os ganhos estão sobretudo associados ao crescimento das receitas.</w:t>
      </w:r>
    </w:p>
    <w:p w14:paraId="6F3B13FF" w14:textId="59371124" w:rsidR="08EACBEE" w:rsidRPr="00E25EB5" w:rsidRDefault="08EACBEE" w:rsidP="37778B7A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“As empresas que hoje estão a capturar mais valor da IA não são simplesmente aquelas que adotam novas ferramentas, mas sim as que redesenharam os seus processos de ponta a ponta para aproveitar plenamente estas capacidades. São organizações que repensaram a forma como inovam, como tomam decisões e como interagem com os seus clientes, integrando a IA nos fluxos críticos em vez de a utilizarem como um complemento isolado”,</w:t>
      </w:r>
      <w:r w:rsidR="00E25EB5" w:rsidRPr="00E25EB5">
        <w:rPr>
          <w:lang w:val="pt-PT"/>
        </w:rPr>
        <w:t xml:space="preserve"> </w:t>
      </w:r>
      <w:r w:rsidRPr="00E25EB5">
        <w:rPr>
          <w:lang w:val="pt-PT"/>
        </w:rPr>
        <w:t xml:space="preserve">afirma </w:t>
      </w:r>
      <w:r w:rsidRPr="00E25EB5">
        <w:rPr>
          <w:b/>
          <w:bCs/>
          <w:lang w:val="pt-PT"/>
        </w:rPr>
        <w:t>Benjamim Vieira, sócio</w:t>
      </w:r>
      <w:r w:rsidR="000C2908" w:rsidRPr="00E25EB5">
        <w:rPr>
          <w:b/>
          <w:bCs/>
          <w:lang w:val="pt-PT"/>
        </w:rPr>
        <w:t xml:space="preserve"> sénior</w:t>
      </w:r>
      <w:r w:rsidRPr="00E25EB5">
        <w:rPr>
          <w:b/>
          <w:bCs/>
          <w:lang w:val="pt-PT"/>
        </w:rPr>
        <w:t xml:space="preserve"> da McKinsey.</w:t>
      </w:r>
      <w:r w:rsidR="00E25EB5" w:rsidRPr="00E25EB5">
        <w:rPr>
          <w:lang w:val="pt-PT"/>
        </w:rPr>
        <w:t xml:space="preserve"> </w:t>
      </w:r>
      <w:r w:rsidRPr="00E25EB5">
        <w:rPr>
          <w:lang w:val="pt-PT"/>
        </w:rPr>
        <w:t xml:space="preserve">“Neste contexto, os dados — e, em particular, a sua disponibilidade na </w:t>
      </w:r>
      <w:r w:rsidRPr="005A59CA">
        <w:rPr>
          <w:i/>
          <w:iCs/>
          <w:lang w:val="pt-PT"/>
        </w:rPr>
        <w:t>cloud</w:t>
      </w:r>
      <w:r w:rsidRPr="00E25EB5">
        <w:rPr>
          <w:lang w:val="pt-PT"/>
        </w:rPr>
        <w:t xml:space="preserve"> — funcionam como habilitadores essenciais, permitindo ligar informação, escalar modelos e gerar aprendizagem contínua. Mas o verdadeiro diferencial vem do redesenho organizacional: simplificar, automatizar, eliminar fricções e criar processos que permitam à IA gerar valor de forma sistemática”, acrescenta.</w:t>
      </w:r>
    </w:p>
    <w:p w14:paraId="10D0FA68" w14:textId="4416F4E7" w:rsidR="00460C9D" w:rsidRPr="00E25EB5" w:rsidRDefault="5BDB01B9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O estudo identifica</w:t>
      </w:r>
      <w:r w:rsidR="000C2908" w:rsidRPr="00E25EB5">
        <w:rPr>
          <w:lang w:val="pt-PT"/>
        </w:rPr>
        <w:t>, assim,</w:t>
      </w:r>
      <w:r w:rsidRPr="00E25EB5">
        <w:rPr>
          <w:lang w:val="pt-PT"/>
        </w:rPr>
        <w:t xml:space="preserve"> um conjunto de organizações mais avançadas na adoção de IA</w:t>
      </w:r>
      <w:r w:rsidR="057B2EAB" w:rsidRPr="00E25EB5">
        <w:rPr>
          <w:lang w:val="pt-PT"/>
        </w:rPr>
        <w:t xml:space="preserve">, designadas de </w:t>
      </w:r>
      <w:r w:rsidR="057B2EAB" w:rsidRPr="00E25EB5">
        <w:rPr>
          <w:b/>
          <w:bCs/>
          <w:i/>
          <w:iCs/>
          <w:lang w:val="pt-PT"/>
        </w:rPr>
        <w:t>“high performers</w:t>
      </w:r>
      <w:r w:rsidR="057B2EAB" w:rsidRPr="00E25EB5">
        <w:rPr>
          <w:lang w:val="pt-PT"/>
        </w:rPr>
        <w:t>”</w:t>
      </w:r>
      <w:r w:rsidRPr="00E25EB5">
        <w:rPr>
          <w:lang w:val="pt-PT"/>
        </w:rPr>
        <w:t xml:space="preserve">. Representando cerca de 6% da amostra, estas empresas de elevado desempenho destacam-se por abordarem a tecnologia como um vetor estratégico de transformação, e não apenas como um mecanismo de eficiência. </w:t>
      </w:r>
      <w:r w:rsidR="3BC2009E" w:rsidRPr="00E25EB5">
        <w:rPr>
          <w:lang w:val="pt-PT"/>
        </w:rPr>
        <w:t xml:space="preserve">Estas organizações </w:t>
      </w:r>
      <w:r w:rsidR="0B38062A" w:rsidRPr="00E25EB5">
        <w:rPr>
          <w:lang w:val="pt-PT"/>
        </w:rPr>
        <w:t>s</w:t>
      </w:r>
      <w:r w:rsidRPr="00E25EB5">
        <w:rPr>
          <w:lang w:val="pt-PT"/>
        </w:rPr>
        <w:t>ão mais propensas a redesenhar de forma profunda os seus fluxos de trabalho, a escalar rapidamente casos de uso</w:t>
      </w:r>
      <w:r w:rsidR="099D155F" w:rsidRPr="00E25EB5">
        <w:rPr>
          <w:lang w:val="pt-PT"/>
        </w:rPr>
        <w:t xml:space="preserve"> da tecnologia</w:t>
      </w:r>
      <w:r w:rsidRPr="00E25EB5">
        <w:rPr>
          <w:lang w:val="pt-PT"/>
        </w:rPr>
        <w:t xml:space="preserve">, a integrar agentes de IA de forma mais ampla e a assegurar um forte envolvimento das equipas de liderança. Estas empresas canalizam </w:t>
      </w:r>
      <w:r w:rsidR="42252B51" w:rsidRPr="00E25EB5">
        <w:rPr>
          <w:lang w:val="pt-PT"/>
        </w:rPr>
        <w:t xml:space="preserve">cerca de 20% do </w:t>
      </w:r>
      <w:r w:rsidRPr="00E25EB5">
        <w:rPr>
          <w:lang w:val="pt-PT"/>
        </w:rPr>
        <w:t>seu orçamento digital para iniciativas de IA</w:t>
      </w:r>
      <w:r w:rsidR="551F798B" w:rsidRPr="00E25EB5">
        <w:rPr>
          <w:lang w:val="pt-PT"/>
        </w:rPr>
        <w:t xml:space="preserve">, </w:t>
      </w:r>
      <w:r w:rsidRPr="00E25EB5">
        <w:rPr>
          <w:lang w:val="pt-PT"/>
        </w:rPr>
        <w:t>o que lhes permite acelerar a maturidade tecnológica e capturar valor de forma mais consistente.</w:t>
      </w:r>
    </w:p>
    <w:p w14:paraId="7D55F76F" w14:textId="7C6AA61A" w:rsidR="00460C9D" w:rsidRPr="00E25EB5" w:rsidRDefault="000C2908" w:rsidP="5897F02B">
      <w:pPr>
        <w:spacing w:before="240" w:line="360" w:lineRule="auto"/>
        <w:jc w:val="both"/>
        <w:rPr>
          <w:b/>
          <w:bCs/>
          <w:lang w:val="pt-PT"/>
        </w:rPr>
      </w:pPr>
      <w:r w:rsidRPr="00E25EB5">
        <w:rPr>
          <w:b/>
          <w:bCs/>
          <w:lang w:val="pt-PT"/>
        </w:rPr>
        <w:t>Emprego, talento e riscos: a IA abre uma nova etapa nas organizações</w:t>
      </w:r>
    </w:p>
    <w:p w14:paraId="034E57FD" w14:textId="44C6A96E" w:rsidR="00180B4A" w:rsidRPr="00E25EB5" w:rsidRDefault="00180B4A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lastRenderedPageBreak/>
        <w:t>A evolução no uso da IA está a gerar diferentes expectativas quanto ao seu impacto no emprego. Embora muitos inquiridos considerem que não haverá alterações significativas na dimensão das equipas, 13% antecipam um aumento de cerca de 3% no número de colaboradores devido ao uso destas tecnologias, sobretudo em organizações que estão a acelerar a sua transformação. Por outro lado, 32% prevê uma redução da força de trabalho de 3% ou mais no próximo ano. Além disso, segundo a McKinsey &amp; Company, são as empresas de maior dimensão aquelas que mais frequentemente preveem reduções de emprego associadas à IA.</w:t>
      </w:r>
    </w:p>
    <w:p w14:paraId="38A5E200" w14:textId="77777777" w:rsidR="00E25EB5" w:rsidRPr="00E25EB5" w:rsidRDefault="00180B4A" w:rsidP="5897F02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Ao mesmo tempo, o relatório assinala que a gestão dos riscos associados à IA está a ganhar maior importância. Desde 2022, o número de riscos que as organizações afirmam estar a mitigar passou de dois para uma média de quatro, refletindo uma maior consciência sobre as potenciais consequências destas tecnologias.</w:t>
      </w:r>
      <w:r w:rsidR="00E25EB5" w:rsidRPr="00E25EB5">
        <w:rPr>
          <w:lang w:val="pt-PT"/>
        </w:rPr>
        <w:t xml:space="preserve"> </w:t>
      </w:r>
      <w:r w:rsidRPr="00E25EB5">
        <w:rPr>
          <w:lang w:val="pt-PT"/>
        </w:rPr>
        <w:t>Entre as</w:t>
      </w:r>
      <w:r w:rsidR="7B28DA77" w:rsidRPr="00E25EB5">
        <w:rPr>
          <w:lang w:val="pt-PT"/>
        </w:rPr>
        <w:t xml:space="preserve"> </w:t>
      </w:r>
      <w:r w:rsidRPr="00E25EB5">
        <w:rPr>
          <w:lang w:val="pt-PT"/>
        </w:rPr>
        <w:t>empresas que utilizam IA, 51% reconhece ter sofrido algum efeito negativo, e quase um terço aponta problemas decorrentes da inexatidão das respostas geradas pelos modelos, tornando este um dos riscos mais mencionados. Em contraste, a falta de explicabilidade — ou seja, a dificuldade em compreender como e porquê a IA chega a determinadas conclusões — continua a ser um dos riscos menos abordados, embora muitas organizações o considerem um desafio recorrente</w:t>
      </w:r>
      <w:r w:rsidR="00E25EB5" w:rsidRPr="00E25EB5">
        <w:rPr>
          <w:lang w:val="pt-PT"/>
        </w:rPr>
        <w:t xml:space="preserve">. </w:t>
      </w:r>
    </w:p>
    <w:p w14:paraId="142B0EC2" w14:textId="0E219034" w:rsidR="00180B4A" w:rsidRPr="00E25EB5" w:rsidRDefault="00180B4A" w:rsidP="5897F02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>Este novo contexto sublinha a necessidade de reforçar a governação e de adotar quadros de responsabilidade mais robustos, de forma a avançar para um uso eficaz, escalável e seguro da inteligência artificial.</w:t>
      </w:r>
    </w:p>
    <w:p w14:paraId="7B05D70B" w14:textId="49D37E05" w:rsidR="00460C9D" w:rsidRPr="00E25EB5" w:rsidRDefault="61C4203D" w:rsidP="4573FA8B">
      <w:pPr>
        <w:spacing w:before="240" w:after="240" w:line="360" w:lineRule="auto"/>
        <w:jc w:val="both"/>
        <w:rPr>
          <w:lang w:val="pt-PT"/>
        </w:rPr>
      </w:pPr>
      <w:r w:rsidRPr="00E25EB5">
        <w:rPr>
          <w:lang w:val="pt-PT"/>
        </w:rPr>
        <w:t xml:space="preserve">Segundo </w:t>
      </w:r>
      <w:r w:rsidR="00180B4A" w:rsidRPr="00E25EB5">
        <w:rPr>
          <w:lang w:val="pt-PT"/>
        </w:rPr>
        <w:t>o estudo d</w:t>
      </w:r>
      <w:r w:rsidR="00E25EB5">
        <w:rPr>
          <w:lang w:val="pt-PT"/>
        </w:rPr>
        <w:t>a</w:t>
      </w:r>
      <w:r w:rsidRPr="00E25EB5">
        <w:rPr>
          <w:lang w:val="pt-PT"/>
        </w:rPr>
        <w:t xml:space="preserve"> </w:t>
      </w:r>
      <w:r w:rsidR="5BDB01B9" w:rsidRPr="00E25EB5">
        <w:rPr>
          <w:lang w:val="pt-PT"/>
        </w:rPr>
        <w:t>McKinsey</w:t>
      </w:r>
      <w:r w:rsidR="5842D438" w:rsidRPr="00E25EB5">
        <w:rPr>
          <w:lang w:val="pt-PT"/>
        </w:rPr>
        <w:t xml:space="preserve">, </w:t>
      </w:r>
      <w:r w:rsidR="5BDB01B9" w:rsidRPr="00E25EB5">
        <w:rPr>
          <w:lang w:val="pt-PT"/>
        </w:rPr>
        <w:t xml:space="preserve">o verdadeiro potencial da IA nas empresas continua por materializar. A transição de iniciativas </w:t>
      </w:r>
      <w:r w:rsidR="3ADBA71B" w:rsidRPr="00E25EB5">
        <w:rPr>
          <w:lang w:val="pt-PT"/>
        </w:rPr>
        <w:t>de experimentação da tecnologia</w:t>
      </w:r>
      <w:r w:rsidR="5BDB01B9" w:rsidRPr="00E25EB5">
        <w:rPr>
          <w:lang w:val="pt-PT"/>
        </w:rPr>
        <w:t xml:space="preserve"> para uma adoção </w:t>
      </w:r>
      <w:r w:rsidR="6ED47D77" w:rsidRPr="00E25EB5">
        <w:rPr>
          <w:lang w:val="pt-PT"/>
        </w:rPr>
        <w:t xml:space="preserve">em </w:t>
      </w:r>
      <w:r w:rsidR="5BDB01B9" w:rsidRPr="00E25EB5">
        <w:rPr>
          <w:lang w:val="pt-PT"/>
        </w:rPr>
        <w:t xml:space="preserve">escala </w:t>
      </w:r>
      <w:r w:rsidR="40A9A6F2" w:rsidRPr="00E25EB5">
        <w:rPr>
          <w:lang w:val="pt-PT"/>
        </w:rPr>
        <w:t>é um desafio, mas também uma oportunidade</w:t>
      </w:r>
      <w:r w:rsidR="5BDB01B9" w:rsidRPr="00E25EB5">
        <w:rPr>
          <w:lang w:val="pt-PT"/>
        </w:rPr>
        <w:t xml:space="preserve">. As organizações que encararem a IA como um elemento central na redefinição de processos, na aceleração da inovação e na criação de vantagem competitiva estarão </w:t>
      </w:r>
      <w:r w:rsidR="3D34247F" w:rsidRPr="00E25EB5">
        <w:rPr>
          <w:lang w:val="pt-PT"/>
        </w:rPr>
        <w:t>mais</w:t>
      </w:r>
      <w:r w:rsidR="5BDB01B9" w:rsidRPr="00E25EB5">
        <w:rPr>
          <w:lang w:val="pt-PT"/>
        </w:rPr>
        <w:t xml:space="preserve"> preparadas para liderar esta nova fase tecnológica</w:t>
      </w:r>
      <w:r w:rsidR="7F97B006" w:rsidRPr="00E25EB5">
        <w:rPr>
          <w:lang w:val="pt-PT"/>
        </w:rPr>
        <w:t xml:space="preserve"> e ganhar vantagem competitiva</w:t>
      </w:r>
      <w:r w:rsidR="5BDB01B9" w:rsidRPr="00E25EB5">
        <w:rPr>
          <w:lang w:val="pt-PT"/>
        </w:rPr>
        <w:t>.</w:t>
      </w:r>
    </w:p>
    <w:p w14:paraId="33DB30E5" w14:textId="05D989D4" w:rsidR="00460C9D" w:rsidRDefault="00460C9D" w:rsidP="5897F02B">
      <w:pPr>
        <w:spacing w:before="240" w:after="240" w:line="360" w:lineRule="auto"/>
        <w:jc w:val="both"/>
        <w:rPr>
          <w:color w:val="FF0000"/>
          <w:lang w:val="pt-PT"/>
        </w:rPr>
      </w:pPr>
    </w:p>
    <w:p w14:paraId="224AD2A1" w14:textId="77777777" w:rsidR="007F18D2" w:rsidRPr="00306953" w:rsidRDefault="007F18D2" w:rsidP="5897F02B">
      <w:pPr>
        <w:jc w:val="both"/>
        <w:rPr>
          <w:b/>
          <w:bCs/>
          <w:sz w:val="18"/>
          <w:szCs w:val="18"/>
          <w:lang w:val="pt-PT"/>
        </w:rPr>
      </w:pPr>
      <w:r w:rsidRPr="5897F02B">
        <w:rPr>
          <w:b/>
          <w:bCs/>
          <w:sz w:val="18"/>
          <w:szCs w:val="18"/>
          <w:lang w:val="pt-PT"/>
        </w:rPr>
        <w:t>SOBRE A MCKINSEY &amp; COMPANY</w:t>
      </w:r>
    </w:p>
    <w:p w14:paraId="1A01F990" w14:textId="040DEC08" w:rsidR="003C34C0" w:rsidRDefault="61C70856" w:rsidP="004E7C26">
      <w:pPr>
        <w:pStyle w:val="00Body"/>
        <w:spacing w:line="360" w:lineRule="auto"/>
        <w:jc w:val="both"/>
        <w:rPr>
          <w:rFonts w:ascii="Arial" w:hAnsi="Arial" w:cs="Arial"/>
          <w:sz w:val="18"/>
          <w:szCs w:val="18"/>
          <w:lang w:val="pt-PT"/>
        </w:rPr>
      </w:pPr>
      <w:r w:rsidRPr="5897F02B">
        <w:rPr>
          <w:rFonts w:ascii="Arial" w:hAnsi="Arial" w:cs="Arial"/>
          <w:sz w:val="18"/>
          <w:szCs w:val="18"/>
          <w:lang w:val="pt-PT"/>
        </w:rPr>
        <w:t xml:space="preserve">A McKinsey é uma empresa global de consultoria de gestão comprometida em ajudar as organizações a acelerar um crescimento sustentável e inclusivo. Trabalhamos com clientes dos setores privado, público e social para resolver problemas complexos e criar mudanças positivas para todas as partes interessadas. Combinamos estratégias arrojadas e tecnologias transformadoras para ajudar as organizações a inovar de forma mais </w:t>
      </w:r>
      <w:r w:rsidRPr="5897F02B">
        <w:rPr>
          <w:rFonts w:ascii="Arial" w:hAnsi="Arial" w:cs="Arial"/>
          <w:sz w:val="18"/>
          <w:szCs w:val="18"/>
          <w:lang w:val="pt-PT"/>
        </w:rPr>
        <w:lastRenderedPageBreak/>
        <w:t>sustentável, alcançar ganhos duradouros de desempenho e construir forças de trabalho que prosperem nesta e nas próximas gerações.</w:t>
      </w:r>
    </w:p>
    <w:p w14:paraId="38F4103B" w14:textId="77777777" w:rsidR="003C34C0" w:rsidRPr="00A75125" w:rsidRDefault="003C34C0" w:rsidP="004E7C26">
      <w:pPr>
        <w:pStyle w:val="00Body"/>
        <w:spacing w:line="360" w:lineRule="auto"/>
        <w:jc w:val="both"/>
        <w:rPr>
          <w:rFonts w:ascii="Arial" w:hAnsi="Arial" w:cs="Arial"/>
          <w:sz w:val="18"/>
          <w:szCs w:val="18"/>
          <w:lang w:val="pt-PT"/>
        </w:rPr>
      </w:pPr>
    </w:p>
    <w:p w14:paraId="1E70C598" w14:textId="77777777" w:rsidR="003C34C0" w:rsidRPr="002818F8" w:rsidRDefault="003C34C0" w:rsidP="003C34C0">
      <w:pPr>
        <w:pStyle w:val="00Body"/>
        <w:spacing w:line="360" w:lineRule="auto"/>
        <w:jc w:val="both"/>
        <w:rPr>
          <w:b/>
          <w:bCs/>
          <w:i/>
          <w:iCs/>
          <w:sz w:val="18"/>
          <w:szCs w:val="18"/>
          <w:lang w:val="pt-PT"/>
        </w:rPr>
      </w:pPr>
      <w:r w:rsidRPr="002818F8">
        <w:rPr>
          <w:b/>
          <w:bCs/>
          <w:i/>
          <w:iCs/>
          <w:sz w:val="18"/>
          <w:szCs w:val="18"/>
          <w:lang w:val="pt-PT"/>
        </w:rPr>
        <w:t>Para mais informações contacte:</w:t>
      </w:r>
    </w:p>
    <w:p w14:paraId="67592ADD" w14:textId="77777777" w:rsidR="003C34C0" w:rsidRPr="002818F8" w:rsidRDefault="003C34C0" w:rsidP="003C34C0">
      <w:pPr>
        <w:pStyle w:val="00Body"/>
        <w:spacing w:line="360" w:lineRule="auto"/>
        <w:jc w:val="both"/>
        <w:rPr>
          <w:sz w:val="18"/>
          <w:szCs w:val="18"/>
          <w:lang w:val="pt-PT"/>
        </w:rPr>
      </w:pPr>
      <w:r w:rsidRPr="002818F8">
        <w:rPr>
          <w:sz w:val="18"/>
          <w:szCs w:val="18"/>
          <w:lang w:val="pt-PT"/>
        </w:rPr>
        <w:t xml:space="preserve">Lift Consulting </w:t>
      </w:r>
    </w:p>
    <w:p w14:paraId="62CE4789" w14:textId="7AB635AC" w:rsidR="003C34C0" w:rsidRPr="002818F8" w:rsidRDefault="003C34C0" w:rsidP="003C34C0">
      <w:pPr>
        <w:pStyle w:val="00Body"/>
        <w:spacing w:line="360" w:lineRule="auto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Catarina Brito</w:t>
      </w:r>
      <w:r w:rsidRPr="002818F8">
        <w:rPr>
          <w:sz w:val="18"/>
          <w:szCs w:val="18"/>
          <w:lang w:val="pt-PT"/>
        </w:rPr>
        <w:t xml:space="preserve"> | </w:t>
      </w:r>
      <w:hyperlink r:id="rId9" w:history="1">
        <w:r w:rsidR="00F5262D" w:rsidRPr="00F023E5">
          <w:rPr>
            <w:rStyle w:val="Hiperligao"/>
            <w:rFonts w:eastAsiaTheme="majorEastAsia"/>
            <w:sz w:val="18"/>
            <w:szCs w:val="18"/>
            <w:lang w:val="pt-PT"/>
          </w:rPr>
          <w:t>catarina.brito@lift.com.pt</w:t>
        </w:r>
      </w:hyperlink>
      <w:r w:rsidRPr="002818F8">
        <w:rPr>
          <w:sz w:val="18"/>
          <w:szCs w:val="18"/>
          <w:lang w:val="pt-PT"/>
        </w:rPr>
        <w:t xml:space="preserve"> | 9</w:t>
      </w:r>
      <w:r>
        <w:rPr>
          <w:sz w:val="18"/>
          <w:szCs w:val="18"/>
          <w:lang w:val="pt-PT"/>
        </w:rPr>
        <w:t>1 431 06 61</w:t>
      </w:r>
    </w:p>
    <w:p w14:paraId="1E9B3826" w14:textId="77777777" w:rsidR="003C34C0" w:rsidRDefault="003C34C0" w:rsidP="003C34C0">
      <w:pPr>
        <w:pStyle w:val="00Body"/>
        <w:spacing w:line="360" w:lineRule="auto"/>
        <w:jc w:val="both"/>
        <w:rPr>
          <w:sz w:val="18"/>
          <w:szCs w:val="18"/>
          <w:lang w:val="pt-PT"/>
        </w:rPr>
      </w:pPr>
      <w:r w:rsidRPr="5897F02B">
        <w:rPr>
          <w:sz w:val="18"/>
          <w:szCs w:val="18"/>
          <w:lang w:val="pt-PT"/>
        </w:rPr>
        <w:t xml:space="preserve">Catarina Frazão | </w:t>
      </w:r>
      <w:hyperlink r:id="rId10">
        <w:r w:rsidRPr="5897F02B">
          <w:rPr>
            <w:rStyle w:val="Hiperligao"/>
            <w:rFonts w:eastAsiaTheme="majorEastAsia"/>
            <w:sz w:val="18"/>
            <w:szCs w:val="18"/>
            <w:lang w:val="pt-PT"/>
          </w:rPr>
          <w:t>catarina.frazao@lift.com.pt</w:t>
        </w:r>
      </w:hyperlink>
      <w:r w:rsidRPr="5897F02B">
        <w:rPr>
          <w:sz w:val="18"/>
          <w:szCs w:val="18"/>
          <w:lang w:val="pt-PT"/>
        </w:rPr>
        <w:t xml:space="preserve"> | 91 844 80 87</w:t>
      </w:r>
      <w:bookmarkStart w:id="0" w:name="_eg5wkkzc7bfd"/>
      <w:bookmarkEnd w:id="0"/>
    </w:p>
    <w:p w14:paraId="43C5DA6D" w14:textId="4EC3A131" w:rsidR="003C34C0" w:rsidRPr="005A59CA" w:rsidRDefault="1883CEAC" w:rsidP="5897F02B">
      <w:pPr>
        <w:spacing w:after="240" w:line="360" w:lineRule="auto"/>
        <w:jc w:val="both"/>
        <w:rPr>
          <w:lang w:val="pt-PT"/>
        </w:rPr>
      </w:pPr>
      <w:r w:rsidRPr="5897F02B">
        <w:rPr>
          <w:rFonts w:ascii="Arial (Body)" w:eastAsia="Times New Roman" w:hAnsi="Arial (Body)" w:cs="Times New Roman"/>
          <w:sz w:val="18"/>
          <w:szCs w:val="18"/>
          <w:lang w:val="pt-PT" w:eastAsia="es-ES"/>
        </w:rPr>
        <w:t xml:space="preserve">Adriana Vieira </w:t>
      </w:r>
      <w:r w:rsidRPr="5897F02B">
        <w:rPr>
          <w:color w:val="000000" w:themeColor="text1"/>
          <w:sz w:val="18"/>
          <w:szCs w:val="18"/>
          <w:lang w:val="pt-PT"/>
        </w:rPr>
        <w:t xml:space="preserve">| </w:t>
      </w:r>
      <w:hyperlink r:id="rId11">
        <w:r w:rsidRPr="5897F02B">
          <w:rPr>
            <w:rFonts w:ascii="Arial (Body)" w:eastAsiaTheme="majorEastAsia" w:hAnsi="Arial (Body)" w:cs="Times New Roman"/>
            <w:color w:val="244061" w:themeColor="accent1" w:themeShade="80"/>
            <w:sz w:val="18"/>
            <w:szCs w:val="18"/>
            <w:u w:val="single"/>
            <w:lang w:val="pt" w:eastAsia="es-ES"/>
          </w:rPr>
          <w:t>adriana.vieira@lift.com.pt</w:t>
        </w:r>
      </w:hyperlink>
      <w:r w:rsidRPr="5897F02B">
        <w:rPr>
          <w:rFonts w:ascii="Arial (Body)" w:eastAsiaTheme="majorEastAsia" w:hAnsi="Arial (Body)" w:cs="Times New Roman"/>
          <w:color w:val="244061" w:themeColor="accent1" w:themeShade="80"/>
          <w:sz w:val="18"/>
          <w:szCs w:val="18"/>
          <w:u w:val="single"/>
          <w:lang w:val="pt-PT" w:eastAsia="es-ES"/>
        </w:rPr>
        <w:t xml:space="preserve"> </w:t>
      </w:r>
      <w:r w:rsidRPr="5897F02B">
        <w:rPr>
          <w:color w:val="000000" w:themeColor="text1"/>
          <w:sz w:val="18"/>
          <w:szCs w:val="18"/>
          <w:lang w:val="pt-PT"/>
        </w:rPr>
        <w:t xml:space="preserve">| </w:t>
      </w:r>
      <w:r w:rsidRPr="5897F02B">
        <w:rPr>
          <w:rFonts w:ascii="Arial (Body)" w:eastAsia="Times New Roman" w:hAnsi="Arial (Body)" w:cs="Times New Roman"/>
          <w:sz w:val="18"/>
          <w:szCs w:val="18"/>
          <w:lang w:val="pt-PT" w:eastAsia="es-ES"/>
        </w:rPr>
        <w:t>91 076 94 42</w:t>
      </w:r>
    </w:p>
    <w:p w14:paraId="011D0A78" w14:textId="4DC71A0D" w:rsidR="5897F02B" w:rsidRDefault="5897F02B" w:rsidP="5897F02B">
      <w:pPr>
        <w:spacing w:after="240" w:line="360" w:lineRule="auto"/>
        <w:jc w:val="both"/>
        <w:rPr>
          <w:rFonts w:ascii="Arial (Body)" w:eastAsia="Times New Roman" w:hAnsi="Arial (Body)" w:cs="Times New Roman"/>
          <w:sz w:val="18"/>
          <w:szCs w:val="18"/>
          <w:lang w:val="pt-PT" w:eastAsia="es-ES"/>
        </w:rPr>
      </w:pPr>
    </w:p>
    <w:p w14:paraId="18597286" w14:textId="77777777" w:rsidR="003C34C0" w:rsidRDefault="003C34C0" w:rsidP="003C34C0">
      <w:pPr>
        <w:pStyle w:val="00Body"/>
        <w:spacing w:line="360" w:lineRule="auto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McKinsey &amp; Company</w:t>
      </w:r>
    </w:p>
    <w:p w14:paraId="4B233F93" w14:textId="68F65E52" w:rsidR="007F18D2" w:rsidRPr="00381058" w:rsidRDefault="003C34C0" w:rsidP="5897F02B">
      <w:pPr>
        <w:pStyle w:val="00Body"/>
        <w:spacing w:before="240" w:after="240" w:line="360" w:lineRule="auto"/>
        <w:jc w:val="both"/>
        <w:rPr>
          <w:rFonts w:ascii="Arial" w:hAnsi="Arial" w:cs="Arial"/>
          <w:lang w:val="pt-PT"/>
        </w:rPr>
      </w:pPr>
      <w:r w:rsidRPr="5897F02B">
        <w:rPr>
          <w:sz w:val="18"/>
          <w:szCs w:val="18"/>
          <w:lang w:val="pt-PT"/>
        </w:rPr>
        <w:t xml:space="preserve">Luís dos Santos Lima | </w:t>
      </w:r>
      <w:hyperlink r:id="rId12">
        <w:r w:rsidRPr="5897F02B">
          <w:rPr>
            <w:rStyle w:val="Hiperligao"/>
            <w:rFonts w:eastAsiaTheme="majorEastAsia"/>
            <w:sz w:val="18"/>
            <w:szCs w:val="18"/>
            <w:lang w:val="pt-PT"/>
          </w:rPr>
          <w:t>luis_lima@mckinsey.com</w:t>
        </w:r>
      </w:hyperlink>
      <w:r w:rsidRPr="5897F02B">
        <w:rPr>
          <w:sz w:val="18"/>
          <w:szCs w:val="18"/>
          <w:lang w:val="pt-PT"/>
        </w:rPr>
        <w:t xml:space="preserve"> | 91 044 30 81</w:t>
      </w:r>
    </w:p>
    <w:sectPr w:rsidR="007F18D2" w:rsidRPr="0038105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B0333" w14:textId="77777777" w:rsidR="0094373E" w:rsidRDefault="0094373E">
      <w:pPr>
        <w:spacing w:line="240" w:lineRule="auto"/>
      </w:pPr>
      <w:r>
        <w:separator/>
      </w:r>
    </w:p>
  </w:endnote>
  <w:endnote w:type="continuationSeparator" w:id="0">
    <w:p w14:paraId="5A2C6715" w14:textId="77777777" w:rsidR="0094373E" w:rsidRDefault="00943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F56937-EAFF-43EA-8E91-A67F8723D262}"/>
    <w:embedBold r:id="rId2" w:fontKey="{0A35D272-464A-449E-B6E1-88ABFE032F51}"/>
    <w:embedItalic r:id="rId3" w:fontKey="{00E9B257-F96B-494F-B638-780F7316C3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A3B452-FB1B-49AC-B2D7-9B6199CFE1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CA9617-C873-40B5-A072-BDBFA878C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B753F" w14:textId="77777777" w:rsidR="00257BCF" w:rsidRDefault="00257B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F8" w14:textId="77777777" w:rsidR="00257BCF" w:rsidRDefault="00257BC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35AA" w14:textId="77777777" w:rsidR="00257BCF" w:rsidRDefault="00257B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5204F" w14:textId="77777777" w:rsidR="0094373E" w:rsidRDefault="0094373E">
      <w:pPr>
        <w:spacing w:line="240" w:lineRule="auto"/>
      </w:pPr>
      <w:r>
        <w:separator/>
      </w:r>
    </w:p>
  </w:footnote>
  <w:footnote w:type="continuationSeparator" w:id="0">
    <w:p w14:paraId="2637C9BF" w14:textId="77777777" w:rsidR="0094373E" w:rsidRDefault="009437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05E04" w14:textId="77777777" w:rsidR="00257BCF" w:rsidRDefault="00257B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2AB61" w14:textId="77777777" w:rsidR="001E71DA" w:rsidRDefault="0057079B">
    <w:r>
      <w:rPr>
        <w:noProof/>
      </w:rPr>
      <w:drawing>
        <wp:anchor distT="0" distB="0" distL="114300" distR="114300" simplePos="0" relativeHeight="251658240" behindDoc="0" locked="0" layoutInCell="1" hidden="0" allowOverlap="1" wp14:anchorId="42D3FE5E" wp14:editId="59D22846">
          <wp:simplePos x="0" y="0"/>
          <wp:positionH relativeFrom="column">
            <wp:posOffset>4219575</wp:posOffset>
          </wp:positionH>
          <wp:positionV relativeFrom="paragraph">
            <wp:posOffset>-295274</wp:posOffset>
          </wp:positionV>
          <wp:extent cx="1668145" cy="53403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14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D6EDF" w14:textId="77777777" w:rsidR="00257BCF" w:rsidRDefault="00257B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A3D93"/>
    <w:multiLevelType w:val="hybridMultilevel"/>
    <w:tmpl w:val="C1E4D4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564D7"/>
    <w:multiLevelType w:val="multilevel"/>
    <w:tmpl w:val="BC720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58E793"/>
    <w:multiLevelType w:val="hybridMultilevel"/>
    <w:tmpl w:val="A252A952"/>
    <w:lvl w:ilvl="0" w:tplc="3E9AE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E61C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FAC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CE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CE2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84EA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4C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866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865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914B9"/>
    <w:multiLevelType w:val="hybridMultilevel"/>
    <w:tmpl w:val="55B68C7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0311601">
    <w:abstractNumId w:val="2"/>
  </w:num>
  <w:num w:numId="2" w16cid:durableId="1293902215">
    <w:abstractNumId w:val="1"/>
  </w:num>
  <w:num w:numId="3" w16cid:durableId="555505788">
    <w:abstractNumId w:val="3"/>
  </w:num>
  <w:num w:numId="4" w16cid:durableId="1033337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1DA"/>
    <w:rsid w:val="0001576C"/>
    <w:rsid w:val="0002539E"/>
    <w:rsid w:val="0002709F"/>
    <w:rsid w:val="00096249"/>
    <w:rsid w:val="000B56F5"/>
    <w:rsid w:val="000C2908"/>
    <w:rsid w:val="000E0DF6"/>
    <w:rsid w:val="000E7A64"/>
    <w:rsid w:val="00105A70"/>
    <w:rsid w:val="001745C9"/>
    <w:rsid w:val="00180B4A"/>
    <w:rsid w:val="00192924"/>
    <w:rsid w:val="001936E9"/>
    <w:rsid w:val="001C3037"/>
    <w:rsid w:val="001E71DA"/>
    <w:rsid w:val="0020777E"/>
    <w:rsid w:val="0021493C"/>
    <w:rsid w:val="00215FDE"/>
    <w:rsid w:val="00223810"/>
    <w:rsid w:val="00244499"/>
    <w:rsid w:val="00255263"/>
    <w:rsid w:val="00257BCF"/>
    <w:rsid w:val="00274311"/>
    <w:rsid w:val="002C4591"/>
    <w:rsid w:val="002D62CD"/>
    <w:rsid w:val="00300C79"/>
    <w:rsid w:val="00304BEE"/>
    <w:rsid w:val="00366C88"/>
    <w:rsid w:val="00381058"/>
    <w:rsid w:val="00393375"/>
    <w:rsid w:val="003955FB"/>
    <w:rsid w:val="003A43B0"/>
    <w:rsid w:val="003C34C0"/>
    <w:rsid w:val="003D2877"/>
    <w:rsid w:val="003E3208"/>
    <w:rsid w:val="003F09B2"/>
    <w:rsid w:val="003F6F84"/>
    <w:rsid w:val="00403B8A"/>
    <w:rsid w:val="00407CA1"/>
    <w:rsid w:val="00432885"/>
    <w:rsid w:val="00440A6A"/>
    <w:rsid w:val="00440B23"/>
    <w:rsid w:val="00445EC8"/>
    <w:rsid w:val="00454C5E"/>
    <w:rsid w:val="00457D31"/>
    <w:rsid w:val="00460C9D"/>
    <w:rsid w:val="004634B6"/>
    <w:rsid w:val="00495B1B"/>
    <w:rsid w:val="00497922"/>
    <w:rsid w:val="004A7A73"/>
    <w:rsid w:val="004B3344"/>
    <w:rsid w:val="004C179D"/>
    <w:rsid w:val="004C52C1"/>
    <w:rsid w:val="004E7C26"/>
    <w:rsid w:val="004F2EEF"/>
    <w:rsid w:val="00536266"/>
    <w:rsid w:val="00546985"/>
    <w:rsid w:val="00566690"/>
    <w:rsid w:val="0057079B"/>
    <w:rsid w:val="005A59CA"/>
    <w:rsid w:val="005B1809"/>
    <w:rsid w:val="005E2F20"/>
    <w:rsid w:val="0060600E"/>
    <w:rsid w:val="00617E36"/>
    <w:rsid w:val="00634E36"/>
    <w:rsid w:val="006415E0"/>
    <w:rsid w:val="0066795C"/>
    <w:rsid w:val="006B7F45"/>
    <w:rsid w:val="006E18B9"/>
    <w:rsid w:val="006E71FB"/>
    <w:rsid w:val="006F555F"/>
    <w:rsid w:val="00754921"/>
    <w:rsid w:val="00762BF5"/>
    <w:rsid w:val="007768F7"/>
    <w:rsid w:val="0079053D"/>
    <w:rsid w:val="007E7300"/>
    <w:rsid w:val="007F068B"/>
    <w:rsid w:val="007F18D2"/>
    <w:rsid w:val="0082011A"/>
    <w:rsid w:val="00823743"/>
    <w:rsid w:val="00857042"/>
    <w:rsid w:val="00884891"/>
    <w:rsid w:val="00892843"/>
    <w:rsid w:val="008B2763"/>
    <w:rsid w:val="008E212A"/>
    <w:rsid w:val="008E3DA9"/>
    <w:rsid w:val="00900A65"/>
    <w:rsid w:val="00906FD0"/>
    <w:rsid w:val="009219C5"/>
    <w:rsid w:val="0094373E"/>
    <w:rsid w:val="009A181D"/>
    <w:rsid w:val="009C4943"/>
    <w:rsid w:val="009C6FCC"/>
    <w:rsid w:val="009D1F93"/>
    <w:rsid w:val="009F2340"/>
    <w:rsid w:val="00A060DC"/>
    <w:rsid w:val="00A176E2"/>
    <w:rsid w:val="00A26884"/>
    <w:rsid w:val="00A41B5D"/>
    <w:rsid w:val="00AA524C"/>
    <w:rsid w:val="00AD1EF6"/>
    <w:rsid w:val="00AD219B"/>
    <w:rsid w:val="00AD376B"/>
    <w:rsid w:val="00AE66DE"/>
    <w:rsid w:val="00AF31E5"/>
    <w:rsid w:val="00B0741B"/>
    <w:rsid w:val="00B617E7"/>
    <w:rsid w:val="00B65E3C"/>
    <w:rsid w:val="00B70AA0"/>
    <w:rsid w:val="00B7417B"/>
    <w:rsid w:val="00B80334"/>
    <w:rsid w:val="00BB76E7"/>
    <w:rsid w:val="00BE2541"/>
    <w:rsid w:val="00C50189"/>
    <w:rsid w:val="00C8525E"/>
    <w:rsid w:val="00C906F8"/>
    <w:rsid w:val="00C97DDD"/>
    <w:rsid w:val="00CB12FB"/>
    <w:rsid w:val="00CD144D"/>
    <w:rsid w:val="00D102FD"/>
    <w:rsid w:val="00D27C69"/>
    <w:rsid w:val="00D3127D"/>
    <w:rsid w:val="00D53367"/>
    <w:rsid w:val="00D65FC5"/>
    <w:rsid w:val="00E25EB5"/>
    <w:rsid w:val="00E51307"/>
    <w:rsid w:val="00E70720"/>
    <w:rsid w:val="00E96CE3"/>
    <w:rsid w:val="00EA1685"/>
    <w:rsid w:val="00ED64FD"/>
    <w:rsid w:val="00EE7F80"/>
    <w:rsid w:val="00F10B56"/>
    <w:rsid w:val="00F266A5"/>
    <w:rsid w:val="00F5262D"/>
    <w:rsid w:val="00F74B24"/>
    <w:rsid w:val="00F90FF4"/>
    <w:rsid w:val="00F97483"/>
    <w:rsid w:val="00FA4913"/>
    <w:rsid w:val="00FA55F5"/>
    <w:rsid w:val="00FA7C1F"/>
    <w:rsid w:val="019C33AD"/>
    <w:rsid w:val="01DB467A"/>
    <w:rsid w:val="02D3E554"/>
    <w:rsid w:val="03EA68D7"/>
    <w:rsid w:val="040F504A"/>
    <w:rsid w:val="04779EDA"/>
    <w:rsid w:val="04A14C78"/>
    <w:rsid w:val="0518A3EA"/>
    <w:rsid w:val="057B2EAB"/>
    <w:rsid w:val="05FAE358"/>
    <w:rsid w:val="070EBC4E"/>
    <w:rsid w:val="08EACBEE"/>
    <w:rsid w:val="099D155F"/>
    <w:rsid w:val="0A21522F"/>
    <w:rsid w:val="0A2A75BA"/>
    <w:rsid w:val="0AA470E1"/>
    <w:rsid w:val="0B38062A"/>
    <w:rsid w:val="0CFB776A"/>
    <w:rsid w:val="0DCC577A"/>
    <w:rsid w:val="0DE549A4"/>
    <w:rsid w:val="0DF20D6A"/>
    <w:rsid w:val="0F4A5CD1"/>
    <w:rsid w:val="0F4BD08D"/>
    <w:rsid w:val="0F9AB202"/>
    <w:rsid w:val="0FA1974F"/>
    <w:rsid w:val="10424C90"/>
    <w:rsid w:val="109F8BEC"/>
    <w:rsid w:val="10A54FC5"/>
    <w:rsid w:val="117A97CD"/>
    <w:rsid w:val="119DB9C8"/>
    <w:rsid w:val="11B36C9D"/>
    <w:rsid w:val="11BDDFC1"/>
    <w:rsid w:val="1234158F"/>
    <w:rsid w:val="13E18926"/>
    <w:rsid w:val="13F8976F"/>
    <w:rsid w:val="14F05CF7"/>
    <w:rsid w:val="1609A5E1"/>
    <w:rsid w:val="16206C73"/>
    <w:rsid w:val="168A722A"/>
    <w:rsid w:val="16FC059E"/>
    <w:rsid w:val="1718BD87"/>
    <w:rsid w:val="1739EC3E"/>
    <w:rsid w:val="17E3EEAF"/>
    <w:rsid w:val="18172013"/>
    <w:rsid w:val="1866F352"/>
    <w:rsid w:val="1883CEAC"/>
    <w:rsid w:val="18C20A14"/>
    <w:rsid w:val="19783DFE"/>
    <w:rsid w:val="1A0D9519"/>
    <w:rsid w:val="1BACDD85"/>
    <w:rsid w:val="1BCD03F1"/>
    <w:rsid w:val="1D19F633"/>
    <w:rsid w:val="1EA81E6B"/>
    <w:rsid w:val="2093E909"/>
    <w:rsid w:val="2105FCBA"/>
    <w:rsid w:val="2287E2C8"/>
    <w:rsid w:val="22BA3015"/>
    <w:rsid w:val="23738D6E"/>
    <w:rsid w:val="24618E10"/>
    <w:rsid w:val="252DEAB6"/>
    <w:rsid w:val="2566C4FC"/>
    <w:rsid w:val="256D8246"/>
    <w:rsid w:val="25A4A705"/>
    <w:rsid w:val="278034A7"/>
    <w:rsid w:val="28AE23E3"/>
    <w:rsid w:val="291068B9"/>
    <w:rsid w:val="2961F074"/>
    <w:rsid w:val="29B84387"/>
    <w:rsid w:val="2A69B658"/>
    <w:rsid w:val="2A9E8415"/>
    <w:rsid w:val="2B9C2495"/>
    <w:rsid w:val="2BBCC05B"/>
    <w:rsid w:val="2DD5FB8F"/>
    <w:rsid w:val="2F3D3ECD"/>
    <w:rsid w:val="2FAB91EA"/>
    <w:rsid w:val="30212D36"/>
    <w:rsid w:val="30632CD0"/>
    <w:rsid w:val="30769948"/>
    <w:rsid w:val="30EDA840"/>
    <w:rsid w:val="339C7143"/>
    <w:rsid w:val="37168CC6"/>
    <w:rsid w:val="37451062"/>
    <w:rsid w:val="37778B7A"/>
    <w:rsid w:val="3848188A"/>
    <w:rsid w:val="385F04C9"/>
    <w:rsid w:val="3928D35A"/>
    <w:rsid w:val="3987A7B6"/>
    <w:rsid w:val="399481E9"/>
    <w:rsid w:val="3ADBA71B"/>
    <w:rsid w:val="3B013759"/>
    <w:rsid w:val="3B57EFE0"/>
    <w:rsid w:val="3B8FF56F"/>
    <w:rsid w:val="3BA40764"/>
    <w:rsid w:val="3BC2009E"/>
    <w:rsid w:val="3CF29C92"/>
    <w:rsid w:val="3D1680DC"/>
    <w:rsid w:val="3D34247F"/>
    <w:rsid w:val="3D398C78"/>
    <w:rsid w:val="3D5FCD04"/>
    <w:rsid w:val="3DC3258A"/>
    <w:rsid w:val="3DE84BCE"/>
    <w:rsid w:val="3E89F882"/>
    <w:rsid w:val="40A9A6F2"/>
    <w:rsid w:val="4136334D"/>
    <w:rsid w:val="414B5AD3"/>
    <w:rsid w:val="41EB8AB4"/>
    <w:rsid w:val="41F71EFE"/>
    <w:rsid w:val="41FA0F9E"/>
    <w:rsid w:val="42252B51"/>
    <w:rsid w:val="42CAF9D5"/>
    <w:rsid w:val="4312B9E4"/>
    <w:rsid w:val="43703E98"/>
    <w:rsid w:val="43772686"/>
    <w:rsid w:val="451BAD50"/>
    <w:rsid w:val="453BFE37"/>
    <w:rsid w:val="4563A458"/>
    <w:rsid w:val="4573FA8B"/>
    <w:rsid w:val="45E76B02"/>
    <w:rsid w:val="460FB5D7"/>
    <w:rsid w:val="464C74BD"/>
    <w:rsid w:val="477BDC29"/>
    <w:rsid w:val="48A2F789"/>
    <w:rsid w:val="49B1F520"/>
    <w:rsid w:val="4A7295DC"/>
    <w:rsid w:val="4CDA2A99"/>
    <w:rsid w:val="4E738983"/>
    <w:rsid w:val="4EE224DB"/>
    <w:rsid w:val="508A533E"/>
    <w:rsid w:val="50C459F9"/>
    <w:rsid w:val="50C7BEA5"/>
    <w:rsid w:val="521B38BA"/>
    <w:rsid w:val="5310CFF2"/>
    <w:rsid w:val="53C8FE07"/>
    <w:rsid w:val="54E98E8F"/>
    <w:rsid w:val="54F9668E"/>
    <w:rsid w:val="551F798B"/>
    <w:rsid w:val="55C97864"/>
    <w:rsid w:val="55E599DA"/>
    <w:rsid w:val="562F6CE9"/>
    <w:rsid w:val="56BB14B2"/>
    <w:rsid w:val="56D4C3D9"/>
    <w:rsid w:val="583E53C2"/>
    <w:rsid w:val="5842D438"/>
    <w:rsid w:val="5849AA6A"/>
    <w:rsid w:val="586DF00C"/>
    <w:rsid w:val="5897F02B"/>
    <w:rsid w:val="593BB3C9"/>
    <w:rsid w:val="595700E7"/>
    <w:rsid w:val="5A8B22E1"/>
    <w:rsid w:val="5B1F3B06"/>
    <w:rsid w:val="5BDB01B9"/>
    <w:rsid w:val="5C80E24E"/>
    <w:rsid w:val="5C9BC1C4"/>
    <w:rsid w:val="5CDE2E6F"/>
    <w:rsid w:val="5E0280FA"/>
    <w:rsid w:val="5E0DDE9F"/>
    <w:rsid w:val="5F03452A"/>
    <w:rsid w:val="5F8E5A39"/>
    <w:rsid w:val="5FF02846"/>
    <w:rsid w:val="60F1EE08"/>
    <w:rsid w:val="61C4203D"/>
    <w:rsid w:val="61C70856"/>
    <w:rsid w:val="61DE170A"/>
    <w:rsid w:val="61E5C55F"/>
    <w:rsid w:val="6219D05B"/>
    <w:rsid w:val="6221AE41"/>
    <w:rsid w:val="63742FE3"/>
    <w:rsid w:val="63AB4F4E"/>
    <w:rsid w:val="63FA3F7E"/>
    <w:rsid w:val="642C9188"/>
    <w:rsid w:val="65918161"/>
    <w:rsid w:val="6698E338"/>
    <w:rsid w:val="669FD41C"/>
    <w:rsid w:val="670ABE65"/>
    <w:rsid w:val="677F890D"/>
    <w:rsid w:val="689D6165"/>
    <w:rsid w:val="6988D370"/>
    <w:rsid w:val="6B98CB85"/>
    <w:rsid w:val="6C5230BE"/>
    <w:rsid w:val="6CB63CB1"/>
    <w:rsid w:val="6D04840B"/>
    <w:rsid w:val="6D23E8A5"/>
    <w:rsid w:val="6D5C6335"/>
    <w:rsid w:val="6DAEC82E"/>
    <w:rsid w:val="6E129A8C"/>
    <w:rsid w:val="6ED47D77"/>
    <w:rsid w:val="6EF1EAF8"/>
    <w:rsid w:val="6F5A3313"/>
    <w:rsid w:val="72F8A394"/>
    <w:rsid w:val="736175D7"/>
    <w:rsid w:val="7461FB58"/>
    <w:rsid w:val="748837A3"/>
    <w:rsid w:val="74B670EC"/>
    <w:rsid w:val="751991F8"/>
    <w:rsid w:val="76B5C2BD"/>
    <w:rsid w:val="78230773"/>
    <w:rsid w:val="784F8117"/>
    <w:rsid w:val="7927AB2C"/>
    <w:rsid w:val="7992A201"/>
    <w:rsid w:val="79A746F1"/>
    <w:rsid w:val="7A3F9FFE"/>
    <w:rsid w:val="7B28DA77"/>
    <w:rsid w:val="7B81F0BA"/>
    <w:rsid w:val="7CB945EE"/>
    <w:rsid w:val="7D16F93D"/>
    <w:rsid w:val="7D4AE136"/>
    <w:rsid w:val="7EE19929"/>
    <w:rsid w:val="7F88CA63"/>
    <w:rsid w:val="7F97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A0786"/>
  <w15:docId w15:val="{58EEE367-696A-4612-A3DD-A53F3A49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1576C"/>
    <w:rPr>
      <w:rFonts w:ascii="Times New Roman" w:hAnsi="Times New Roman" w:cs="Times New Roman"/>
      <w:sz w:val="24"/>
      <w:szCs w:val="24"/>
    </w:rPr>
  </w:style>
  <w:style w:type="paragraph" w:customStyle="1" w:styleId="00Body">
    <w:name w:val="00 Body"/>
    <w:basedOn w:val="Normal"/>
    <w:link w:val="00BodyChar"/>
    <w:qFormat/>
    <w:rsid w:val="007F18D2"/>
    <w:pPr>
      <w:spacing w:before="180" w:after="180" w:line="264" w:lineRule="auto"/>
    </w:pPr>
    <w:rPr>
      <w:rFonts w:ascii="Arial (Body)" w:eastAsia="Times New Roman" w:hAnsi="Arial (Body)" w:cs="Times New Roman"/>
      <w:szCs w:val="20"/>
      <w:lang w:val="en-US" w:eastAsia="es-ES"/>
    </w:rPr>
  </w:style>
  <w:style w:type="character" w:customStyle="1" w:styleId="00BodyChar">
    <w:name w:val="00 Body Char"/>
    <w:basedOn w:val="Tipodeletrapredefinidodopargrafo"/>
    <w:link w:val="00Body"/>
    <w:rsid w:val="007F18D2"/>
    <w:rPr>
      <w:rFonts w:ascii="Arial (Body)" w:eastAsia="Times New Roman" w:hAnsi="Arial (Body)" w:cs="Times New Roman"/>
      <w:szCs w:val="20"/>
      <w:lang w:val="en-US" w:eastAsia="es-ES"/>
    </w:rPr>
  </w:style>
  <w:style w:type="character" w:styleId="Hiperligao">
    <w:name w:val="Hyperlink"/>
    <w:basedOn w:val="Tipodeletrapredefinidodopargrafo"/>
    <w:uiPriority w:val="99"/>
    <w:unhideWhenUsed/>
    <w:rsid w:val="003C34C0"/>
    <w:rPr>
      <w:color w:val="244061" w:themeColor="accent1" w:themeShade="80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7417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AD219B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57BCF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7BCF"/>
  </w:style>
  <w:style w:type="paragraph" w:styleId="Rodap">
    <w:name w:val="footer"/>
    <w:basedOn w:val="Normal"/>
    <w:link w:val="RodapCarter"/>
    <w:uiPriority w:val="99"/>
    <w:unhideWhenUsed/>
    <w:rsid w:val="00257BCF"/>
    <w:pPr>
      <w:tabs>
        <w:tab w:val="center" w:pos="4419"/>
        <w:tab w:val="right" w:pos="8838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7BCF"/>
  </w:style>
  <w:style w:type="paragraph" w:styleId="Reviso">
    <w:name w:val="Revision"/>
    <w:hidden/>
    <w:uiPriority w:val="99"/>
    <w:semiHidden/>
    <w:rsid w:val="007768F7"/>
    <w:pPr>
      <w:spacing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EA168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A168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A168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A168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A1685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617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ckinsey.com/capabilities/quantumblack/our-insights/the-state-of-ai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ckinsey.com/capabilities/quantumblack/our-insights/the-state-of-ai" TargetMode="External"/><Relationship Id="rId12" Type="http://schemas.openxmlformats.org/officeDocument/2006/relationships/hyperlink" Target="mailto:luis_lima@mckinsey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riana.vieira@lift.com.p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atarina.frazao@lift.com.p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atarina.brito@lift.com.pt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1295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Frazão</dc:creator>
  <cp:lastModifiedBy>Adriana Vieira</cp:lastModifiedBy>
  <cp:revision>3</cp:revision>
  <dcterms:created xsi:type="dcterms:W3CDTF">2025-12-10T11:57:00Z</dcterms:created>
  <dcterms:modified xsi:type="dcterms:W3CDTF">2025-12-16T09:32:00Z</dcterms:modified>
</cp:coreProperties>
</file>