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02595" w14:textId="4A4A8745" w:rsidR="00E1319F" w:rsidRPr="00B85340" w:rsidRDefault="00E1319F" w:rsidP="00E1319F">
      <w:pPr>
        <w:jc w:val="right"/>
        <w:rPr>
          <w:rFonts w:ascii="Calibri" w:hAnsi="Calibri" w:cs="Calibri"/>
          <w:i/>
          <w:iCs/>
          <w:sz w:val="16"/>
          <w:szCs w:val="16"/>
        </w:rPr>
      </w:pPr>
      <w:r w:rsidRPr="00B85340">
        <w:rPr>
          <w:rFonts w:ascii="Calibri" w:hAnsi="Calibri" w:cs="Calibri"/>
          <w:i/>
          <w:iCs/>
          <w:sz w:val="16"/>
          <w:szCs w:val="16"/>
        </w:rPr>
        <w:t xml:space="preserve">Warszawa, </w:t>
      </w:r>
      <w:r w:rsidR="00DD1377">
        <w:rPr>
          <w:rFonts w:ascii="Calibri" w:hAnsi="Calibri" w:cs="Calibri"/>
          <w:i/>
          <w:iCs/>
          <w:sz w:val="16"/>
          <w:szCs w:val="16"/>
        </w:rPr>
        <w:t>16</w:t>
      </w:r>
      <w:r w:rsidR="002223FE">
        <w:rPr>
          <w:rFonts w:ascii="Calibri" w:hAnsi="Calibri" w:cs="Calibri"/>
          <w:i/>
          <w:iCs/>
          <w:sz w:val="16"/>
          <w:szCs w:val="16"/>
        </w:rPr>
        <w:t>.12</w:t>
      </w:r>
      <w:r w:rsidRPr="00B85340">
        <w:rPr>
          <w:rFonts w:ascii="Calibri" w:hAnsi="Calibri" w:cs="Calibri"/>
          <w:i/>
          <w:iCs/>
          <w:sz w:val="16"/>
          <w:szCs w:val="16"/>
        </w:rPr>
        <w:t>.202</w:t>
      </w:r>
      <w:r>
        <w:rPr>
          <w:rFonts w:ascii="Calibri" w:hAnsi="Calibri" w:cs="Calibri"/>
          <w:i/>
          <w:iCs/>
          <w:sz w:val="16"/>
          <w:szCs w:val="16"/>
        </w:rPr>
        <w:t>5</w:t>
      </w:r>
      <w:r w:rsidRPr="00B85340">
        <w:rPr>
          <w:rFonts w:ascii="Calibri" w:hAnsi="Calibri" w:cs="Calibri"/>
          <w:i/>
          <w:iCs/>
          <w:sz w:val="16"/>
          <w:szCs w:val="16"/>
        </w:rPr>
        <w:t xml:space="preserve"> r.</w:t>
      </w:r>
    </w:p>
    <w:p w14:paraId="75747807" w14:textId="4E744D6B" w:rsidR="00E20461" w:rsidRPr="00E20461" w:rsidRDefault="00E1319F" w:rsidP="00E20461">
      <w:pPr>
        <w:rPr>
          <w:rFonts w:ascii="Calibri" w:hAnsi="Calibri" w:cs="Calibri"/>
          <w:b/>
          <w:bCs/>
          <w:sz w:val="28"/>
          <w:szCs w:val="28"/>
        </w:rPr>
      </w:pPr>
      <w:r w:rsidRPr="00B85340">
        <w:rPr>
          <w:rFonts w:ascii="Calibri" w:hAnsi="Calibri" w:cs="Calibri"/>
          <w:b/>
          <w:bCs/>
          <w:sz w:val="28"/>
          <w:szCs w:val="28"/>
        </w:rPr>
        <w:t>INFORMACJA PRASOWA</w:t>
      </w:r>
    </w:p>
    <w:p w14:paraId="4FC506F7" w14:textId="72EF6800" w:rsidR="00D56DD0" w:rsidRPr="00D56DD0" w:rsidRDefault="00D56DD0" w:rsidP="00D56DD0">
      <w:pPr>
        <w:jc w:val="center"/>
        <w:rPr>
          <w:b/>
          <w:bCs/>
          <w:sz w:val="28"/>
          <w:szCs w:val="28"/>
        </w:rPr>
      </w:pPr>
      <w:r w:rsidRPr="00D56DD0">
        <w:rPr>
          <w:b/>
          <w:bCs/>
          <w:sz w:val="28"/>
          <w:szCs w:val="28"/>
        </w:rPr>
        <w:t xml:space="preserve">1/3 </w:t>
      </w:r>
      <w:proofErr w:type="spellStart"/>
      <w:r w:rsidRPr="00D56DD0">
        <w:rPr>
          <w:b/>
          <w:bCs/>
          <w:sz w:val="28"/>
          <w:szCs w:val="28"/>
        </w:rPr>
        <w:t>retailerów</w:t>
      </w:r>
      <w:proofErr w:type="spellEnd"/>
      <w:r w:rsidRPr="00D56DD0">
        <w:rPr>
          <w:b/>
          <w:bCs/>
          <w:sz w:val="28"/>
          <w:szCs w:val="28"/>
        </w:rPr>
        <w:t xml:space="preserve"> skarży się na chaos legislacyjny – czy to zatrzyma sektor?</w:t>
      </w:r>
    </w:p>
    <w:p w14:paraId="4F82F927" w14:textId="6E5EA9E9" w:rsidR="00FF25E2" w:rsidRDefault="00FF25E2" w:rsidP="0080322D">
      <w:pPr>
        <w:jc w:val="both"/>
        <w:rPr>
          <w:b/>
          <w:bCs/>
          <w:sz w:val="22"/>
          <w:szCs w:val="22"/>
        </w:rPr>
      </w:pPr>
      <w:r w:rsidRPr="00FF25E2">
        <w:rPr>
          <w:b/>
          <w:bCs/>
          <w:sz w:val="22"/>
          <w:szCs w:val="22"/>
        </w:rPr>
        <w:t xml:space="preserve">Grudzień to jeden z okresów największego obciążenia dla handlu – sklepy przygotowują się na świąteczny szczyt sprzedaży, a konsumenci oczekują szybkiej obsługi, dostępności towarów i spersonalizowanych ofert. Choć firmy powinny intensywnie inwestować w technologie, mierzą się z licznymi barierami. Jak pokazuje raport </w:t>
      </w:r>
      <w:proofErr w:type="spellStart"/>
      <w:r w:rsidRPr="00FF25E2">
        <w:rPr>
          <w:b/>
          <w:bCs/>
          <w:sz w:val="22"/>
          <w:szCs w:val="22"/>
        </w:rPr>
        <w:t>RetailTech</w:t>
      </w:r>
      <w:proofErr w:type="spellEnd"/>
      <w:r w:rsidRPr="00FF25E2">
        <w:rPr>
          <w:b/>
          <w:bCs/>
          <w:sz w:val="22"/>
          <w:szCs w:val="22"/>
        </w:rPr>
        <w:t xml:space="preserve"> 2025, przygotowany przez </w:t>
      </w:r>
      <w:proofErr w:type="spellStart"/>
      <w:r w:rsidRPr="00FF25E2">
        <w:rPr>
          <w:b/>
          <w:bCs/>
          <w:sz w:val="22"/>
          <w:szCs w:val="22"/>
        </w:rPr>
        <w:t>Exorigo-Upos</w:t>
      </w:r>
      <w:proofErr w:type="spellEnd"/>
      <w:r w:rsidRPr="00FF25E2">
        <w:rPr>
          <w:b/>
          <w:bCs/>
          <w:sz w:val="22"/>
          <w:szCs w:val="22"/>
        </w:rPr>
        <w:t xml:space="preserve">, przed branżą paradoksalna sytuacja. Z jednej strony ponad ¾ przedsiębiorstw planuje utrzymać lub zwiększyć nakłady na IT, z drugiej – ograniczenia budżetowe, brak zewnętrznego finansowania czy chaos prawny hamują wdrożenia nowoczesnych rozwiązań. </w:t>
      </w:r>
    </w:p>
    <w:p w14:paraId="5ACDF834" w14:textId="77777777" w:rsidR="00FF25E2" w:rsidRPr="00FF25E2" w:rsidRDefault="00FF25E2" w:rsidP="00FF25E2">
      <w:pPr>
        <w:jc w:val="both"/>
        <w:rPr>
          <w:sz w:val="22"/>
          <w:szCs w:val="22"/>
        </w:rPr>
      </w:pPr>
      <w:r w:rsidRPr="00FF25E2">
        <w:rPr>
          <w:sz w:val="22"/>
          <w:szCs w:val="22"/>
        </w:rPr>
        <w:t xml:space="preserve">Największym wyzwaniem dla przedsiębiorców pozostają </w:t>
      </w:r>
      <w:r w:rsidRPr="00FF25E2">
        <w:rPr>
          <w:b/>
          <w:sz w:val="22"/>
          <w:szCs w:val="22"/>
        </w:rPr>
        <w:t>wysokie koszty technologii</w:t>
      </w:r>
      <w:r w:rsidRPr="00FF25E2">
        <w:rPr>
          <w:sz w:val="22"/>
          <w:szCs w:val="22"/>
        </w:rPr>
        <w:t xml:space="preserve"> oraz </w:t>
      </w:r>
      <w:r w:rsidRPr="00FF25E2">
        <w:rPr>
          <w:b/>
          <w:sz w:val="22"/>
          <w:szCs w:val="22"/>
        </w:rPr>
        <w:t>brak elastycznych form finansowania</w:t>
      </w:r>
      <w:r w:rsidRPr="00FF25E2">
        <w:rPr>
          <w:sz w:val="22"/>
          <w:szCs w:val="22"/>
        </w:rPr>
        <w:t xml:space="preserve"> – wskazuje na nie aż </w:t>
      </w:r>
      <w:r w:rsidRPr="00FF25E2">
        <w:rPr>
          <w:b/>
          <w:sz w:val="22"/>
          <w:szCs w:val="22"/>
        </w:rPr>
        <w:t>40 proc. firm</w:t>
      </w:r>
      <w:r w:rsidRPr="00FF25E2">
        <w:rPr>
          <w:sz w:val="22"/>
          <w:szCs w:val="22"/>
        </w:rPr>
        <w:t xml:space="preserve">. Kolejne </w:t>
      </w:r>
      <w:r w:rsidRPr="00FF25E2">
        <w:rPr>
          <w:b/>
          <w:sz w:val="22"/>
          <w:szCs w:val="22"/>
        </w:rPr>
        <w:t>36 proc. przeszkodę widzi w niewystarczającej pomocy zewnętrznej w postaci dotacji, grantów, czy funduszy unijnych</w:t>
      </w:r>
      <w:r w:rsidRPr="00FF25E2">
        <w:rPr>
          <w:sz w:val="22"/>
          <w:szCs w:val="22"/>
        </w:rPr>
        <w:t>. W połączeniu z rosnącymi kosztami prowadzenia działalności – w tym pracy, energii i logistyki – sprawia to, że wiele organizacji musi wybierać między inwestycją w rozwój a utrzymaniem bieżącej płynności. Mimo świadomości, że automatyzacja, chmura i sztuczna inteligencja realnie podnoszą odporność operacyjną i konkurencyjność, część firm odkłada decyzje inwestycyjne, traktując je jako zbyt obciążające finansowo w obecnych warunkach.</w:t>
      </w:r>
    </w:p>
    <w:p w14:paraId="2AB7C31A" w14:textId="77777777" w:rsidR="00FF25E2" w:rsidRPr="00FF25E2" w:rsidRDefault="00FF25E2" w:rsidP="00FF25E2">
      <w:pPr>
        <w:jc w:val="both"/>
        <w:rPr>
          <w:b/>
          <w:bCs/>
          <w:sz w:val="22"/>
          <w:szCs w:val="22"/>
        </w:rPr>
      </w:pPr>
      <w:r w:rsidRPr="00FF25E2">
        <w:rPr>
          <w:b/>
          <w:bCs/>
          <w:sz w:val="22"/>
          <w:szCs w:val="22"/>
        </w:rPr>
        <w:t xml:space="preserve">Chaos prawny hamuje inwestycje </w:t>
      </w:r>
    </w:p>
    <w:p w14:paraId="66C4789C" w14:textId="77777777" w:rsidR="00FF25E2" w:rsidRPr="00FF25E2" w:rsidRDefault="00FF25E2" w:rsidP="00FF25E2">
      <w:pPr>
        <w:jc w:val="both"/>
        <w:rPr>
          <w:sz w:val="22"/>
          <w:szCs w:val="22"/>
        </w:rPr>
      </w:pPr>
      <w:r w:rsidRPr="00FF25E2">
        <w:rPr>
          <w:sz w:val="22"/>
          <w:szCs w:val="22"/>
        </w:rPr>
        <w:t xml:space="preserve">Kolejnym czynnikiem wpływającym na decyzje budżetowe jest </w:t>
      </w:r>
      <w:r w:rsidRPr="00FF25E2">
        <w:rPr>
          <w:b/>
          <w:sz w:val="22"/>
          <w:szCs w:val="22"/>
        </w:rPr>
        <w:t>niestabilne otoczenie regulacyjne</w:t>
      </w:r>
      <w:r w:rsidRPr="00FF25E2">
        <w:rPr>
          <w:sz w:val="22"/>
          <w:szCs w:val="22"/>
        </w:rPr>
        <w:t xml:space="preserve">. Aż </w:t>
      </w:r>
      <w:r w:rsidRPr="00FF25E2">
        <w:rPr>
          <w:b/>
          <w:sz w:val="22"/>
          <w:szCs w:val="22"/>
        </w:rPr>
        <w:t>31 proc. badanych firm wskazuje chaos prawny i częste zmiany przepisów jako jedną z kluczowych barier rozwojowych</w:t>
      </w:r>
      <w:r w:rsidRPr="00FF25E2">
        <w:rPr>
          <w:sz w:val="22"/>
          <w:szCs w:val="22"/>
        </w:rPr>
        <w:t xml:space="preserve">. W mijającym roku przedsiębiorcy musieli równocześnie przygotowywać się do przesuniętego </w:t>
      </w:r>
      <w:proofErr w:type="spellStart"/>
      <w:r w:rsidRPr="00FF25E2">
        <w:rPr>
          <w:sz w:val="22"/>
          <w:szCs w:val="22"/>
        </w:rPr>
        <w:t>KSeF</w:t>
      </w:r>
      <w:proofErr w:type="spellEnd"/>
      <w:r w:rsidRPr="00FF25E2">
        <w:rPr>
          <w:sz w:val="22"/>
          <w:szCs w:val="22"/>
        </w:rPr>
        <w:t xml:space="preserve">, dostosowywać do nowych przepisów dotyczących </w:t>
      </w:r>
      <w:proofErr w:type="spellStart"/>
      <w:r w:rsidRPr="00FF25E2">
        <w:rPr>
          <w:sz w:val="22"/>
          <w:szCs w:val="22"/>
        </w:rPr>
        <w:t>cyberbezpieczeństwa</w:t>
      </w:r>
      <w:proofErr w:type="spellEnd"/>
      <w:r w:rsidRPr="00FF25E2">
        <w:rPr>
          <w:sz w:val="22"/>
          <w:szCs w:val="22"/>
        </w:rPr>
        <w:t xml:space="preserve"> i AI, uwzględniać kolejne etapy raportowania ESG, reagować na zmiany w systemie kaucyjnym czy wprowadzenie e-paragonów. Jednocześnie istotna podwyżka płacy minimalnej– obok energii i logistyki – najmocniej dociążyła budżety handlu.</w:t>
      </w:r>
    </w:p>
    <w:p w14:paraId="1A53F368" w14:textId="28C16308" w:rsidR="00FF25E2" w:rsidRPr="00FF25E2" w:rsidRDefault="00FF25E2" w:rsidP="00FF25E2">
      <w:pPr>
        <w:jc w:val="both"/>
        <w:rPr>
          <w:i/>
          <w:iCs/>
          <w:sz w:val="22"/>
          <w:szCs w:val="22"/>
        </w:rPr>
      </w:pPr>
      <w:r w:rsidRPr="00FF25E2">
        <w:rPr>
          <w:sz w:val="22"/>
          <w:szCs w:val="22"/>
        </w:rPr>
        <w:t xml:space="preserve">– </w:t>
      </w:r>
      <w:r w:rsidRPr="00FF25E2">
        <w:rPr>
          <w:i/>
          <w:iCs/>
          <w:sz w:val="22"/>
          <w:szCs w:val="22"/>
        </w:rPr>
        <w:t xml:space="preserve">W kontekście stałych zmian, niepewność prawna stała się wyjątkowo dotkliwa, a każda zmiana terminu kluczowego wdrożenia, takiego jak </w:t>
      </w:r>
      <w:proofErr w:type="spellStart"/>
      <w:r w:rsidRPr="00FF25E2">
        <w:rPr>
          <w:i/>
          <w:iCs/>
          <w:sz w:val="22"/>
          <w:szCs w:val="22"/>
        </w:rPr>
        <w:t>KSeF</w:t>
      </w:r>
      <w:proofErr w:type="spellEnd"/>
      <w:r w:rsidRPr="00FF25E2">
        <w:rPr>
          <w:i/>
          <w:iCs/>
          <w:sz w:val="22"/>
          <w:szCs w:val="22"/>
        </w:rPr>
        <w:t xml:space="preserve">, podważa zaufanie przedsiębiorców do </w:t>
      </w:r>
      <w:r w:rsidRPr="00FF25E2">
        <w:rPr>
          <w:i/>
          <w:sz w:val="22"/>
          <w:szCs w:val="22"/>
        </w:rPr>
        <w:t>stabilności</w:t>
      </w:r>
      <w:r w:rsidRPr="00FF25E2">
        <w:rPr>
          <w:i/>
          <w:iCs/>
          <w:sz w:val="22"/>
          <w:szCs w:val="22"/>
        </w:rPr>
        <w:t xml:space="preserve"> regulacji – </w:t>
      </w:r>
      <w:r w:rsidRPr="00FF25E2">
        <w:rPr>
          <w:sz w:val="22"/>
          <w:szCs w:val="22"/>
        </w:rPr>
        <w:t xml:space="preserve">mówi </w:t>
      </w:r>
      <w:r w:rsidR="00236A9C" w:rsidRPr="00236A9C">
        <w:rPr>
          <w:b/>
          <w:bCs/>
          <w:sz w:val="22"/>
          <w:szCs w:val="22"/>
        </w:rPr>
        <w:t>Grzegorz Rogaliński</w:t>
      </w:r>
      <w:r w:rsidR="00236A9C" w:rsidRPr="00236A9C">
        <w:rPr>
          <w:sz w:val="22"/>
          <w:szCs w:val="22"/>
        </w:rPr>
        <w:t xml:space="preserve">, CEO </w:t>
      </w:r>
      <w:proofErr w:type="spellStart"/>
      <w:r w:rsidR="00236A9C" w:rsidRPr="00236A9C">
        <w:rPr>
          <w:sz w:val="22"/>
          <w:szCs w:val="22"/>
        </w:rPr>
        <w:t>Exorigo-Upos</w:t>
      </w:r>
      <w:proofErr w:type="spellEnd"/>
      <w:r w:rsidRPr="00FF25E2">
        <w:rPr>
          <w:sz w:val="22"/>
          <w:szCs w:val="22"/>
        </w:rPr>
        <w:t xml:space="preserve">. – </w:t>
      </w:r>
      <w:r w:rsidRPr="00FF25E2">
        <w:rPr>
          <w:i/>
          <w:iCs/>
          <w:sz w:val="22"/>
          <w:szCs w:val="22"/>
        </w:rPr>
        <w:t xml:space="preserve">Ten brak </w:t>
      </w:r>
      <w:r w:rsidRPr="00FF25E2">
        <w:rPr>
          <w:i/>
          <w:sz w:val="22"/>
          <w:szCs w:val="22"/>
        </w:rPr>
        <w:t>stałości</w:t>
      </w:r>
      <w:r w:rsidRPr="00FF25E2">
        <w:rPr>
          <w:i/>
          <w:iCs/>
          <w:sz w:val="22"/>
          <w:szCs w:val="22"/>
        </w:rPr>
        <w:t xml:space="preserve"> przekłada się na ostrożność, która w czasach, gdy biznes powinien wykorzystywać potencjał i przyspieszać, staje się hamulcem strategicznych inwestycji. </w:t>
      </w:r>
    </w:p>
    <w:p w14:paraId="21ADA47D" w14:textId="77777777" w:rsidR="00FF25E2" w:rsidRPr="00FF25E2" w:rsidRDefault="00FF25E2" w:rsidP="00FF25E2">
      <w:pPr>
        <w:jc w:val="both"/>
        <w:rPr>
          <w:sz w:val="22"/>
          <w:szCs w:val="22"/>
        </w:rPr>
      </w:pPr>
      <w:r w:rsidRPr="00FF25E2">
        <w:rPr>
          <w:sz w:val="22"/>
          <w:szCs w:val="22"/>
        </w:rPr>
        <w:t xml:space="preserve">Trudnemu otoczeniu regulacyjnemu towarzyszą napięcia geopolityczne, które w ostatnich miesiącach ponownie znalazły się w centrum uwagi przedsiębiorców. Sytuacja za naszą wschodnią granicą pozostaje niestabilna, a obawy potęgują dodatkowo wzmożone ataki </w:t>
      </w:r>
      <w:proofErr w:type="spellStart"/>
      <w:r w:rsidRPr="00FF25E2">
        <w:rPr>
          <w:sz w:val="22"/>
          <w:szCs w:val="22"/>
        </w:rPr>
        <w:t>dronowe</w:t>
      </w:r>
      <w:proofErr w:type="spellEnd"/>
      <w:r w:rsidRPr="00FF25E2">
        <w:rPr>
          <w:sz w:val="22"/>
          <w:szCs w:val="22"/>
        </w:rPr>
        <w:t xml:space="preserve"> </w:t>
      </w:r>
      <w:r w:rsidRPr="00FF25E2">
        <w:rPr>
          <w:sz w:val="22"/>
          <w:szCs w:val="22"/>
        </w:rPr>
        <w:lastRenderedPageBreak/>
        <w:t xml:space="preserve">czy problemy na granicach i lotniskach. Handel, jako sektor oparty na sprawnych i przewidywalnych łańcuchach dostaw, szczególnie silnie odczuł wzrost niepewności. Ryzyko zakłóceń wymusiło budowanie większych zapasów bezpieczeństwa, modyfikacje tras transportowych, wzrost kosztów ubezpieczeń i większą presję. W konsekwencji konieczność tworzenia alternatywnych scenariuszy operacyjnych spowodowała, że firmy działały bardziej zachowawczo. Niestabilność geopolityczna nie jest już odległym czynnikiem makroekonomicznym, stała się elementem codziennego funkcjonowania branży. W tegorocznym raporcie aż </w:t>
      </w:r>
      <w:r w:rsidRPr="00FF25E2">
        <w:rPr>
          <w:b/>
          <w:sz w:val="22"/>
          <w:szCs w:val="22"/>
        </w:rPr>
        <w:t>25 proc. przedstawicieli handlu wskazuje ją jako czynnik ograniczający inwestycje</w:t>
      </w:r>
      <w:r w:rsidRPr="00FF25E2">
        <w:rPr>
          <w:sz w:val="22"/>
          <w:szCs w:val="22"/>
        </w:rPr>
        <w:t xml:space="preserve"> — i z każdy miesiącem odsetek ten może rosnąć.</w:t>
      </w:r>
    </w:p>
    <w:p w14:paraId="1D8C22BC" w14:textId="77777777" w:rsidR="00FF25E2" w:rsidRPr="00FF25E2" w:rsidRDefault="00FF25E2" w:rsidP="00FF25E2">
      <w:pPr>
        <w:jc w:val="both"/>
        <w:rPr>
          <w:b/>
          <w:bCs/>
          <w:sz w:val="22"/>
          <w:szCs w:val="22"/>
        </w:rPr>
      </w:pPr>
      <w:r w:rsidRPr="00FF25E2">
        <w:rPr>
          <w:b/>
          <w:bCs/>
          <w:sz w:val="22"/>
          <w:szCs w:val="22"/>
        </w:rPr>
        <w:t xml:space="preserve">W nowy rok z optymizmem </w:t>
      </w:r>
    </w:p>
    <w:p w14:paraId="241D392D" w14:textId="77777777" w:rsidR="00FF25E2" w:rsidRPr="00FF25E2" w:rsidRDefault="00FF25E2" w:rsidP="00FF25E2">
      <w:pPr>
        <w:jc w:val="both"/>
        <w:rPr>
          <w:sz w:val="22"/>
          <w:szCs w:val="22"/>
        </w:rPr>
      </w:pPr>
      <w:r w:rsidRPr="00FF25E2">
        <w:rPr>
          <w:sz w:val="22"/>
          <w:szCs w:val="22"/>
        </w:rPr>
        <w:t xml:space="preserve">Mimo tych wyzwań dane z raportu jasno pokazują, że handel nie zatrzymał się mentalnie w miejscu. Ponad </w:t>
      </w:r>
      <w:r w:rsidRPr="00FF25E2">
        <w:rPr>
          <w:b/>
          <w:sz w:val="22"/>
          <w:szCs w:val="22"/>
        </w:rPr>
        <w:t>¾ firm deklaruje, że w 2026 roku będzie kontynuować lub zwiększać inwestycje w IT</w:t>
      </w:r>
      <w:r w:rsidRPr="00FF25E2">
        <w:rPr>
          <w:sz w:val="22"/>
          <w:szCs w:val="22"/>
        </w:rPr>
        <w:t>. Oznacza to, że przedsiębiorcy nie rezygnują z cyfryzacji, lecz rozkładają ją na etapy i realizują ją ostrożniej. Na pierwszy plan wysuwają się projekty wzmacniające odporność operacyjną: rozbudowa chmury, integracja danych między kanałami, automatyzacja procesów sklepowych i magazynowych, a przede wszystkim inwestycje w bezpieczeństwo – zarówno danych, jak i systemów transakcyjnych. Tegoroczna dynamika pokazuje, że technologia nie jest traktowana już jako narzędzie rozwoju, lecz jako filar stabilności.</w:t>
      </w:r>
    </w:p>
    <w:p w14:paraId="102733A4" w14:textId="44572A2F" w:rsidR="00FF25E2" w:rsidRPr="00FF25E2" w:rsidRDefault="00FF25E2" w:rsidP="00FF25E2">
      <w:pPr>
        <w:jc w:val="both"/>
        <w:rPr>
          <w:sz w:val="22"/>
          <w:szCs w:val="22"/>
        </w:rPr>
      </w:pPr>
      <w:r w:rsidRPr="00FF25E2">
        <w:rPr>
          <w:sz w:val="22"/>
          <w:szCs w:val="22"/>
        </w:rPr>
        <w:t xml:space="preserve">– </w:t>
      </w:r>
      <w:r w:rsidRPr="00FF25E2">
        <w:rPr>
          <w:i/>
          <w:iCs/>
          <w:sz w:val="22"/>
          <w:szCs w:val="22"/>
        </w:rPr>
        <w:t xml:space="preserve">Końcówka 2025 roku unaoczniła, że technologia jest dziś strategiczną warstwą </w:t>
      </w:r>
      <w:r w:rsidRPr="00FF25E2">
        <w:rPr>
          <w:i/>
          <w:sz w:val="22"/>
          <w:szCs w:val="22"/>
        </w:rPr>
        <w:t>odporności</w:t>
      </w:r>
      <w:r w:rsidRPr="00FF25E2">
        <w:rPr>
          <w:i/>
          <w:iCs/>
          <w:sz w:val="22"/>
          <w:szCs w:val="22"/>
        </w:rPr>
        <w:t xml:space="preserve"> operacyjnej. Mimo niestabilnego otoczenia i konieczności bieżącego reagowania na zmieniające się warunki, rosły oczekiwania konsumentów. W takiej rzeczywistości firmy, które potrafią inwestować w chmurę, automatyzację i integrację danych, będą bardziej elastyczne i szybciej poradzą sobie z wyzwaniami, jakie przyniesie 2026 rok. Widzimy wyraźnie, że przewagi konkurencyjne przesuwają się z poziomu marży i skali na poziom technologicznej dojrzałości</w:t>
      </w:r>
      <w:r w:rsidRPr="00FF25E2">
        <w:rPr>
          <w:sz w:val="22"/>
          <w:szCs w:val="22"/>
        </w:rPr>
        <w:t xml:space="preserve">– mówi </w:t>
      </w:r>
      <w:r w:rsidR="00236A9C" w:rsidRPr="00236A9C">
        <w:rPr>
          <w:b/>
          <w:bCs/>
          <w:sz w:val="22"/>
          <w:szCs w:val="22"/>
        </w:rPr>
        <w:t>Grzegorz Rogaliński</w:t>
      </w:r>
      <w:r w:rsidRPr="00FF25E2">
        <w:rPr>
          <w:sz w:val="22"/>
          <w:szCs w:val="22"/>
        </w:rPr>
        <w:t xml:space="preserve">. </w:t>
      </w:r>
    </w:p>
    <w:p w14:paraId="4AF4C836" w14:textId="77777777" w:rsidR="00FF25E2" w:rsidRPr="00FF25E2" w:rsidRDefault="00FF25E2" w:rsidP="00FF25E2">
      <w:pPr>
        <w:jc w:val="both"/>
        <w:rPr>
          <w:sz w:val="22"/>
          <w:szCs w:val="22"/>
        </w:rPr>
      </w:pPr>
      <w:r w:rsidRPr="00FF25E2">
        <w:rPr>
          <w:sz w:val="22"/>
          <w:szCs w:val="22"/>
        </w:rPr>
        <w:t xml:space="preserve">Handel kończy 2025 rok w stanie podwyższonej ostrożności, ale także z rosnącą świadomością, że zdolność do adaptacji będzie kluczowym czynnikiem przewagi w nadchodzącym roku. W 2026 r. decydujące będzie nie tylko to, kto jest największy, ale kto najszybciej potrafi reagować na zmiany, integrować dane, automatyzować procesy i utrzymywać stabilność działania w warunkach niepewności. W tej perspektywie rok 2025 był dla </w:t>
      </w:r>
      <w:proofErr w:type="spellStart"/>
      <w:r w:rsidRPr="00FF25E2">
        <w:rPr>
          <w:sz w:val="22"/>
          <w:szCs w:val="22"/>
        </w:rPr>
        <w:t>retailu</w:t>
      </w:r>
      <w:proofErr w:type="spellEnd"/>
      <w:r w:rsidRPr="00FF25E2">
        <w:rPr>
          <w:sz w:val="22"/>
          <w:szCs w:val="22"/>
        </w:rPr>
        <w:t xml:space="preserve"> przede wszystkim testem odporności — a rok 2026 będzie testem konsekwencji inwestycyjnych.</w:t>
      </w:r>
    </w:p>
    <w:p w14:paraId="213C4A8E" w14:textId="60902979" w:rsidR="000C3E74" w:rsidRPr="0088519D" w:rsidRDefault="000C3E74" w:rsidP="00E20461">
      <w:pPr>
        <w:jc w:val="both"/>
        <w:rPr>
          <w:b/>
          <w:sz w:val="22"/>
          <w:szCs w:val="22"/>
        </w:rPr>
      </w:pPr>
      <w:r w:rsidRPr="000C3E74">
        <w:rPr>
          <w:b/>
          <w:bCs/>
          <w:sz w:val="22"/>
          <w:szCs w:val="22"/>
        </w:rPr>
        <w:t>O raporcie</w:t>
      </w:r>
    </w:p>
    <w:p w14:paraId="728DA432" w14:textId="30349423" w:rsidR="00E20461" w:rsidRPr="00BC6C4F" w:rsidRDefault="00E20461" w:rsidP="00E20461">
      <w:pPr>
        <w:jc w:val="both"/>
        <w:rPr>
          <w:sz w:val="22"/>
          <w:szCs w:val="22"/>
        </w:rPr>
      </w:pPr>
      <w:r w:rsidRPr="00BC6C4F">
        <w:rPr>
          <w:sz w:val="22"/>
          <w:szCs w:val="22"/>
        </w:rPr>
        <w:t>Raport powstał na podstawie badania 100 średnich i dużych przedsiębiorstw handlowych w Polsce, których obrót roczny przekracza 100 mln zł. Badanie objęło firmy działające w handlu detalicznym, żywnością, farmaceutykami, kosmetykami, meblami, sprzętem RTV/AGD, odzieżą i obuwiem oraz paliwami.</w:t>
      </w:r>
    </w:p>
    <w:p w14:paraId="06704180" w14:textId="7927618F" w:rsidR="00E20461" w:rsidRPr="00BC6C4F" w:rsidRDefault="00E20461" w:rsidP="00E20461">
      <w:pPr>
        <w:jc w:val="both"/>
        <w:rPr>
          <w:sz w:val="22"/>
          <w:szCs w:val="22"/>
        </w:rPr>
      </w:pPr>
      <w:r w:rsidRPr="00BC6C4F">
        <w:rPr>
          <w:sz w:val="22"/>
          <w:szCs w:val="22"/>
        </w:rPr>
        <w:lastRenderedPageBreak/>
        <w:t xml:space="preserve">Pełny raport dostępny jest na stronie: </w:t>
      </w:r>
      <w:hyperlink r:id="rId11" w:history="1">
        <w:r w:rsidR="00DD1377" w:rsidRPr="00DD1377">
          <w:rPr>
            <w:rStyle w:val="Hipercze"/>
            <w:sz w:val="22"/>
            <w:szCs w:val="22"/>
          </w:rPr>
          <w:t xml:space="preserve">Raport </w:t>
        </w:r>
        <w:proofErr w:type="spellStart"/>
        <w:r w:rsidR="00DD1377" w:rsidRPr="00DD1377">
          <w:rPr>
            <w:rStyle w:val="Hipercze"/>
            <w:sz w:val="22"/>
            <w:szCs w:val="22"/>
          </w:rPr>
          <w:t>RetailTech</w:t>
        </w:r>
        <w:proofErr w:type="spellEnd"/>
        <w:r w:rsidR="00DD1377" w:rsidRPr="00DD1377">
          <w:rPr>
            <w:rStyle w:val="Hipercze"/>
            <w:sz w:val="22"/>
            <w:szCs w:val="22"/>
          </w:rPr>
          <w:t xml:space="preserve"> 2025 pobierz - </w:t>
        </w:r>
        <w:proofErr w:type="spellStart"/>
        <w:r w:rsidR="00DD1377" w:rsidRPr="00DD1377">
          <w:rPr>
            <w:rStyle w:val="Hipercze"/>
            <w:sz w:val="22"/>
            <w:szCs w:val="22"/>
          </w:rPr>
          <w:t>Exorigo-Upos</w:t>
        </w:r>
        <w:proofErr w:type="spellEnd"/>
      </w:hyperlink>
    </w:p>
    <w:sectPr w:rsidR="00E20461" w:rsidRPr="00BC6C4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F976C" w14:textId="77777777" w:rsidR="00E7311B" w:rsidRDefault="00E7311B" w:rsidP="00E1319F">
      <w:pPr>
        <w:spacing w:after="0" w:line="240" w:lineRule="auto"/>
      </w:pPr>
      <w:r>
        <w:separator/>
      </w:r>
    </w:p>
  </w:endnote>
  <w:endnote w:type="continuationSeparator" w:id="0">
    <w:p w14:paraId="413D7340" w14:textId="77777777" w:rsidR="00E7311B" w:rsidRDefault="00E7311B" w:rsidP="00E1319F">
      <w:pPr>
        <w:spacing w:after="0" w:line="240" w:lineRule="auto"/>
      </w:pPr>
      <w:r>
        <w:continuationSeparator/>
      </w:r>
    </w:p>
  </w:endnote>
  <w:endnote w:type="continuationNotice" w:id="1">
    <w:p w14:paraId="2B295BC5" w14:textId="77777777" w:rsidR="00E7311B" w:rsidRDefault="00E731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455A" w14:textId="77777777" w:rsidR="00E7311B" w:rsidRDefault="00E7311B" w:rsidP="00E1319F">
      <w:pPr>
        <w:spacing w:after="0" w:line="240" w:lineRule="auto"/>
      </w:pPr>
      <w:r>
        <w:separator/>
      </w:r>
    </w:p>
  </w:footnote>
  <w:footnote w:type="continuationSeparator" w:id="0">
    <w:p w14:paraId="575DD2DE" w14:textId="77777777" w:rsidR="00E7311B" w:rsidRDefault="00E7311B" w:rsidP="00E1319F">
      <w:pPr>
        <w:spacing w:after="0" w:line="240" w:lineRule="auto"/>
      </w:pPr>
      <w:r>
        <w:continuationSeparator/>
      </w:r>
    </w:p>
  </w:footnote>
  <w:footnote w:type="continuationNotice" w:id="1">
    <w:p w14:paraId="6135D07B" w14:textId="77777777" w:rsidR="00E7311B" w:rsidRDefault="00E731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6CB3" w14:textId="39EA1CAA" w:rsidR="00E1319F" w:rsidRDefault="00E1319F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A672B" wp14:editId="3A050ACB">
          <wp:simplePos x="0" y="0"/>
          <wp:positionH relativeFrom="page">
            <wp:posOffset>23495</wp:posOffset>
          </wp:positionH>
          <wp:positionV relativeFrom="paragraph">
            <wp:posOffset>-448310</wp:posOffset>
          </wp:positionV>
          <wp:extent cx="7553325" cy="1798320"/>
          <wp:effectExtent l="0" t="0" r="9525" b="0"/>
          <wp:wrapSquare wrapText="bothSides"/>
          <wp:docPr id="2" name="Obraz 2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79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B4A49"/>
    <w:multiLevelType w:val="hybridMultilevel"/>
    <w:tmpl w:val="21F2B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01C12"/>
    <w:multiLevelType w:val="hybridMultilevel"/>
    <w:tmpl w:val="2690B5BC"/>
    <w:lvl w:ilvl="0" w:tplc="9CC25B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5CE1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756D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5EECF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EE899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635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004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181A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585E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7D1679F3"/>
    <w:multiLevelType w:val="multilevel"/>
    <w:tmpl w:val="69A2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4207DE"/>
    <w:multiLevelType w:val="hybridMultilevel"/>
    <w:tmpl w:val="26445484"/>
    <w:lvl w:ilvl="0" w:tplc="D81E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C0FC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92C8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02C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FB63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88F0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334AB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FE3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3C40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540750554">
    <w:abstractNumId w:val="2"/>
  </w:num>
  <w:num w:numId="2" w16cid:durableId="1164318323">
    <w:abstractNumId w:val="1"/>
  </w:num>
  <w:num w:numId="3" w16cid:durableId="687023885">
    <w:abstractNumId w:val="3"/>
  </w:num>
  <w:num w:numId="4" w16cid:durableId="1098793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6B"/>
    <w:rsid w:val="00002888"/>
    <w:rsid w:val="00002BFA"/>
    <w:rsid w:val="000130A8"/>
    <w:rsid w:val="000217E4"/>
    <w:rsid w:val="00042911"/>
    <w:rsid w:val="00043ECB"/>
    <w:rsid w:val="00061066"/>
    <w:rsid w:val="00061F2F"/>
    <w:rsid w:val="00064A14"/>
    <w:rsid w:val="000651B5"/>
    <w:rsid w:val="00076E1C"/>
    <w:rsid w:val="00080FDB"/>
    <w:rsid w:val="00082F65"/>
    <w:rsid w:val="000830B7"/>
    <w:rsid w:val="0009281D"/>
    <w:rsid w:val="000938C3"/>
    <w:rsid w:val="000945EC"/>
    <w:rsid w:val="00096C49"/>
    <w:rsid w:val="00097A11"/>
    <w:rsid w:val="000A0BE0"/>
    <w:rsid w:val="000A335D"/>
    <w:rsid w:val="000B0638"/>
    <w:rsid w:val="000B4088"/>
    <w:rsid w:val="000B5161"/>
    <w:rsid w:val="000B62FF"/>
    <w:rsid w:val="000B7F2C"/>
    <w:rsid w:val="000C30CA"/>
    <w:rsid w:val="000C3C17"/>
    <w:rsid w:val="000C3E74"/>
    <w:rsid w:val="000D7DFF"/>
    <w:rsid w:val="000D7E81"/>
    <w:rsid w:val="0010111B"/>
    <w:rsid w:val="001053AD"/>
    <w:rsid w:val="00105786"/>
    <w:rsid w:val="001133AA"/>
    <w:rsid w:val="0012307F"/>
    <w:rsid w:val="00123988"/>
    <w:rsid w:val="0013118D"/>
    <w:rsid w:val="001354D9"/>
    <w:rsid w:val="0013642F"/>
    <w:rsid w:val="001454EC"/>
    <w:rsid w:val="00154BC6"/>
    <w:rsid w:val="0017341A"/>
    <w:rsid w:val="001738CB"/>
    <w:rsid w:val="00174147"/>
    <w:rsid w:val="00174624"/>
    <w:rsid w:val="00192056"/>
    <w:rsid w:val="0019449C"/>
    <w:rsid w:val="001A6965"/>
    <w:rsid w:val="001C6F3A"/>
    <w:rsid w:val="001D3AD8"/>
    <w:rsid w:val="001D7BAC"/>
    <w:rsid w:val="001E6E56"/>
    <w:rsid w:val="001F087E"/>
    <w:rsid w:val="0020173D"/>
    <w:rsid w:val="00204FE1"/>
    <w:rsid w:val="002057A7"/>
    <w:rsid w:val="00211781"/>
    <w:rsid w:val="002174E9"/>
    <w:rsid w:val="002223FE"/>
    <w:rsid w:val="00226EB3"/>
    <w:rsid w:val="0023084D"/>
    <w:rsid w:val="00236A9C"/>
    <w:rsid w:val="002440AB"/>
    <w:rsid w:val="00251F83"/>
    <w:rsid w:val="0026109B"/>
    <w:rsid w:val="002714CA"/>
    <w:rsid w:val="002804FA"/>
    <w:rsid w:val="002805F6"/>
    <w:rsid w:val="0028433A"/>
    <w:rsid w:val="002924CE"/>
    <w:rsid w:val="00296098"/>
    <w:rsid w:val="002B1003"/>
    <w:rsid w:val="002C0D9C"/>
    <w:rsid w:val="002C63F3"/>
    <w:rsid w:val="002D2DDD"/>
    <w:rsid w:val="002E7858"/>
    <w:rsid w:val="002F2A4B"/>
    <w:rsid w:val="00310709"/>
    <w:rsid w:val="003207DA"/>
    <w:rsid w:val="00324FF5"/>
    <w:rsid w:val="00334991"/>
    <w:rsid w:val="00335145"/>
    <w:rsid w:val="0033528D"/>
    <w:rsid w:val="003464F6"/>
    <w:rsid w:val="003547FF"/>
    <w:rsid w:val="003626F9"/>
    <w:rsid w:val="003631C8"/>
    <w:rsid w:val="0036407B"/>
    <w:rsid w:val="003643E9"/>
    <w:rsid w:val="00372CB8"/>
    <w:rsid w:val="0038420D"/>
    <w:rsid w:val="00390919"/>
    <w:rsid w:val="003910C7"/>
    <w:rsid w:val="00392B16"/>
    <w:rsid w:val="0039477A"/>
    <w:rsid w:val="003A718E"/>
    <w:rsid w:val="003B0C85"/>
    <w:rsid w:val="003B1FF1"/>
    <w:rsid w:val="003B5068"/>
    <w:rsid w:val="003C2983"/>
    <w:rsid w:val="003C5E17"/>
    <w:rsid w:val="003D68CF"/>
    <w:rsid w:val="003E1A3B"/>
    <w:rsid w:val="003F0269"/>
    <w:rsid w:val="003F2E94"/>
    <w:rsid w:val="003F6370"/>
    <w:rsid w:val="00402233"/>
    <w:rsid w:val="00406DD3"/>
    <w:rsid w:val="00407776"/>
    <w:rsid w:val="00443153"/>
    <w:rsid w:val="00443959"/>
    <w:rsid w:val="004440C1"/>
    <w:rsid w:val="00452372"/>
    <w:rsid w:val="004545E5"/>
    <w:rsid w:val="00456ED8"/>
    <w:rsid w:val="004621BF"/>
    <w:rsid w:val="00463C2A"/>
    <w:rsid w:val="00464D0C"/>
    <w:rsid w:val="00467D47"/>
    <w:rsid w:val="00471340"/>
    <w:rsid w:val="00476E96"/>
    <w:rsid w:val="00487FF8"/>
    <w:rsid w:val="00490B41"/>
    <w:rsid w:val="004969E9"/>
    <w:rsid w:val="004A6F27"/>
    <w:rsid w:val="004C44E3"/>
    <w:rsid w:val="004D1B31"/>
    <w:rsid w:val="004D2377"/>
    <w:rsid w:val="004E0CED"/>
    <w:rsid w:val="004E4560"/>
    <w:rsid w:val="004F4027"/>
    <w:rsid w:val="00502826"/>
    <w:rsid w:val="005148A7"/>
    <w:rsid w:val="00523F42"/>
    <w:rsid w:val="005245DE"/>
    <w:rsid w:val="00526FE7"/>
    <w:rsid w:val="00532B03"/>
    <w:rsid w:val="0054209B"/>
    <w:rsid w:val="00543FD5"/>
    <w:rsid w:val="00556935"/>
    <w:rsid w:val="00560ADB"/>
    <w:rsid w:val="00563DB0"/>
    <w:rsid w:val="00585499"/>
    <w:rsid w:val="00587420"/>
    <w:rsid w:val="00590FE0"/>
    <w:rsid w:val="005945EC"/>
    <w:rsid w:val="00596FA0"/>
    <w:rsid w:val="005A4A1D"/>
    <w:rsid w:val="005B1CBB"/>
    <w:rsid w:val="005C012F"/>
    <w:rsid w:val="005C093B"/>
    <w:rsid w:val="005D04AF"/>
    <w:rsid w:val="005D0C01"/>
    <w:rsid w:val="005E2814"/>
    <w:rsid w:val="005E3C98"/>
    <w:rsid w:val="005F3804"/>
    <w:rsid w:val="005F3C9B"/>
    <w:rsid w:val="00602503"/>
    <w:rsid w:val="00606C42"/>
    <w:rsid w:val="00611553"/>
    <w:rsid w:val="00616244"/>
    <w:rsid w:val="00620E59"/>
    <w:rsid w:val="006246EA"/>
    <w:rsid w:val="0062715C"/>
    <w:rsid w:val="00632255"/>
    <w:rsid w:val="00632446"/>
    <w:rsid w:val="006325AE"/>
    <w:rsid w:val="00632CC0"/>
    <w:rsid w:val="006409BA"/>
    <w:rsid w:val="0065309D"/>
    <w:rsid w:val="00661829"/>
    <w:rsid w:val="00663E56"/>
    <w:rsid w:val="006646F1"/>
    <w:rsid w:val="00665457"/>
    <w:rsid w:val="0067485C"/>
    <w:rsid w:val="00675A41"/>
    <w:rsid w:val="00685CED"/>
    <w:rsid w:val="0068798C"/>
    <w:rsid w:val="00692A10"/>
    <w:rsid w:val="00693E80"/>
    <w:rsid w:val="00696BD5"/>
    <w:rsid w:val="00696D81"/>
    <w:rsid w:val="006B2CEF"/>
    <w:rsid w:val="006D2FA2"/>
    <w:rsid w:val="006D6B8B"/>
    <w:rsid w:val="006E32D6"/>
    <w:rsid w:val="006F11C2"/>
    <w:rsid w:val="006F41FC"/>
    <w:rsid w:val="00703912"/>
    <w:rsid w:val="0070689D"/>
    <w:rsid w:val="0071556B"/>
    <w:rsid w:val="007321AC"/>
    <w:rsid w:val="00741635"/>
    <w:rsid w:val="00747760"/>
    <w:rsid w:val="00752E6B"/>
    <w:rsid w:val="00765429"/>
    <w:rsid w:val="007753DC"/>
    <w:rsid w:val="0077673A"/>
    <w:rsid w:val="0079158D"/>
    <w:rsid w:val="0079423E"/>
    <w:rsid w:val="007A0FA7"/>
    <w:rsid w:val="007A28A3"/>
    <w:rsid w:val="007A44B6"/>
    <w:rsid w:val="007A7369"/>
    <w:rsid w:val="007A73BF"/>
    <w:rsid w:val="007B5030"/>
    <w:rsid w:val="007C1660"/>
    <w:rsid w:val="007C1CD8"/>
    <w:rsid w:val="007C237C"/>
    <w:rsid w:val="007C6275"/>
    <w:rsid w:val="007C6ABD"/>
    <w:rsid w:val="007C78B0"/>
    <w:rsid w:val="007E76AF"/>
    <w:rsid w:val="007F4AE7"/>
    <w:rsid w:val="007F5CAF"/>
    <w:rsid w:val="0080322D"/>
    <w:rsid w:val="00805E03"/>
    <w:rsid w:val="00820C10"/>
    <w:rsid w:val="008402CD"/>
    <w:rsid w:val="008507BB"/>
    <w:rsid w:val="0085537F"/>
    <w:rsid w:val="00861394"/>
    <w:rsid w:val="0088519D"/>
    <w:rsid w:val="00885ADA"/>
    <w:rsid w:val="00890389"/>
    <w:rsid w:val="00891014"/>
    <w:rsid w:val="00895C75"/>
    <w:rsid w:val="00895D67"/>
    <w:rsid w:val="0089779B"/>
    <w:rsid w:val="008A1008"/>
    <w:rsid w:val="008A1626"/>
    <w:rsid w:val="008A2DC1"/>
    <w:rsid w:val="008A5F1A"/>
    <w:rsid w:val="008A6E5A"/>
    <w:rsid w:val="008B10F7"/>
    <w:rsid w:val="008B144C"/>
    <w:rsid w:val="008B7B21"/>
    <w:rsid w:val="008C320D"/>
    <w:rsid w:val="008C367E"/>
    <w:rsid w:val="008C522B"/>
    <w:rsid w:val="008C5ACD"/>
    <w:rsid w:val="008D2305"/>
    <w:rsid w:val="008D2BCB"/>
    <w:rsid w:val="008E18B2"/>
    <w:rsid w:val="008E2C89"/>
    <w:rsid w:val="008E44CA"/>
    <w:rsid w:val="008E44DE"/>
    <w:rsid w:val="008E4FCD"/>
    <w:rsid w:val="008F1E81"/>
    <w:rsid w:val="008F5163"/>
    <w:rsid w:val="00907797"/>
    <w:rsid w:val="00912242"/>
    <w:rsid w:val="0091389E"/>
    <w:rsid w:val="00914B08"/>
    <w:rsid w:val="00923A67"/>
    <w:rsid w:val="00923C0D"/>
    <w:rsid w:val="00941040"/>
    <w:rsid w:val="00941CDE"/>
    <w:rsid w:val="00945322"/>
    <w:rsid w:val="0094679F"/>
    <w:rsid w:val="00951327"/>
    <w:rsid w:val="00964029"/>
    <w:rsid w:val="00980A53"/>
    <w:rsid w:val="0098106F"/>
    <w:rsid w:val="009A487A"/>
    <w:rsid w:val="009A5274"/>
    <w:rsid w:val="009A5B69"/>
    <w:rsid w:val="009B2651"/>
    <w:rsid w:val="009D2D3F"/>
    <w:rsid w:val="009D755C"/>
    <w:rsid w:val="009E31D5"/>
    <w:rsid w:val="009E4DF5"/>
    <w:rsid w:val="009F1C0D"/>
    <w:rsid w:val="009F32B8"/>
    <w:rsid w:val="009F4343"/>
    <w:rsid w:val="00A0282D"/>
    <w:rsid w:val="00A02B93"/>
    <w:rsid w:val="00A106FF"/>
    <w:rsid w:val="00A21107"/>
    <w:rsid w:val="00A21D3A"/>
    <w:rsid w:val="00A23946"/>
    <w:rsid w:val="00A24475"/>
    <w:rsid w:val="00A251AF"/>
    <w:rsid w:val="00A27CC2"/>
    <w:rsid w:val="00A3330E"/>
    <w:rsid w:val="00A334F6"/>
    <w:rsid w:val="00A55E60"/>
    <w:rsid w:val="00A628B7"/>
    <w:rsid w:val="00A71E63"/>
    <w:rsid w:val="00A74EAD"/>
    <w:rsid w:val="00A768B1"/>
    <w:rsid w:val="00A817A6"/>
    <w:rsid w:val="00A842C4"/>
    <w:rsid w:val="00A85D22"/>
    <w:rsid w:val="00A93BD9"/>
    <w:rsid w:val="00A97D89"/>
    <w:rsid w:val="00AA1697"/>
    <w:rsid w:val="00AA474A"/>
    <w:rsid w:val="00AA6532"/>
    <w:rsid w:val="00AA67C2"/>
    <w:rsid w:val="00AA7AD5"/>
    <w:rsid w:val="00AA7CEE"/>
    <w:rsid w:val="00AB1B8E"/>
    <w:rsid w:val="00AB52A7"/>
    <w:rsid w:val="00AF2819"/>
    <w:rsid w:val="00B01533"/>
    <w:rsid w:val="00B02A65"/>
    <w:rsid w:val="00B03049"/>
    <w:rsid w:val="00B04A16"/>
    <w:rsid w:val="00B122B0"/>
    <w:rsid w:val="00B15827"/>
    <w:rsid w:val="00B20ADA"/>
    <w:rsid w:val="00B230A7"/>
    <w:rsid w:val="00B25958"/>
    <w:rsid w:val="00B65D83"/>
    <w:rsid w:val="00B7003E"/>
    <w:rsid w:val="00B82312"/>
    <w:rsid w:val="00B82AB4"/>
    <w:rsid w:val="00B84D6F"/>
    <w:rsid w:val="00B946F0"/>
    <w:rsid w:val="00BB2668"/>
    <w:rsid w:val="00BB7036"/>
    <w:rsid w:val="00BC6C4F"/>
    <w:rsid w:val="00BC71CE"/>
    <w:rsid w:val="00BD1D3C"/>
    <w:rsid w:val="00BD770C"/>
    <w:rsid w:val="00BE0DE0"/>
    <w:rsid w:val="00BE2531"/>
    <w:rsid w:val="00C120C6"/>
    <w:rsid w:val="00C1348C"/>
    <w:rsid w:val="00C21422"/>
    <w:rsid w:val="00C5516F"/>
    <w:rsid w:val="00C561F2"/>
    <w:rsid w:val="00C66A3C"/>
    <w:rsid w:val="00C702A4"/>
    <w:rsid w:val="00C7368E"/>
    <w:rsid w:val="00C736EA"/>
    <w:rsid w:val="00C743D8"/>
    <w:rsid w:val="00C746AD"/>
    <w:rsid w:val="00C843A2"/>
    <w:rsid w:val="00C87E85"/>
    <w:rsid w:val="00CA1B8B"/>
    <w:rsid w:val="00CA4024"/>
    <w:rsid w:val="00CA4CE9"/>
    <w:rsid w:val="00CA50B8"/>
    <w:rsid w:val="00CB1E2E"/>
    <w:rsid w:val="00CB3DE8"/>
    <w:rsid w:val="00CB4E93"/>
    <w:rsid w:val="00CB7433"/>
    <w:rsid w:val="00CB777E"/>
    <w:rsid w:val="00CC16D6"/>
    <w:rsid w:val="00CC1A11"/>
    <w:rsid w:val="00CC287D"/>
    <w:rsid w:val="00CD0B3D"/>
    <w:rsid w:val="00CD715F"/>
    <w:rsid w:val="00CD7562"/>
    <w:rsid w:val="00CE4B19"/>
    <w:rsid w:val="00CF56D3"/>
    <w:rsid w:val="00CF5AD6"/>
    <w:rsid w:val="00CF7429"/>
    <w:rsid w:val="00D05CBD"/>
    <w:rsid w:val="00D157DD"/>
    <w:rsid w:val="00D22297"/>
    <w:rsid w:val="00D31CA7"/>
    <w:rsid w:val="00D3644C"/>
    <w:rsid w:val="00D40547"/>
    <w:rsid w:val="00D41E65"/>
    <w:rsid w:val="00D4678B"/>
    <w:rsid w:val="00D51B1E"/>
    <w:rsid w:val="00D54E13"/>
    <w:rsid w:val="00D56DD0"/>
    <w:rsid w:val="00D76A29"/>
    <w:rsid w:val="00D86331"/>
    <w:rsid w:val="00D86FFA"/>
    <w:rsid w:val="00D9006F"/>
    <w:rsid w:val="00D903B0"/>
    <w:rsid w:val="00DA156A"/>
    <w:rsid w:val="00DB1046"/>
    <w:rsid w:val="00DB550B"/>
    <w:rsid w:val="00DB7CD1"/>
    <w:rsid w:val="00DC5D28"/>
    <w:rsid w:val="00DC64EA"/>
    <w:rsid w:val="00DC73BD"/>
    <w:rsid w:val="00DD1377"/>
    <w:rsid w:val="00DD7543"/>
    <w:rsid w:val="00DD7988"/>
    <w:rsid w:val="00DE5FFB"/>
    <w:rsid w:val="00DF4AB1"/>
    <w:rsid w:val="00DF560C"/>
    <w:rsid w:val="00DF66CC"/>
    <w:rsid w:val="00E02376"/>
    <w:rsid w:val="00E10CB3"/>
    <w:rsid w:val="00E1319F"/>
    <w:rsid w:val="00E20461"/>
    <w:rsid w:val="00E24DC7"/>
    <w:rsid w:val="00E35BDF"/>
    <w:rsid w:val="00E4318F"/>
    <w:rsid w:val="00E50A45"/>
    <w:rsid w:val="00E51E1B"/>
    <w:rsid w:val="00E52B48"/>
    <w:rsid w:val="00E54F2D"/>
    <w:rsid w:val="00E55682"/>
    <w:rsid w:val="00E65B99"/>
    <w:rsid w:val="00E665EE"/>
    <w:rsid w:val="00E71CD9"/>
    <w:rsid w:val="00E7311B"/>
    <w:rsid w:val="00E82B43"/>
    <w:rsid w:val="00E83D37"/>
    <w:rsid w:val="00E966E6"/>
    <w:rsid w:val="00E970D4"/>
    <w:rsid w:val="00E97BDB"/>
    <w:rsid w:val="00EA1A9F"/>
    <w:rsid w:val="00EA2918"/>
    <w:rsid w:val="00EB788C"/>
    <w:rsid w:val="00EF1EC9"/>
    <w:rsid w:val="00EF3052"/>
    <w:rsid w:val="00F06EB9"/>
    <w:rsid w:val="00F16AEE"/>
    <w:rsid w:val="00F2343A"/>
    <w:rsid w:val="00F2505D"/>
    <w:rsid w:val="00F418C5"/>
    <w:rsid w:val="00F462A9"/>
    <w:rsid w:val="00F549A4"/>
    <w:rsid w:val="00F55D01"/>
    <w:rsid w:val="00F566AF"/>
    <w:rsid w:val="00F625BF"/>
    <w:rsid w:val="00F70442"/>
    <w:rsid w:val="00F71D9F"/>
    <w:rsid w:val="00F72F8F"/>
    <w:rsid w:val="00F73CAF"/>
    <w:rsid w:val="00F76042"/>
    <w:rsid w:val="00F918A7"/>
    <w:rsid w:val="00FA7701"/>
    <w:rsid w:val="00FB3CE3"/>
    <w:rsid w:val="00FB792F"/>
    <w:rsid w:val="00FB7EBC"/>
    <w:rsid w:val="00FC605C"/>
    <w:rsid w:val="00FD1F11"/>
    <w:rsid w:val="00FD4FB2"/>
    <w:rsid w:val="00FD7EB1"/>
    <w:rsid w:val="00FF1DD0"/>
    <w:rsid w:val="00FF25E2"/>
    <w:rsid w:val="00FF35E6"/>
    <w:rsid w:val="07C45AA5"/>
    <w:rsid w:val="341753E2"/>
    <w:rsid w:val="57E78B6F"/>
    <w:rsid w:val="5889A4C0"/>
    <w:rsid w:val="6150E998"/>
    <w:rsid w:val="7AC2C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5549"/>
  <w15:chartTrackingRefBased/>
  <w15:docId w15:val="{A584BB83-4A1D-4C03-92E8-6CFEE0F2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E6B"/>
  </w:style>
  <w:style w:type="paragraph" w:styleId="Nagwek1">
    <w:name w:val="heading 1"/>
    <w:basedOn w:val="Normalny"/>
    <w:next w:val="Normalny"/>
    <w:link w:val="Nagwek1Znak"/>
    <w:uiPriority w:val="9"/>
    <w:qFormat/>
    <w:rsid w:val="00752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2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2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2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2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2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2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2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2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2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2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2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2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2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2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2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2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2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2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2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2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2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2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2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2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2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2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2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2E6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423E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1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19F"/>
  </w:style>
  <w:style w:type="paragraph" w:styleId="Stopka">
    <w:name w:val="footer"/>
    <w:basedOn w:val="Normalny"/>
    <w:link w:val="StopkaZnak"/>
    <w:uiPriority w:val="99"/>
    <w:unhideWhenUsed/>
    <w:rsid w:val="00E131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1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7B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7BA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BAC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BA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05C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A6E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6E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6E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6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6E5A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23A6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xorigo-upos.pl/raport-retailtech-2025-pobierz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FB36CE1805484D9CB967C0DE3A34BC" ma:contentTypeVersion="12" ma:contentTypeDescription="Create a new document." ma:contentTypeScope="" ma:versionID="ab88bdd7dab649d1a0245c80a3454385">
  <xsd:schema xmlns:xsd="http://www.w3.org/2001/XMLSchema" xmlns:xs="http://www.w3.org/2001/XMLSchema" xmlns:p="http://schemas.microsoft.com/office/2006/metadata/properties" xmlns:ns2="e57ad9a3-d3a4-4965-9dec-6c0ff0493d07" xmlns:ns3="b250aead-d5af-4dde-a5ae-6b5aede102c7" targetNamespace="http://schemas.microsoft.com/office/2006/metadata/properties" ma:root="true" ma:fieldsID="ce2a16f4c807bcbfd0b05c8d075f1502" ns2:_="" ns3:_="">
    <xsd:import namespace="e57ad9a3-d3a4-4965-9dec-6c0ff0493d07"/>
    <xsd:import namespace="b250aead-d5af-4dde-a5ae-6b5aede10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ad9a3-d3a4-4965-9dec-6c0ff0493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0aead-d5af-4dde-a5ae-6b5aede10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ad9a3-d3a4-4965-9dec-6c0ff0493d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A61D63-AA8E-43F6-A615-060EB5355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7ad9a3-d3a4-4965-9dec-6c0ff0493d07"/>
    <ds:schemaRef ds:uri="b250aead-d5af-4dde-a5ae-6b5aede10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DD36B-D41F-4F24-8C80-F0580C827B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AC6938-F728-4762-9C0E-B4C8329F2F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D2B34A-C2BA-42A4-91DA-4186F894D896}">
  <ds:schemaRefs>
    <ds:schemaRef ds:uri="http://schemas.microsoft.com/office/2006/metadata/properties"/>
    <ds:schemaRef ds:uri="http://schemas.microsoft.com/office/infopath/2007/PartnerControls"/>
    <ds:schemaRef ds:uri="e57ad9a3-d3a4-4965-9dec-6c0ff0493d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Karolina Kwiecień CCG</cp:lastModifiedBy>
  <cp:revision>4</cp:revision>
  <dcterms:created xsi:type="dcterms:W3CDTF">2025-12-12T10:09:00Z</dcterms:created>
  <dcterms:modified xsi:type="dcterms:W3CDTF">2025-12-16T08:25:00Z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0x01010024FB36CE1805484D9CB967C0DE3A34BC</vt:lpwstr>
  </property>
  <property fmtid="{D5CDD505-2E9C-101B-9397-08002B2CF9AE}" pid="3" name="MediaServiceImageTags">
    <vt:lpwstr/>
  </property>
</Properties>
</file>