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Elektronika i AGD </w:t>
      </w: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w 2026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roku. Nowe prawo zmieni rynek i modele biznesowe</w:t>
      </w:r>
    </w:p>
    <w:p w:rsidR="00000000" w:rsidDel="00000000" w:rsidP="00000000" w:rsidRDefault="00000000" w:rsidRPr="00000000" w14:paraId="00000002">
      <w:pPr>
        <w:spacing w:after="28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Nadchodzące miesiące mogą być prawdziwym przełomem dla branż elektroniki konsumenckiej i AGD. W 2026 wdrażane będą w krajach członkowskich UE przepisy prawa do naprawy, rozporządzenia w sprawie ekoprojektowania oraz dyrektywy o raportowaniu zrównoważonego rozwoju. Nowe regulacje mają sprawić, że serwis produktów stanie się standardem, a modele biznesowe producentów spełniać będą zasady gospodarki cyrkularnej.      </w:t>
      </w:r>
    </w:p>
    <w:p w:rsidR="00000000" w:rsidDel="00000000" w:rsidP="00000000" w:rsidRDefault="00000000" w:rsidRPr="00000000" w14:paraId="00000003">
      <w:pPr>
        <w:spacing w:after="280" w:before="280" w:lineRule="auto"/>
        <w:jc w:val="both"/>
        <w:rPr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Jak wynika z danych ONZ, Europa ma bardzo poważny problem z elektroodpadami. Nie dość, że wytwarza ich najwięcej na świecie (aż 17,6 kg na mieszkańca w 2024 roku!), to jeszcze ilość e-śmieci rośnie aż pięć razy szybciej niż możliwości ich recyklingu. Rozwiązaniem ma być pakiet unijnych regulacji, w skład którego wchodzą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Dyrektywa o Prawie do Naprawy (R2R), Rozporządzenie w sprawie ekoprojektu dla zrównoważonych produktów (ESPR)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oraz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Dyrektywa o sprawozdawczości w zakresie zrównoważonego rozwoju (CSRD).</w:t>
      </w:r>
    </w:p>
    <w:p w:rsidR="00000000" w:rsidDel="00000000" w:rsidP="00000000" w:rsidRDefault="00000000" w:rsidRPr="00000000" w14:paraId="00000004">
      <w:pPr>
        <w:spacing w:after="280" w:before="2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Wśród nich na pierwszy plan wysuwa się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prawo do naprawy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, którego przepisy wejdą w życie w sierpniu 2026 r. Na ich mocy producenci zobowiązani zostaną do </w:t>
      </w:r>
      <w:r w:rsidDel="00000000" w:rsidR="00000000" w:rsidRPr="00000000">
        <w:rPr>
          <w:sz w:val="22"/>
          <w:szCs w:val="22"/>
          <w:rtl w:val="0"/>
        </w:rPr>
        <w:t xml:space="preserve">projektowania urządzeń w sposób ułatwiający serwisowanie i do zapewnienia możliwości naprawy w jasno określonych cenach oraz terminach. Będę też musieli dostarczać na rynek części zamienne i niezbędną dokumentację techniczną również po zakończeniu sprzedaży.</w:t>
        <w:br w:type="textWrapping"/>
        <w:br w:type="textWrapping"/>
        <w:t xml:space="preserve">Dyrektywę R2R można nazwać uzupełnieniem wdrażanego już od kilku lat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Rozporządzenia ESPR</w:t>
      </w:r>
      <w:r w:rsidDel="00000000" w:rsidR="00000000" w:rsidRPr="00000000">
        <w:rPr>
          <w:sz w:val="22"/>
          <w:szCs w:val="22"/>
          <w:rtl w:val="0"/>
        </w:rPr>
        <w:t xml:space="preserve">. Zakłada ono m.in. stworzenie jednolitych zasad ekoprojektowania, dzięki którym m.in. elektronika i sprzęt AGD mają być trwalsze i łatwiejsze w naprawie. W 2026 r. wejdą w życie pierwsze przepisy ESPR, w tym zakaz niszczenia niesprzedanych produktów. Uruchomiony ma też zostać unijny system Cyfrowych Paszportów Produktu, które będą gromadzić kluczowe informacje o urządzeniach i ich wpływie na środowisko. </w:t>
      </w:r>
      <w:r w:rsidDel="00000000" w:rsidR="00000000" w:rsidRPr="00000000">
        <w:rPr>
          <w:sz w:val="22"/>
          <w:szCs w:val="22"/>
          <w:rtl w:val="0"/>
        </w:rPr>
        <w:t xml:space="preserve">ESPR stanowić będzie też podstawę do wprowadzenia indeksu naprawialności - opartego na dziesięciostopniowej skali oznaczenia, informującego, jak łatwo dany produkt można serwisować.</w:t>
      </w:r>
    </w:p>
    <w:p w:rsidR="00000000" w:rsidDel="00000000" w:rsidP="00000000" w:rsidRDefault="00000000" w:rsidRPr="00000000" w14:paraId="00000005">
      <w:pPr>
        <w:spacing w:after="280" w:before="2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Podobną rolę w systemie nowych regulacji pełni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Dyrektywa CSRD</w:t>
      </w:r>
      <w:r w:rsidDel="00000000" w:rsidR="00000000" w:rsidRPr="00000000">
        <w:rPr>
          <w:sz w:val="22"/>
          <w:szCs w:val="22"/>
          <w:rtl w:val="0"/>
        </w:rPr>
        <w:t xml:space="preserve">, która rozszerza obowiązki raportowania przez firmy działające na rynku UE. Przedsiębiorstwa z branży elektroniki i AGD będą musiały wykazać, w jaki sposób ich działalność wpływa na środowisko, społeczeństwo i łańcuch dostaw. W 2026 r. obowiązek raportowania obejmie kolejne grupy firm, co wymusi większą przejrzystość, a także dostosowanie modeli biznesowych do coraz bardziej rygorystycznych standardów ESG.</w:t>
      </w:r>
    </w:p>
    <w:p w:rsidR="00000000" w:rsidDel="00000000" w:rsidP="00000000" w:rsidRDefault="00000000" w:rsidRPr="00000000" w14:paraId="00000006">
      <w:pPr>
        <w:spacing w:after="280" w:before="28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Z korzyścią dla biznesu i dla ludzi</w:t>
        <w:br w:type="textWrapping"/>
      </w:r>
      <w:r w:rsidDel="00000000" w:rsidR="00000000" w:rsidRPr="00000000">
        <w:rPr>
          <w:sz w:val="22"/>
          <w:szCs w:val="22"/>
          <w:rtl w:val="0"/>
        </w:rPr>
        <w:br w:type="textWrapping"/>
        <w:t xml:space="preserve">Nowe regulacje, choć na pierwszy rzut oka budzą zrozumiałe obawy, w rzeczywistości mogą stać się impulsem do rozwoju oraz odpowiedzią na rosnące oczekiwania użytkowników elektroniki.</w:t>
      </w:r>
    </w:p>
    <w:p w:rsidR="00000000" w:rsidDel="00000000" w:rsidP="00000000" w:rsidRDefault="00000000" w:rsidRPr="00000000" w14:paraId="00000007">
      <w:pPr>
        <w:spacing w:after="280" w:before="280" w:lineRule="auto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Jak wynika z danych firmy McKinsey, niedobory części potrafią podnieść koszt produkcji nawet o 10 - 20 proc. Odzyskując lub odnawiając podzespoły elektroniczne można natomiast obniżyć koszty materiałowe o 5 - 15 proc. To wyraźnie pokazuje, że inwestowanie w naprawialność i ponowne wykorzystanie podzespołów jest realną szansą na stabilizację kosztów</w:t>
      </w:r>
      <w:r w:rsidDel="00000000" w:rsidR="00000000" w:rsidRPr="00000000">
        <w:rPr>
          <w:sz w:val="22"/>
          <w:szCs w:val="22"/>
          <w:rtl w:val="0"/>
        </w:rPr>
        <w:t xml:space="preserve"> - mówi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Mariusz Ryło, CEO FIXIT SA.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Nasza autorskie badanie, przeprowadzone wraz z SW Research -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highlight w:val="white"/>
          <w:rtl w:val="0"/>
        </w:rPr>
        <w:t xml:space="preserve">The Future of Repair Report. Towards Circular Electronics 2025 </w:t>
      </w:r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-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dowiodło z kolei, że idea powszechnych napraw dobrze trafia w zmiany postaw konsumenckich.</w:t>
      </w:r>
      <w:r w:rsidDel="00000000" w:rsidR="00000000" w:rsidRPr="00000000">
        <w:rPr>
          <w:i w:val="1"/>
          <w:iCs w:val="1"/>
          <w:color w:val="ff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Niemal 80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proc. respondentów zwraca bowiem uwagę na możliwość naprawy jeszcze przed zakupem urządzenia.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36 proc. chciałoby, żeby elektronika działała dłużej, a </w:t>
      </w:r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38 proc. podkreśliło pozytywny wpływ napraw na środowisko naturalne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- dodaje Mariusz Ryło.</w:t>
      </w:r>
    </w:p>
    <w:p w:rsidR="00000000" w:rsidDel="00000000" w:rsidP="00000000" w:rsidRDefault="00000000" w:rsidRPr="00000000" w14:paraId="00000008">
      <w:pPr>
        <w:spacing w:after="280" w:before="280" w:lineRule="auto"/>
        <w:jc w:val="both"/>
        <w:rPr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Rule="auto"/>
        <w:jc w:val="both"/>
        <w:rPr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Nowi liderzy rynku. Kto wygra na naprawach? </w:t>
      </w:r>
    </w:p>
    <w:p w:rsidR="00000000" w:rsidDel="00000000" w:rsidP="00000000" w:rsidRDefault="00000000" w:rsidRPr="00000000" w14:paraId="0000000A">
      <w:pPr>
        <w:spacing w:after="280" w:before="2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Wiele wskazuje więc na to, że po wejściu w życie nowych regulacji największą przewagę na rynku elektroniki i AGD zyskają te firmy, które potraktują serwis jako integralną część produktu. Kluczem do sukcesu w roku 2026 i w latach późniejszych będzie też zmiana modeli biznesowych - odejście od schematu jednorazowej sprzedaży produktu na rzecz budowy długofalowych relacji posprzedażowych i projektowania urządzeń o wieloletnim cyklu życia. Coraz większego znaczenia będzie również nabierać pozyskiwanie i analiza danych serwisowych. Dzięki nim producenci uzyskają możliwość szybszej identyfikacji usterek, poprawy konstrukcji urządzeń oraz zmniejszenia kosztów obsługi klienta.</w:t>
      </w:r>
    </w:p>
    <w:p w:rsidR="00000000" w:rsidDel="00000000" w:rsidP="00000000" w:rsidRDefault="00000000" w:rsidRPr="00000000" w14:paraId="0000000B">
      <w:pPr>
        <w:spacing w:after="280" w:lineRule="auto"/>
        <w:jc w:val="both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Rynek elektroniki zmierza w stronę, w której naprawialność i przejrzystość procesów posprzedażowych staną się warunkiem konkurowania. To, co dziś traktujemy jako wymogi regulacyjne, w nadchodzących latach stanie się naturalnym elementem projektowania i obsługi produktów. Firmy, które nauczą się tworzyć zamknięte obiegi materiałów i aktywnie wspierać użytkowników w całym cyklu życia urządzenia wdrażając podejście PaaS (ang. Product-as-a-Service), czy też wzmacniając cyfrowe doświadczenia klientów, będą liderami rynku - zarówno pod względem kosztów, jak i trwałego zaufania - </w:t>
      </w:r>
      <w:r w:rsidDel="00000000" w:rsidR="00000000" w:rsidRPr="00000000">
        <w:rPr>
          <w:sz w:val="22"/>
          <w:szCs w:val="22"/>
          <w:rtl w:val="0"/>
        </w:rPr>
        <w:t xml:space="preserve">podsumowuje Mariusz Ryło.</w:t>
      </w:r>
    </w:p>
    <w:p w:rsidR="00000000" w:rsidDel="00000000" w:rsidP="00000000" w:rsidRDefault="00000000" w:rsidRPr="00000000" w14:paraId="0000000C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sz w:val="56"/>
      <w:szCs w:val="56"/>
    </w:rPr>
  </w:style>
  <w:style w:type="paragraph" w:styleId="Nagwek7">
    <w:name w:val="heading 7"/>
    <w:link w:val="Nagwek7Znak"/>
    <w:uiPriority w:val="9"/>
    <w:semiHidden w:val="1"/>
    <w:unhideWhenUsed w:val="1"/>
    <w:qFormat w:val="1"/>
    <w:rsid w:val="009B0552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link w:val="Nagwek8Znak"/>
    <w:uiPriority w:val="9"/>
    <w:semiHidden w:val="1"/>
    <w:unhideWhenUsed w:val="1"/>
    <w:qFormat w:val="1"/>
    <w:rsid w:val="009B0552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link w:val="Nagwek9Znak"/>
    <w:uiPriority w:val="9"/>
    <w:semiHidden w:val="1"/>
    <w:unhideWhenUsed w:val="1"/>
    <w:qFormat w:val="1"/>
    <w:rsid w:val="009B0552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Nagwek1Znak" w:customStyle="1">
    <w:name w:val="Nagłówek 1 Znak"/>
    <w:basedOn w:val="Domylnaczcionkaakapitu"/>
    <w:uiPriority w:val="9"/>
    <w:rsid w:val="009B0552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uiPriority w:val="9"/>
    <w:rsid w:val="009B055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uiPriority w:val="9"/>
    <w:rsid w:val="009B0552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uiPriority w:val="9"/>
    <w:semiHidden w:val="1"/>
    <w:rsid w:val="009B0552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uiPriority w:val="9"/>
    <w:semiHidden w:val="1"/>
    <w:rsid w:val="009B0552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uiPriority w:val="9"/>
    <w:semiHidden w:val="1"/>
    <w:rsid w:val="009B0552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9B0552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9B0552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9B0552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uiPriority w:val="10"/>
    <w:rsid w:val="009B055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uiPriority w:val="11"/>
    <w:rsid w:val="009B055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link w:val="CytatZnak"/>
    <w:uiPriority w:val="29"/>
    <w:qFormat w:val="1"/>
    <w:rsid w:val="009B0552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9B0552"/>
    <w:rPr>
      <w:i w:val="1"/>
      <w:iCs w:val="1"/>
      <w:color w:val="404040" w:themeColor="text1" w:themeTint="0000BF"/>
    </w:rPr>
  </w:style>
  <w:style w:type="paragraph" w:styleId="Akapitzlist">
    <w:name w:val="List Paragraph"/>
    <w:uiPriority w:val="34"/>
    <w:qFormat w:val="1"/>
    <w:rsid w:val="009B0552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9B0552"/>
    <w:rPr>
      <w:i w:val="1"/>
      <w:iCs w:val="1"/>
      <w:color w:val="2f5496" w:themeColor="accent1" w:themeShade="0000BF"/>
    </w:rPr>
  </w:style>
  <w:style w:type="paragraph" w:styleId="Cytatintensywny">
    <w:name w:val="Intense Quote"/>
    <w:link w:val="CytatintensywnyZnak"/>
    <w:uiPriority w:val="30"/>
    <w:qFormat w:val="1"/>
    <w:rsid w:val="009B0552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9B0552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9B0552"/>
    <w:rPr>
      <w:b w:val="1"/>
      <w:bCs w:val="1"/>
      <w:smallCaps w:val="1"/>
      <w:color w:val="2f5496" w:themeColor="accent1" w:themeShade="0000BF"/>
      <w:spacing w:val="5"/>
    </w:rPr>
  </w:style>
  <w:style w:type="character" w:styleId="Pogrubienie">
    <w:name w:val="Strong"/>
    <w:basedOn w:val="Domylnaczcionkaakapitu"/>
    <w:uiPriority w:val="22"/>
    <w:qFormat w:val="1"/>
    <w:rsid w:val="009B0552"/>
    <w:rPr>
      <w:b w:val="1"/>
      <w:bCs w:val="1"/>
    </w:rPr>
  </w:style>
  <w:style w:type="paragraph" w:styleId="NormalnyWeb">
    <w:name w:val="Normal (Web)"/>
    <w:uiPriority w:val="99"/>
    <w:semiHidden w:val="1"/>
    <w:unhideWhenUsed w:val="1"/>
    <w:rsid w:val="009B0552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Uwydatnienie">
    <w:name w:val="Emphasis"/>
    <w:basedOn w:val="Domylnaczcionkaakapitu"/>
    <w:uiPriority w:val="20"/>
    <w:qFormat w:val="1"/>
    <w:rsid w:val="009B0552"/>
    <w:rPr>
      <w:i w:val="1"/>
      <w:iCs w:val="1"/>
    </w:rPr>
  </w:style>
  <w:style w:type="character" w:styleId="apple-converted-space" w:customStyle="1">
    <w:name w:val="apple-converted-space"/>
    <w:basedOn w:val="Domylnaczcionkaakapitu"/>
    <w:rsid w:val="009B0552"/>
  </w:style>
  <w:style w:type="character" w:styleId="Hipercze">
    <w:name w:val="Hyperlink"/>
    <w:basedOn w:val="Domylnaczcionkaakapitu"/>
    <w:uiPriority w:val="99"/>
    <w:semiHidden w:val="1"/>
    <w:unhideWhenUsed w:val="1"/>
    <w:rsid w:val="009B0552"/>
    <w:rPr>
      <w:color w:val="0000ff"/>
      <w:u w:val="single"/>
    </w:rPr>
  </w:style>
  <w:style w:type="paragraph" w:styleId="Poprawka">
    <w:name w:val="Revision"/>
    <w:hidden w:val="1"/>
    <w:uiPriority w:val="99"/>
    <w:semiHidden w:val="1"/>
    <w:rsid w:val="00C2296E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C229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C2296E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C229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C2296E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C2296E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yNtQrGudlSvsbkWfPogvkR+rA==">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2025-12-15T12:49:00Z</dcterms:created>
  <dc:creator>Gabriela Ryka</dc:creator>
</cp:coreProperties>
</file>