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0AE" w:rsidP="304A23C7" w:rsidRDefault="002150AE" w14:paraId="4B19880D" w14:textId="09E7BC35">
      <w:pPr>
        <w:pBdr>
          <w:top w:val="single" w:color="000000" w:sz="18" w:space="1"/>
          <w:bottom w:val="single" w:color="000000" w:sz="18" w:space="1"/>
        </w:pBdr>
        <w:ind w:left="360"/>
        <w:rPr>
          <w:i w:val="1"/>
          <w:iCs w:val="1"/>
          <w:sz w:val="20"/>
          <w:szCs w:val="20"/>
          <w:lang w:val="en-US"/>
        </w:rPr>
      </w:pPr>
      <w:r w:rsidRPr="304A23C7" w:rsidR="284C25DB">
        <w:rPr>
          <w:rFonts w:ascii="Aptos" w:hAnsi="Aptos" w:eastAsia="Aptos" w:cs="Aptos"/>
          <w:b w:val="1"/>
          <w:bCs w:val="1"/>
          <w:color w:val="D13438"/>
          <w:sz w:val="28"/>
          <w:szCs w:val="28"/>
          <w:u w:val="single"/>
          <w:lang w:val="en-GB"/>
        </w:rPr>
        <w:t>Trinasolar</w:t>
      </w:r>
      <w:r w:rsidRPr="304A23C7" w:rsidR="284C25DB">
        <w:rPr>
          <w:rFonts w:ascii="Aptos" w:hAnsi="Aptos" w:eastAsia="Aptos" w:cs="Aptos"/>
          <w:b w:val="1"/>
          <w:bCs w:val="1"/>
          <w:color w:val="D13438"/>
          <w:sz w:val="28"/>
          <w:szCs w:val="28"/>
          <w:u w:val="single"/>
          <w:lang w:val="en-GB"/>
        </w:rPr>
        <w:t xml:space="preserve"> and </w:t>
      </w:r>
      <w:r w:rsidRPr="304A23C7" w:rsidR="284C25DB">
        <w:rPr>
          <w:rFonts w:ascii="Aptos" w:hAnsi="Aptos" w:eastAsia="Aptos" w:cs="Aptos"/>
          <w:b w:val="1"/>
          <w:bCs w:val="1"/>
          <w:color w:val="D13438"/>
          <w:sz w:val="28"/>
          <w:szCs w:val="28"/>
          <w:u w:val="single"/>
          <w:lang w:val="en-GB"/>
        </w:rPr>
        <w:t>HoloSolis</w:t>
      </w:r>
      <w:r w:rsidRPr="304A23C7" w:rsidR="284C25DB">
        <w:rPr>
          <w:rFonts w:ascii="Aptos" w:hAnsi="Aptos" w:eastAsia="Aptos" w:cs="Aptos"/>
          <w:b w:val="1"/>
          <w:bCs w:val="1"/>
          <w:color w:val="D13438"/>
          <w:sz w:val="28"/>
          <w:szCs w:val="28"/>
          <w:u w:val="single"/>
          <w:lang w:val="en-GB"/>
        </w:rPr>
        <w:t xml:space="preserve"> Sign Strategic Cooperation Agreement to Advance European Solar Manufacturing and Energy Transition</w:t>
      </w:r>
    </w:p>
    <w:p w:rsidR="002150AE" w:rsidP="304A23C7" w:rsidRDefault="002150AE" w14:paraId="7DD3EB32" w14:textId="5891F783">
      <w:pPr>
        <w:pBdr>
          <w:top w:val="single" w:color="000000" w:sz="18" w:space="1"/>
          <w:bottom w:val="single" w:color="000000" w:sz="18" w:space="1"/>
        </w:pBdr>
        <w:ind w:left="360"/>
        <w:rPr>
          <w:i w:val="1"/>
          <w:iCs w:val="1"/>
          <w:sz w:val="20"/>
          <w:szCs w:val="20"/>
          <w:lang w:val="en-US"/>
        </w:rPr>
      </w:pPr>
      <w:r w:rsidRPr="304A23C7" w:rsidR="002150AE">
        <w:rPr>
          <w:i w:val="1"/>
          <w:iCs w:val="1"/>
          <w:sz w:val="20"/>
          <w:szCs w:val="20"/>
          <w:lang w:val="en-US"/>
        </w:rPr>
        <w:t xml:space="preserve">During French President Emmanuel Macron's state visit at the invitation of Chinese President Xi Jinping, </w:t>
      </w:r>
      <w:r w:rsidRPr="304A23C7" w:rsidR="002150AE">
        <w:rPr>
          <w:i w:val="1"/>
          <w:iCs w:val="1"/>
          <w:sz w:val="20"/>
          <w:szCs w:val="20"/>
          <w:lang w:val="en-US"/>
        </w:rPr>
        <w:t>Trina</w:t>
      </w:r>
      <w:r w:rsidRPr="304A23C7" w:rsidR="000AE2EC">
        <w:rPr>
          <w:i w:val="1"/>
          <w:iCs w:val="1"/>
          <w:sz w:val="20"/>
          <w:szCs w:val="20"/>
          <w:lang w:val="en-US"/>
        </w:rPr>
        <w:t>s</w:t>
      </w:r>
      <w:r w:rsidRPr="304A23C7" w:rsidR="002150AE">
        <w:rPr>
          <w:i w:val="1"/>
          <w:iCs w:val="1"/>
          <w:sz w:val="20"/>
          <w:szCs w:val="20"/>
          <w:lang w:val="en-US"/>
        </w:rPr>
        <w:t>olar</w:t>
      </w:r>
      <w:r w:rsidRPr="304A23C7" w:rsidR="002150AE">
        <w:rPr>
          <w:i w:val="1"/>
          <w:iCs w:val="1"/>
          <w:sz w:val="20"/>
          <w:szCs w:val="20"/>
          <w:lang w:val="en-US"/>
        </w:rPr>
        <w:t xml:space="preserve"> announced its intention to invest in the French PV gigafactory project </w:t>
      </w:r>
      <w:r w:rsidRPr="304A23C7" w:rsidR="002150AE">
        <w:rPr>
          <w:i w:val="1"/>
          <w:iCs w:val="1"/>
          <w:sz w:val="20"/>
          <w:szCs w:val="20"/>
          <w:lang w:val="en-US"/>
        </w:rPr>
        <w:t>HoloSolis</w:t>
      </w:r>
      <w:r w:rsidRPr="304A23C7" w:rsidR="002150AE">
        <w:rPr>
          <w:i w:val="1"/>
          <w:iCs w:val="1"/>
          <w:sz w:val="20"/>
          <w:szCs w:val="20"/>
          <w:lang w:val="en-US"/>
        </w:rPr>
        <w:t xml:space="preserve">. </w:t>
      </w:r>
    </w:p>
    <w:p w:rsidRPr="00D81A9D" w:rsidR="002150AE" w:rsidP="002150AE" w:rsidRDefault="002150AE" w14:paraId="0C4C0C64" w14:textId="3E7A3CF4">
      <w:pPr>
        <w:jc w:val="both"/>
        <w:rPr>
          <w:lang w:val="en-US"/>
        </w:rPr>
      </w:pPr>
      <w:r w:rsidRPr="7581795D">
        <w:rPr>
          <w:b/>
          <w:bCs/>
          <w:lang w:val="en-US"/>
        </w:rPr>
        <w:t>Trinasolar</w:t>
      </w:r>
      <w:r w:rsidRPr="7581795D">
        <w:rPr>
          <w:lang w:val="en-US"/>
        </w:rPr>
        <w:t xml:space="preserve"> is a global leading provider for photovoltaic (PV) module</w:t>
      </w:r>
      <w:r w:rsidRPr="7581795D" w:rsidR="6E116B6A">
        <w:rPr>
          <w:lang w:val="en-US"/>
        </w:rPr>
        <w:t>s</w:t>
      </w:r>
      <w:r w:rsidRPr="7581795D">
        <w:rPr>
          <w:lang w:val="en-US"/>
        </w:rPr>
        <w:t xml:space="preserve"> and smart energy solutions founded in 1997. Trinasolar delivers PV products, applications and services to promote global sustainable development. Through constant innovation, Trinasolar continues to push the PV industry forward by creating greater grid parity of PV power and popularising renewable energy. Trinasolar's mission is to boost global renewable energy development around the world. </w:t>
      </w:r>
    </w:p>
    <w:p w:rsidR="002150AE" w:rsidP="002150AE" w:rsidRDefault="002150AE" w14:paraId="6107AAB9" w14:textId="77777777">
      <w:pPr>
        <w:jc w:val="both"/>
        <w:rPr>
          <w:lang w:val="en-US"/>
        </w:rPr>
      </w:pPr>
      <w:r w:rsidRPr="003125F0">
        <w:rPr>
          <w:lang w:val="en-US"/>
        </w:rPr>
        <w:t xml:space="preserve">The </w:t>
      </w:r>
      <w:r w:rsidRPr="002150AE">
        <w:rPr>
          <w:b/>
          <w:bCs/>
          <w:lang w:val="en-US"/>
        </w:rPr>
        <w:t>HoloSolis</w:t>
      </w:r>
      <w:r w:rsidRPr="003125F0">
        <w:rPr>
          <w:lang w:val="en-US"/>
        </w:rPr>
        <w:t xml:space="preserve"> photovoltaic manufacturing project in France is a flagship initiative under the EU's green manufacturing system development program. With a total investment of </w:t>
      </w:r>
      <w:r>
        <w:rPr>
          <w:lang w:val="en-US"/>
        </w:rPr>
        <w:t xml:space="preserve">almost one billion </w:t>
      </w:r>
      <w:r w:rsidRPr="003125F0">
        <w:rPr>
          <w:lang w:val="en-US"/>
        </w:rPr>
        <w:t>euros, it is projected to create approximately 2,000 direct jobs. The facility is designed for an annual production capacity of 5GW, equivalent to manufacturing around 10 million photovoltaic modules per year—enough to meet the clean energy needs of approximately one million households. Designated by the French government as a “Project of National Interest” receiving priority support, this initiative holds significant strategic importance for strengthening Sino-European green industry cooperation, enhancing Europe's local photovoltaic manufacturing capabilities, and advancing regional energy transition. </w:t>
      </w:r>
    </w:p>
    <w:p w:rsidR="002150AE" w:rsidP="002150AE" w:rsidRDefault="002150AE" w14:paraId="2D1BB3E9" w14:textId="77777777">
      <w:pPr>
        <w:jc w:val="both"/>
        <w:rPr>
          <w:lang w:val="en-US"/>
        </w:rPr>
      </w:pPr>
    </w:p>
    <w:p w:rsidRPr="003125F0" w:rsidR="002150AE" w:rsidP="002150AE" w:rsidRDefault="002150AE" w14:paraId="24537FAF" w14:textId="0117155C">
      <w:pPr>
        <w:jc w:val="both"/>
        <w:rPr>
          <w:lang w:val="en-US"/>
        </w:rPr>
      </w:pPr>
      <w:r w:rsidRPr="5B16C43E">
        <w:rPr>
          <w:lang w:val="en-US"/>
        </w:rPr>
        <w:t>On December 4</w:t>
      </w:r>
      <w:r w:rsidRPr="5B16C43E">
        <w:rPr>
          <w:vertAlign w:val="superscript"/>
          <w:lang w:val="en-US"/>
        </w:rPr>
        <w:t>th</w:t>
      </w:r>
      <w:r w:rsidRPr="5B16C43E">
        <w:rPr>
          <w:lang w:val="en-US"/>
        </w:rPr>
        <w:t>, during the France – China Summit, Trina</w:t>
      </w:r>
      <w:r w:rsidRPr="5B16C43E" w:rsidR="3B68C6B4">
        <w:rPr>
          <w:lang w:val="en-US"/>
        </w:rPr>
        <w:t>s</w:t>
      </w:r>
      <w:r w:rsidRPr="5B16C43E">
        <w:rPr>
          <w:lang w:val="en-US"/>
        </w:rPr>
        <w:t xml:space="preserve">olar and HoloSolis signed a </w:t>
      </w:r>
      <w:r w:rsidRPr="5B16C43E" w:rsidR="00E86923">
        <w:rPr>
          <w:lang w:val="en-US"/>
        </w:rPr>
        <w:t xml:space="preserve">strategic cooperation </w:t>
      </w:r>
      <w:r w:rsidRPr="5B16C43E">
        <w:rPr>
          <w:lang w:val="en-US"/>
        </w:rPr>
        <w:t>agreement. Trina </w:t>
      </w:r>
      <w:r w:rsidRPr="5B16C43E" w:rsidR="7378B2C3">
        <w:rPr>
          <w:lang w:val="en-US"/>
        </w:rPr>
        <w:t>s</w:t>
      </w:r>
      <w:r w:rsidRPr="5B16C43E">
        <w:rPr>
          <w:lang w:val="en-US"/>
        </w:rPr>
        <w:t>olar will participate as a key partner in project investment and</w:t>
      </w:r>
      <w:r w:rsidRPr="5B16C43E" w:rsidR="00E86923">
        <w:rPr>
          <w:lang w:val="en-US"/>
        </w:rPr>
        <w:t xml:space="preserve"> development, as well as</w:t>
      </w:r>
      <w:r w:rsidRPr="5B16C43E">
        <w:rPr>
          <w:lang w:val="en-US"/>
        </w:rPr>
        <w:t xml:space="preserve"> provide specialized consulting services to ensure high-quality implementation, further deepening collaborative opportunities and strategic value between China and Europe in the green manufacturing sector.</w:t>
      </w:r>
    </w:p>
    <w:p w:rsidRPr="002150AE" w:rsidR="002150AE" w:rsidP="002150AE" w:rsidRDefault="002150AE" w14:paraId="1043434B" w14:textId="42C729F8">
      <w:pPr>
        <w:spacing w:before="240" w:after="240"/>
        <w:rPr>
          <w:rFonts w:ascii="Aptos" w:hAnsi="Aptos" w:eastAsia="Aptos" w:cs="Aptos"/>
          <w:lang w:val="en-US"/>
        </w:rPr>
      </w:pPr>
      <w:r w:rsidRPr="5B16C43E">
        <w:rPr>
          <w:lang w:val="en-US"/>
        </w:rPr>
        <w:t xml:space="preserve">This agreement is a follow-up to the technical partnership agreement signed during the summer, </w:t>
      </w:r>
      <w:r w:rsidRPr="5B16C43E" w:rsidR="438EA8D5">
        <w:rPr>
          <w:rFonts w:ascii="Aptos" w:hAnsi="Aptos" w:eastAsia="Aptos" w:cs="Aptos"/>
          <w:lang w:val="en-US"/>
        </w:rPr>
        <w:t>providing</w:t>
      </w:r>
      <w:r w:rsidRPr="5B16C43E">
        <w:rPr>
          <w:rFonts w:ascii="Aptos" w:hAnsi="Aptos" w:eastAsia="Aptos" w:cs="Aptos"/>
          <w:lang w:val="en-US"/>
        </w:rPr>
        <w:t xml:space="preserve"> HoloSolis </w:t>
      </w:r>
      <w:r w:rsidRPr="5B16C43E" w:rsidR="032F0D74">
        <w:rPr>
          <w:rFonts w:ascii="Aptos" w:hAnsi="Aptos" w:eastAsia="Aptos" w:cs="Aptos"/>
          <w:lang w:val="en-US"/>
        </w:rPr>
        <w:t>access to</w:t>
      </w:r>
      <w:r w:rsidRPr="5B16C43E">
        <w:rPr>
          <w:rFonts w:ascii="Aptos" w:hAnsi="Aptos" w:eastAsia="Aptos" w:cs="Aptos"/>
          <w:lang w:val="en-US"/>
        </w:rPr>
        <w:t xml:space="preserve"> Trinasolar’s TOPCon (Tunnel Oxide Passivated Contact) solar cell technology.</w:t>
      </w:r>
    </w:p>
    <w:p w:rsidR="002150AE" w:rsidP="002150AE" w:rsidRDefault="002150AE" w14:paraId="0DE19667" w14:textId="7F79544E">
      <w:pPr>
        <w:jc w:val="both"/>
        <w:rPr>
          <w:lang w:val="en-US"/>
        </w:rPr>
      </w:pPr>
    </w:p>
    <w:p w:rsidR="5280C609" w:rsidP="7581795D" w:rsidRDefault="5280C609" w14:paraId="3D73BB8F" w14:textId="5246FAC9">
      <w:pPr>
        <w:jc w:val="both"/>
      </w:pPr>
      <w:r w:rsidRPr="7581795D">
        <w:rPr>
          <w:b/>
          <w:bCs/>
        </w:rPr>
        <w:t>Image:</w:t>
      </w:r>
      <w:r w:rsidRPr="7581795D">
        <w:t xml:space="preserve"> </w:t>
      </w:r>
      <w:hyperlink r:id="rId8">
        <w:r w:rsidRPr="7581795D">
          <w:rPr>
            <w:rStyle w:val="Hyperlink"/>
          </w:rPr>
          <w:t>https://bit.ly/48uu4xi</w:t>
        </w:r>
      </w:hyperlink>
      <w:r w:rsidRPr="7581795D">
        <w:t xml:space="preserve"> </w:t>
      </w:r>
      <w:r>
        <w:br/>
      </w:r>
      <w:r w:rsidRPr="7581795D">
        <w:rPr>
          <w:b/>
          <w:bCs/>
        </w:rPr>
        <w:t>Caption:</w:t>
      </w:r>
      <w:r w:rsidRPr="7581795D">
        <w:t xml:space="preserve"> </w:t>
      </w:r>
      <w:r w:rsidRPr="7581795D" w:rsidR="3CE7C903">
        <w:t>Trinasolar and HoloSolis formalize their strategic cooperation agreement during the France–China Summit in Beijing.</w:t>
      </w:r>
      <w:r>
        <w:br/>
      </w:r>
      <w:r w:rsidRPr="7581795D">
        <w:rPr>
          <w:b/>
          <w:bCs/>
        </w:rPr>
        <w:t>Source:</w:t>
      </w:r>
      <w:r w:rsidRPr="7581795D">
        <w:t xml:space="preserve"> HoloSolis</w:t>
      </w:r>
    </w:p>
    <w:p w:rsidR="7581795D" w:rsidP="7581795D" w:rsidRDefault="7581795D" w14:paraId="2B86EA17" w14:textId="6C8D1F63">
      <w:pPr>
        <w:jc w:val="both"/>
        <w:rPr>
          <w:lang w:val="en-US"/>
        </w:rPr>
      </w:pPr>
    </w:p>
    <w:p w:rsidR="698FB774" w:rsidP="7581795D" w:rsidRDefault="698FB774" w14:paraId="6C4913F0" w14:textId="5D3CBD3B">
      <w:pPr>
        <w:shd w:val="clear" w:color="auto" w:fill="FFFFFF" w:themeFill="background1"/>
        <w:spacing w:after="144"/>
        <w:jc w:val="both"/>
        <w:rPr>
          <w:rFonts w:ascii="Aptos" w:hAnsi="Aptos" w:eastAsia="Aptos" w:cs="Aptos"/>
          <w:lang w:val="en-US"/>
        </w:rPr>
      </w:pPr>
      <w:r w:rsidRPr="7581795D">
        <w:rPr>
          <w:rFonts w:eastAsiaTheme="minorEastAsia"/>
          <w:b/>
          <w:bCs/>
          <w:lang w:val="en-US"/>
        </w:rPr>
        <w:t xml:space="preserve">About Trinasolar </w:t>
      </w:r>
      <w:r>
        <w:br/>
      </w:r>
      <w:r w:rsidRPr="7581795D">
        <w:rPr>
          <w:rFonts w:eastAsiaTheme="minorEastAsia"/>
          <w:lang w:val="en-US"/>
        </w:rPr>
        <w:t xml:space="preserve">Trinasolar was founded in 1997. As a global leading provider for photovoltaic (PV) module and smart energy solutions, Trinasolar delivers PV products, applications and services to promote global sustainable development. Through constant innovation, Trinasolar continues to push the PV industry forward by creating greater grid parity of PV power and popularising renewable energy. Trinasolar's mission is to boost global renewable energy development around the world.  In June 2020, Trinasolar listed on the STAR Market of Shanghai Stock Exchange.   </w:t>
      </w:r>
    </w:p>
    <w:p w:rsidR="698FB774" w:rsidP="7581795D" w:rsidRDefault="698FB774" w14:paraId="56901756" w14:textId="037BDBB2">
      <w:pPr>
        <w:shd w:val="clear" w:color="auto" w:fill="FFFFFF" w:themeFill="background1"/>
        <w:spacing w:after="144"/>
        <w:jc w:val="both"/>
        <w:rPr>
          <w:rFonts w:ascii="Aptos" w:hAnsi="Aptos" w:eastAsia="Aptos" w:cs="Aptos"/>
          <w:lang w:val="en-US"/>
        </w:rPr>
      </w:pPr>
      <w:r w:rsidRPr="7581795D">
        <w:rPr>
          <w:rFonts w:eastAsiaTheme="minorEastAsia"/>
          <w:lang w:val="en-US"/>
        </w:rPr>
        <w:t>To date, Trinasolar has delivered more than 290 GW of solar modules worldwide. By the end of June 2025, Trinasolar has over 7,500 patent applications and over 3,400 granted patents, including 1,274 invention patents. For more information, please visit </w:t>
      </w:r>
      <w:hyperlink r:id="rId9">
        <w:r w:rsidRPr="7581795D">
          <w:rPr>
            <w:rStyle w:val="Hyperlink"/>
            <w:rFonts w:ascii="Aptos" w:hAnsi="Aptos" w:eastAsia="Aptos" w:cs="Aptos"/>
            <w:sz w:val="27"/>
            <w:szCs w:val="27"/>
            <w:lang w:val="en-US"/>
          </w:rPr>
          <w:t>www.trinasolar.com</w:t>
        </w:r>
      </w:hyperlink>
      <w:r w:rsidRPr="7581795D">
        <w:rPr>
          <w:rFonts w:eastAsiaTheme="minorEastAsia"/>
          <w:lang w:val="en-US"/>
        </w:rPr>
        <w:t xml:space="preserve">.  </w:t>
      </w:r>
    </w:p>
    <w:p w:rsidR="698FB774" w:rsidP="7581795D" w:rsidRDefault="698FB774" w14:paraId="7A5C33FC" w14:textId="53D71A1A">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 </w:t>
      </w:r>
    </w:p>
    <w:p w:rsidR="698FB774" w:rsidP="7581795D" w:rsidRDefault="698FB774" w14:paraId="072FAEC7" w14:textId="63B3CEE9">
      <w:pPr>
        <w:shd w:val="clear" w:color="auto" w:fill="FFFFFF" w:themeFill="background1"/>
        <w:spacing w:after="144"/>
        <w:jc w:val="both"/>
        <w:rPr>
          <w:rFonts w:ascii="Aptos" w:hAnsi="Aptos" w:eastAsia="Aptos" w:cs="Aptos"/>
          <w:b/>
          <w:bCs/>
          <w:lang w:val="en-US"/>
        </w:rPr>
      </w:pPr>
      <w:r w:rsidRPr="7581795D">
        <w:rPr>
          <w:rFonts w:eastAsiaTheme="minorEastAsia"/>
          <w:b/>
          <w:bCs/>
          <w:lang w:val="en-US"/>
        </w:rPr>
        <w:t xml:space="preserve">About HoloSolis </w:t>
      </w:r>
    </w:p>
    <w:p w:rsidR="698FB774" w:rsidP="7581795D" w:rsidRDefault="698FB774" w14:paraId="74447BE8" w14:textId="6AD3D342">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HoloSolis was created in 2022 to reshore PV production in Europe. HoloSolis production of PV cells and modules will be an answer to the appetite of EU PV developers for European made panels created by the new European and National regulations. Thanks to its size, HoloSolis will bring a sustainable and competitive alternative of PV Panels currently on the market. </w:t>
      </w:r>
    </w:p>
    <w:p w:rsidR="698FB774" w:rsidP="7581795D" w:rsidRDefault="698FB774" w14:paraId="1EA25EC0" w14:textId="186AEAA7">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HoloSolis has secured all the permits it needs to launch construction of its plant in 2026: </w:t>
      </w:r>
    </w:p>
    <w:p w:rsidR="698FB774" w:rsidP="7581795D" w:rsidRDefault="698FB774" w14:paraId="3D8F4D86" w14:textId="1CA1AC2C">
      <w:pPr>
        <w:pStyle w:val="ListParagraph"/>
        <w:numPr>
          <w:ilvl w:val="0"/>
          <w:numId w:val="5"/>
        </w:numPr>
        <w:shd w:val="clear" w:color="auto" w:fill="FFFFFF" w:themeFill="background1"/>
        <w:spacing w:before="270" w:after="270"/>
        <w:jc w:val="both"/>
        <w:rPr>
          <w:rFonts w:ascii="Aptos" w:hAnsi="Aptos" w:eastAsia="Aptos" w:cs="Aptos"/>
          <w:lang w:val="en-US"/>
        </w:rPr>
      </w:pPr>
      <w:r w:rsidRPr="7581795D">
        <w:rPr>
          <w:rFonts w:eastAsiaTheme="minorEastAsia"/>
          <w:lang w:val="en-US"/>
        </w:rPr>
        <w:t xml:space="preserve">15 May 2024: signing of the land acquisition contract for the site in Hambach </w:t>
      </w:r>
    </w:p>
    <w:p w:rsidR="698FB774" w:rsidP="7581795D" w:rsidRDefault="698FB774" w14:paraId="3A3DEA19" w14:textId="6426ADCA">
      <w:pPr>
        <w:pStyle w:val="ListParagraph"/>
        <w:numPr>
          <w:ilvl w:val="0"/>
          <w:numId w:val="4"/>
        </w:numPr>
        <w:shd w:val="clear" w:color="auto" w:fill="FFFFFF" w:themeFill="background1"/>
        <w:spacing w:before="270" w:after="270"/>
        <w:jc w:val="both"/>
        <w:rPr>
          <w:rFonts w:ascii="Aptos" w:hAnsi="Aptos" w:eastAsia="Aptos" w:cs="Aptos"/>
          <w:lang w:val="en-US"/>
        </w:rPr>
      </w:pPr>
      <w:r w:rsidRPr="7581795D">
        <w:rPr>
          <w:rFonts w:eastAsiaTheme="minorEastAsia"/>
          <w:lang w:val="en-US"/>
        </w:rPr>
        <w:t xml:space="preserve">17 May 2024: signature with RTE for a high-voltage connection in 2027 </w:t>
      </w:r>
    </w:p>
    <w:p w:rsidR="698FB774" w:rsidP="7581795D" w:rsidRDefault="698FB774" w14:paraId="740FAFD8" w14:textId="45C5069B">
      <w:pPr>
        <w:pStyle w:val="ListParagraph"/>
        <w:numPr>
          <w:ilvl w:val="0"/>
          <w:numId w:val="2"/>
        </w:numPr>
        <w:shd w:val="clear" w:color="auto" w:fill="FFFFFF" w:themeFill="background1"/>
        <w:spacing w:before="270" w:after="270"/>
        <w:jc w:val="both"/>
        <w:rPr>
          <w:rFonts w:ascii="Aptos" w:hAnsi="Aptos" w:eastAsia="Aptos" w:cs="Aptos"/>
          <w:lang w:val="en-US"/>
        </w:rPr>
      </w:pPr>
      <w:r w:rsidRPr="7581795D">
        <w:rPr>
          <w:rFonts w:eastAsiaTheme="minorEastAsia"/>
          <w:lang w:val="en-US"/>
        </w:rPr>
        <w:t xml:space="preserve">24 January 2025: building permit and environmental authorization obtained </w:t>
      </w:r>
    </w:p>
    <w:p w:rsidR="698FB774" w:rsidP="7581795D" w:rsidRDefault="698FB774" w14:paraId="39013C9A" w14:textId="04DD750B">
      <w:pPr>
        <w:pStyle w:val="ListParagraph"/>
        <w:numPr>
          <w:ilvl w:val="0"/>
          <w:numId w:val="3"/>
        </w:numPr>
        <w:shd w:val="clear" w:color="auto" w:fill="FFFFFF" w:themeFill="background1"/>
        <w:spacing w:before="270" w:after="270"/>
        <w:jc w:val="both"/>
        <w:rPr>
          <w:rFonts w:ascii="Aptos" w:hAnsi="Aptos" w:eastAsia="Aptos" w:cs="Aptos"/>
          <w:lang w:val="en-US"/>
        </w:rPr>
      </w:pPr>
      <w:r w:rsidRPr="7581795D">
        <w:rPr>
          <w:rFonts w:eastAsiaTheme="minorEastAsia"/>
          <w:lang w:val="en-US"/>
        </w:rPr>
        <w:t xml:space="preserve">No appeals registered, proof of successful local consultation </w:t>
      </w:r>
    </w:p>
    <w:p w:rsidR="698FB774" w:rsidP="7581795D" w:rsidRDefault="698FB774" w14:paraId="63B7586B" w14:textId="256237DB">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 </w:t>
      </w:r>
    </w:p>
    <w:p w:rsidR="698FB774" w:rsidP="7581795D" w:rsidRDefault="698FB774" w14:paraId="7B08AD6A" w14:textId="3D991457">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The project exceeds regulatory standards, particularly in terms of water consumption and discharges, with a strong commitment to industrial sobriety. </w:t>
      </w:r>
    </w:p>
    <w:p w:rsidR="698FB774" w:rsidP="7581795D" w:rsidRDefault="698FB774" w14:paraId="3D0F7986" w14:textId="28807D28">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 </w:t>
      </w:r>
    </w:p>
    <w:p w:rsidR="698FB774" w:rsidP="7581795D" w:rsidRDefault="698FB774" w14:paraId="1878BE69" w14:textId="4156B629">
      <w:pPr>
        <w:shd w:val="clear" w:color="auto" w:fill="FFFFFF" w:themeFill="background1"/>
        <w:spacing w:after="144"/>
        <w:jc w:val="both"/>
        <w:rPr>
          <w:rFonts w:ascii="Aptos" w:hAnsi="Aptos" w:eastAsia="Aptos" w:cs="Aptos"/>
          <w:lang w:val="en-US"/>
        </w:rPr>
      </w:pPr>
      <w:r w:rsidRPr="7581795D">
        <w:rPr>
          <w:rFonts w:eastAsiaTheme="minorEastAsia"/>
          <w:b/>
          <w:bCs/>
          <w:lang w:val="en-US"/>
        </w:rPr>
        <w:t xml:space="preserve">Media enquiries </w:t>
      </w:r>
      <w:r>
        <w:br/>
      </w:r>
      <w:r w:rsidRPr="7581795D">
        <w:rPr>
          <w:rFonts w:eastAsiaTheme="minorEastAsia"/>
          <w:lang w:val="en-US"/>
        </w:rPr>
        <w:t xml:space="preserve">Trinasolar Europe    </w:t>
      </w:r>
      <w:r>
        <w:br/>
      </w:r>
      <w:r w:rsidRPr="7581795D">
        <w:rPr>
          <w:rFonts w:eastAsiaTheme="minorEastAsia"/>
          <w:lang w:val="en-US"/>
        </w:rPr>
        <w:t xml:space="preserve">Samantha Fecteau   </w:t>
      </w:r>
      <w:r>
        <w:br/>
      </w:r>
      <w:hyperlink r:id="rId10">
        <w:r w:rsidRPr="7581795D">
          <w:rPr>
            <w:rStyle w:val="Hyperlink"/>
            <w:rFonts w:ascii="Aptos" w:hAnsi="Aptos" w:eastAsia="Aptos" w:cs="Aptos"/>
            <w:sz w:val="27"/>
            <w:szCs w:val="27"/>
            <w:lang w:val="en-US"/>
          </w:rPr>
          <w:t>samantha.fecteau@trinasolar.com</w:t>
        </w:r>
      </w:hyperlink>
      <w:r w:rsidRPr="7581795D">
        <w:rPr>
          <w:rFonts w:eastAsiaTheme="minorEastAsia"/>
          <w:lang w:val="en-US"/>
        </w:rPr>
        <w:t xml:space="preserve">    </w:t>
      </w:r>
    </w:p>
    <w:p w:rsidR="698FB774" w:rsidP="7581795D" w:rsidRDefault="698FB774" w14:paraId="33DBE60A" w14:textId="6A11A066">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 </w:t>
      </w:r>
    </w:p>
    <w:p w:rsidR="698FB774" w:rsidP="7581795D" w:rsidRDefault="698FB774" w14:paraId="74EABE52" w14:textId="4E126CBD">
      <w:pPr>
        <w:shd w:val="clear" w:color="auto" w:fill="FFFFFF" w:themeFill="background1"/>
        <w:spacing w:after="144"/>
        <w:jc w:val="both"/>
        <w:rPr>
          <w:rFonts w:ascii="Aptos" w:hAnsi="Aptos" w:eastAsia="Aptos" w:cs="Aptos"/>
          <w:lang w:val="en-US"/>
        </w:rPr>
      </w:pPr>
      <w:r w:rsidRPr="7581795D">
        <w:rPr>
          <w:rFonts w:eastAsiaTheme="minorEastAsia"/>
          <w:lang w:val="en-US"/>
        </w:rPr>
        <w:t xml:space="preserve">HoloSolis - PR &amp; Communication Manager  </w:t>
      </w:r>
      <w:r>
        <w:br/>
      </w:r>
      <w:r w:rsidRPr="7581795D">
        <w:rPr>
          <w:rFonts w:eastAsiaTheme="minorEastAsia"/>
          <w:lang w:val="en-US"/>
        </w:rPr>
        <w:t xml:space="preserve">Isabelle Bigot </w:t>
      </w:r>
      <w:r>
        <w:br/>
      </w:r>
      <w:r w:rsidRPr="7581795D">
        <w:rPr>
          <w:rFonts w:eastAsiaTheme="minorEastAsia"/>
          <w:lang w:val="en-US"/>
        </w:rPr>
        <w:t>Mob. : +33 (0) 6 16 06 91 23</w:t>
      </w:r>
    </w:p>
    <w:p w:rsidR="7581795D" w:rsidP="7581795D" w:rsidRDefault="7581795D" w14:paraId="3653A6AC" w14:textId="73B5D8B5">
      <w:pPr>
        <w:jc w:val="both"/>
        <w:rPr>
          <w:rFonts w:ascii="Aptos" w:hAnsi="Aptos" w:eastAsia="Aptos" w:cs="Aptos"/>
          <w:lang w:val="en-US"/>
        </w:rPr>
      </w:pPr>
    </w:p>
    <w:sectPr w:rsidR="7581795D" w:rsidSect="002150A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C1DF"/>
    <w:multiLevelType w:val="hybridMultilevel"/>
    <w:tmpl w:val="FFFFFFFF"/>
    <w:lvl w:ilvl="0" w:tplc="82D001DE">
      <w:start w:val="1"/>
      <w:numFmt w:val="bullet"/>
      <w:lvlText w:val=""/>
      <w:lvlJc w:val="left"/>
      <w:pPr>
        <w:ind w:left="720" w:hanging="360"/>
      </w:pPr>
      <w:rPr>
        <w:rFonts w:hint="default" w:ascii="Symbol" w:hAnsi="Symbol"/>
      </w:rPr>
    </w:lvl>
    <w:lvl w:ilvl="1" w:tplc="1444D384">
      <w:start w:val="1"/>
      <w:numFmt w:val="bullet"/>
      <w:lvlText w:val="o"/>
      <w:lvlJc w:val="left"/>
      <w:pPr>
        <w:ind w:left="1440" w:hanging="360"/>
      </w:pPr>
      <w:rPr>
        <w:rFonts w:hint="default" w:ascii="Courier New" w:hAnsi="Courier New"/>
      </w:rPr>
    </w:lvl>
    <w:lvl w:ilvl="2" w:tplc="19121B48">
      <w:start w:val="1"/>
      <w:numFmt w:val="bullet"/>
      <w:lvlText w:val=""/>
      <w:lvlJc w:val="left"/>
      <w:pPr>
        <w:ind w:left="2160" w:hanging="360"/>
      </w:pPr>
      <w:rPr>
        <w:rFonts w:hint="default" w:ascii="Wingdings" w:hAnsi="Wingdings"/>
      </w:rPr>
    </w:lvl>
    <w:lvl w:ilvl="3" w:tplc="EA543E0E">
      <w:start w:val="1"/>
      <w:numFmt w:val="bullet"/>
      <w:lvlText w:val=""/>
      <w:lvlJc w:val="left"/>
      <w:pPr>
        <w:ind w:left="2880" w:hanging="360"/>
      </w:pPr>
      <w:rPr>
        <w:rFonts w:hint="default" w:ascii="Symbol" w:hAnsi="Symbol"/>
      </w:rPr>
    </w:lvl>
    <w:lvl w:ilvl="4" w:tplc="FE024D00">
      <w:start w:val="1"/>
      <w:numFmt w:val="bullet"/>
      <w:lvlText w:val="o"/>
      <w:lvlJc w:val="left"/>
      <w:pPr>
        <w:ind w:left="3600" w:hanging="360"/>
      </w:pPr>
      <w:rPr>
        <w:rFonts w:hint="default" w:ascii="Courier New" w:hAnsi="Courier New"/>
      </w:rPr>
    </w:lvl>
    <w:lvl w:ilvl="5" w:tplc="6D8C1274">
      <w:start w:val="1"/>
      <w:numFmt w:val="bullet"/>
      <w:lvlText w:val=""/>
      <w:lvlJc w:val="left"/>
      <w:pPr>
        <w:ind w:left="4320" w:hanging="360"/>
      </w:pPr>
      <w:rPr>
        <w:rFonts w:hint="default" w:ascii="Wingdings" w:hAnsi="Wingdings"/>
      </w:rPr>
    </w:lvl>
    <w:lvl w:ilvl="6" w:tplc="2A08D55A">
      <w:start w:val="1"/>
      <w:numFmt w:val="bullet"/>
      <w:lvlText w:val=""/>
      <w:lvlJc w:val="left"/>
      <w:pPr>
        <w:ind w:left="5040" w:hanging="360"/>
      </w:pPr>
      <w:rPr>
        <w:rFonts w:hint="default" w:ascii="Symbol" w:hAnsi="Symbol"/>
      </w:rPr>
    </w:lvl>
    <w:lvl w:ilvl="7" w:tplc="8DFEE680">
      <w:start w:val="1"/>
      <w:numFmt w:val="bullet"/>
      <w:lvlText w:val="o"/>
      <w:lvlJc w:val="left"/>
      <w:pPr>
        <w:ind w:left="5760" w:hanging="360"/>
      </w:pPr>
      <w:rPr>
        <w:rFonts w:hint="default" w:ascii="Courier New" w:hAnsi="Courier New"/>
      </w:rPr>
    </w:lvl>
    <w:lvl w:ilvl="8" w:tplc="65B09492">
      <w:start w:val="1"/>
      <w:numFmt w:val="bullet"/>
      <w:lvlText w:val=""/>
      <w:lvlJc w:val="left"/>
      <w:pPr>
        <w:ind w:left="6480" w:hanging="360"/>
      </w:pPr>
      <w:rPr>
        <w:rFonts w:hint="default" w:ascii="Wingdings" w:hAnsi="Wingdings"/>
      </w:rPr>
    </w:lvl>
  </w:abstractNum>
  <w:abstractNum w:abstractNumId="1" w15:restartNumberingAfterBreak="0">
    <w:nsid w:val="3004684F"/>
    <w:multiLevelType w:val="hybridMultilevel"/>
    <w:tmpl w:val="FFFFFFFF"/>
    <w:lvl w:ilvl="0" w:tplc="3E906B68">
      <w:start w:val="1"/>
      <w:numFmt w:val="bullet"/>
      <w:lvlText w:val=""/>
      <w:lvlJc w:val="left"/>
      <w:pPr>
        <w:ind w:left="720" w:hanging="360"/>
      </w:pPr>
      <w:rPr>
        <w:rFonts w:hint="default" w:ascii="Symbol" w:hAnsi="Symbol"/>
      </w:rPr>
    </w:lvl>
    <w:lvl w:ilvl="1" w:tplc="F9E21122">
      <w:start w:val="1"/>
      <w:numFmt w:val="bullet"/>
      <w:lvlText w:val="o"/>
      <w:lvlJc w:val="left"/>
      <w:pPr>
        <w:ind w:left="1440" w:hanging="360"/>
      </w:pPr>
      <w:rPr>
        <w:rFonts w:hint="default" w:ascii="Courier New" w:hAnsi="Courier New"/>
      </w:rPr>
    </w:lvl>
    <w:lvl w:ilvl="2" w:tplc="88243B94">
      <w:start w:val="1"/>
      <w:numFmt w:val="bullet"/>
      <w:lvlText w:val=""/>
      <w:lvlJc w:val="left"/>
      <w:pPr>
        <w:ind w:left="2160" w:hanging="360"/>
      </w:pPr>
      <w:rPr>
        <w:rFonts w:hint="default" w:ascii="Wingdings" w:hAnsi="Wingdings"/>
      </w:rPr>
    </w:lvl>
    <w:lvl w:ilvl="3" w:tplc="125EF108">
      <w:start w:val="1"/>
      <w:numFmt w:val="bullet"/>
      <w:lvlText w:val=""/>
      <w:lvlJc w:val="left"/>
      <w:pPr>
        <w:ind w:left="2880" w:hanging="360"/>
      </w:pPr>
      <w:rPr>
        <w:rFonts w:hint="default" w:ascii="Symbol" w:hAnsi="Symbol"/>
      </w:rPr>
    </w:lvl>
    <w:lvl w:ilvl="4" w:tplc="5F243DB2">
      <w:start w:val="1"/>
      <w:numFmt w:val="bullet"/>
      <w:lvlText w:val="o"/>
      <w:lvlJc w:val="left"/>
      <w:pPr>
        <w:ind w:left="3600" w:hanging="360"/>
      </w:pPr>
      <w:rPr>
        <w:rFonts w:hint="default" w:ascii="Courier New" w:hAnsi="Courier New"/>
      </w:rPr>
    </w:lvl>
    <w:lvl w:ilvl="5" w:tplc="66B0C2E8">
      <w:start w:val="1"/>
      <w:numFmt w:val="bullet"/>
      <w:lvlText w:val=""/>
      <w:lvlJc w:val="left"/>
      <w:pPr>
        <w:ind w:left="4320" w:hanging="360"/>
      </w:pPr>
      <w:rPr>
        <w:rFonts w:hint="default" w:ascii="Wingdings" w:hAnsi="Wingdings"/>
      </w:rPr>
    </w:lvl>
    <w:lvl w:ilvl="6" w:tplc="BA303D6E">
      <w:start w:val="1"/>
      <w:numFmt w:val="bullet"/>
      <w:lvlText w:val=""/>
      <w:lvlJc w:val="left"/>
      <w:pPr>
        <w:ind w:left="5040" w:hanging="360"/>
      </w:pPr>
      <w:rPr>
        <w:rFonts w:hint="default" w:ascii="Symbol" w:hAnsi="Symbol"/>
      </w:rPr>
    </w:lvl>
    <w:lvl w:ilvl="7" w:tplc="368AB488">
      <w:start w:val="1"/>
      <w:numFmt w:val="bullet"/>
      <w:lvlText w:val="o"/>
      <w:lvlJc w:val="left"/>
      <w:pPr>
        <w:ind w:left="5760" w:hanging="360"/>
      </w:pPr>
      <w:rPr>
        <w:rFonts w:hint="default" w:ascii="Courier New" w:hAnsi="Courier New"/>
      </w:rPr>
    </w:lvl>
    <w:lvl w:ilvl="8" w:tplc="68FE56A4">
      <w:start w:val="1"/>
      <w:numFmt w:val="bullet"/>
      <w:lvlText w:val=""/>
      <w:lvlJc w:val="left"/>
      <w:pPr>
        <w:ind w:left="6480" w:hanging="360"/>
      </w:pPr>
      <w:rPr>
        <w:rFonts w:hint="default" w:ascii="Wingdings" w:hAnsi="Wingdings"/>
      </w:rPr>
    </w:lvl>
  </w:abstractNum>
  <w:abstractNum w:abstractNumId="2" w15:restartNumberingAfterBreak="0">
    <w:nsid w:val="52066D26"/>
    <w:multiLevelType w:val="hybridMultilevel"/>
    <w:tmpl w:val="FFFFFFFF"/>
    <w:lvl w:ilvl="0" w:tplc="C224870C">
      <w:start w:val="1"/>
      <w:numFmt w:val="bullet"/>
      <w:lvlText w:val=""/>
      <w:lvlJc w:val="left"/>
      <w:pPr>
        <w:ind w:left="720" w:hanging="360"/>
      </w:pPr>
      <w:rPr>
        <w:rFonts w:hint="default" w:ascii="Symbol" w:hAnsi="Symbol"/>
      </w:rPr>
    </w:lvl>
    <w:lvl w:ilvl="1" w:tplc="81EEFF9C">
      <w:start w:val="1"/>
      <w:numFmt w:val="bullet"/>
      <w:lvlText w:val="o"/>
      <w:lvlJc w:val="left"/>
      <w:pPr>
        <w:ind w:left="1440" w:hanging="360"/>
      </w:pPr>
      <w:rPr>
        <w:rFonts w:hint="default" w:ascii="Courier New" w:hAnsi="Courier New"/>
      </w:rPr>
    </w:lvl>
    <w:lvl w:ilvl="2" w:tplc="C8C23066">
      <w:start w:val="1"/>
      <w:numFmt w:val="bullet"/>
      <w:lvlText w:val=""/>
      <w:lvlJc w:val="left"/>
      <w:pPr>
        <w:ind w:left="2160" w:hanging="360"/>
      </w:pPr>
      <w:rPr>
        <w:rFonts w:hint="default" w:ascii="Wingdings" w:hAnsi="Wingdings"/>
      </w:rPr>
    </w:lvl>
    <w:lvl w:ilvl="3" w:tplc="1FFC582A">
      <w:start w:val="1"/>
      <w:numFmt w:val="bullet"/>
      <w:lvlText w:val=""/>
      <w:lvlJc w:val="left"/>
      <w:pPr>
        <w:ind w:left="2880" w:hanging="360"/>
      </w:pPr>
      <w:rPr>
        <w:rFonts w:hint="default" w:ascii="Symbol" w:hAnsi="Symbol"/>
      </w:rPr>
    </w:lvl>
    <w:lvl w:ilvl="4" w:tplc="AB1490E2">
      <w:start w:val="1"/>
      <w:numFmt w:val="bullet"/>
      <w:lvlText w:val="o"/>
      <w:lvlJc w:val="left"/>
      <w:pPr>
        <w:ind w:left="3600" w:hanging="360"/>
      </w:pPr>
      <w:rPr>
        <w:rFonts w:hint="default" w:ascii="Courier New" w:hAnsi="Courier New"/>
      </w:rPr>
    </w:lvl>
    <w:lvl w:ilvl="5" w:tplc="A8A69280">
      <w:start w:val="1"/>
      <w:numFmt w:val="bullet"/>
      <w:lvlText w:val=""/>
      <w:lvlJc w:val="left"/>
      <w:pPr>
        <w:ind w:left="4320" w:hanging="360"/>
      </w:pPr>
      <w:rPr>
        <w:rFonts w:hint="default" w:ascii="Wingdings" w:hAnsi="Wingdings"/>
      </w:rPr>
    </w:lvl>
    <w:lvl w:ilvl="6" w:tplc="C938EEC2">
      <w:start w:val="1"/>
      <w:numFmt w:val="bullet"/>
      <w:lvlText w:val=""/>
      <w:lvlJc w:val="left"/>
      <w:pPr>
        <w:ind w:left="5040" w:hanging="360"/>
      </w:pPr>
      <w:rPr>
        <w:rFonts w:hint="default" w:ascii="Symbol" w:hAnsi="Symbol"/>
      </w:rPr>
    </w:lvl>
    <w:lvl w:ilvl="7" w:tplc="28C0A412">
      <w:start w:val="1"/>
      <w:numFmt w:val="bullet"/>
      <w:lvlText w:val="o"/>
      <w:lvlJc w:val="left"/>
      <w:pPr>
        <w:ind w:left="5760" w:hanging="360"/>
      </w:pPr>
      <w:rPr>
        <w:rFonts w:hint="default" w:ascii="Courier New" w:hAnsi="Courier New"/>
      </w:rPr>
    </w:lvl>
    <w:lvl w:ilvl="8" w:tplc="B532DBBE">
      <w:start w:val="1"/>
      <w:numFmt w:val="bullet"/>
      <w:lvlText w:val=""/>
      <w:lvlJc w:val="left"/>
      <w:pPr>
        <w:ind w:left="6480" w:hanging="360"/>
      </w:pPr>
      <w:rPr>
        <w:rFonts w:hint="default" w:ascii="Wingdings" w:hAnsi="Wingdings"/>
      </w:rPr>
    </w:lvl>
  </w:abstractNum>
  <w:abstractNum w:abstractNumId="3" w15:restartNumberingAfterBreak="0">
    <w:nsid w:val="735A0614"/>
    <w:multiLevelType w:val="hybridMultilevel"/>
    <w:tmpl w:val="E42A9A92"/>
    <w:lvl w:ilvl="0" w:tplc="62281CBE">
      <w:start w:val="1"/>
      <w:numFmt w:val="decimal"/>
      <w:lvlText w:val="%1."/>
      <w:lvlJc w:val="left"/>
      <w:pPr>
        <w:ind w:left="720" w:hanging="360"/>
      </w:pPr>
      <w:rPr>
        <w:rFonts w:hint="default" w:asciiTheme="minorHAnsi" w:hAnsiTheme="minorHAnsi" w:cstheme="minorHAnsi"/>
        <w:b/>
        <w:color w:val="auto"/>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C1C8D84"/>
    <w:multiLevelType w:val="hybridMultilevel"/>
    <w:tmpl w:val="FFFFFFFF"/>
    <w:lvl w:ilvl="0" w:tplc="091E392C">
      <w:start w:val="1"/>
      <w:numFmt w:val="bullet"/>
      <w:lvlText w:val=""/>
      <w:lvlJc w:val="left"/>
      <w:pPr>
        <w:ind w:left="720" w:hanging="360"/>
      </w:pPr>
      <w:rPr>
        <w:rFonts w:hint="default" w:ascii="Symbol" w:hAnsi="Symbol"/>
      </w:rPr>
    </w:lvl>
    <w:lvl w:ilvl="1" w:tplc="D20A6E18">
      <w:start w:val="1"/>
      <w:numFmt w:val="bullet"/>
      <w:lvlText w:val="o"/>
      <w:lvlJc w:val="left"/>
      <w:pPr>
        <w:ind w:left="1440" w:hanging="360"/>
      </w:pPr>
      <w:rPr>
        <w:rFonts w:hint="default" w:ascii="Courier New" w:hAnsi="Courier New"/>
      </w:rPr>
    </w:lvl>
    <w:lvl w:ilvl="2" w:tplc="05C48C0C">
      <w:start w:val="1"/>
      <w:numFmt w:val="bullet"/>
      <w:lvlText w:val=""/>
      <w:lvlJc w:val="left"/>
      <w:pPr>
        <w:ind w:left="2160" w:hanging="360"/>
      </w:pPr>
      <w:rPr>
        <w:rFonts w:hint="default" w:ascii="Wingdings" w:hAnsi="Wingdings"/>
      </w:rPr>
    </w:lvl>
    <w:lvl w:ilvl="3" w:tplc="268E5B9E">
      <w:start w:val="1"/>
      <w:numFmt w:val="bullet"/>
      <w:lvlText w:val=""/>
      <w:lvlJc w:val="left"/>
      <w:pPr>
        <w:ind w:left="2880" w:hanging="360"/>
      </w:pPr>
      <w:rPr>
        <w:rFonts w:hint="default" w:ascii="Symbol" w:hAnsi="Symbol"/>
      </w:rPr>
    </w:lvl>
    <w:lvl w:ilvl="4" w:tplc="3E081428">
      <w:start w:val="1"/>
      <w:numFmt w:val="bullet"/>
      <w:lvlText w:val="o"/>
      <w:lvlJc w:val="left"/>
      <w:pPr>
        <w:ind w:left="3600" w:hanging="360"/>
      </w:pPr>
      <w:rPr>
        <w:rFonts w:hint="default" w:ascii="Courier New" w:hAnsi="Courier New"/>
      </w:rPr>
    </w:lvl>
    <w:lvl w:ilvl="5" w:tplc="BA2CDF1A">
      <w:start w:val="1"/>
      <w:numFmt w:val="bullet"/>
      <w:lvlText w:val=""/>
      <w:lvlJc w:val="left"/>
      <w:pPr>
        <w:ind w:left="4320" w:hanging="360"/>
      </w:pPr>
      <w:rPr>
        <w:rFonts w:hint="default" w:ascii="Wingdings" w:hAnsi="Wingdings"/>
      </w:rPr>
    </w:lvl>
    <w:lvl w:ilvl="6" w:tplc="754C586C">
      <w:start w:val="1"/>
      <w:numFmt w:val="bullet"/>
      <w:lvlText w:val=""/>
      <w:lvlJc w:val="left"/>
      <w:pPr>
        <w:ind w:left="5040" w:hanging="360"/>
      </w:pPr>
      <w:rPr>
        <w:rFonts w:hint="default" w:ascii="Symbol" w:hAnsi="Symbol"/>
      </w:rPr>
    </w:lvl>
    <w:lvl w:ilvl="7" w:tplc="BEFC3B6C">
      <w:start w:val="1"/>
      <w:numFmt w:val="bullet"/>
      <w:lvlText w:val="o"/>
      <w:lvlJc w:val="left"/>
      <w:pPr>
        <w:ind w:left="5760" w:hanging="360"/>
      </w:pPr>
      <w:rPr>
        <w:rFonts w:hint="default" w:ascii="Courier New" w:hAnsi="Courier New"/>
      </w:rPr>
    </w:lvl>
    <w:lvl w:ilvl="8" w:tplc="0854E2E0">
      <w:start w:val="1"/>
      <w:numFmt w:val="bullet"/>
      <w:lvlText w:val=""/>
      <w:lvlJc w:val="left"/>
      <w:pPr>
        <w:ind w:left="6480" w:hanging="360"/>
      </w:pPr>
      <w:rPr>
        <w:rFonts w:hint="default" w:ascii="Wingdings" w:hAnsi="Wingdings"/>
      </w:rPr>
    </w:lvl>
  </w:abstractNum>
  <w:num w:numId="1" w16cid:durableId="1118989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783282">
    <w:abstractNumId w:val="1"/>
  </w:num>
  <w:num w:numId="3" w16cid:durableId="1483545685">
    <w:abstractNumId w:val="2"/>
  </w:num>
  <w:num w:numId="4" w16cid:durableId="1565795376">
    <w:abstractNumId w:val="4"/>
  </w:num>
  <w:num w:numId="5" w16cid:durableId="192926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6A"/>
    <w:rsid w:val="000079B5"/>
    <w:rsid w:val="00081BBA"/>
    <w:rsid w:val="000AE2EC"/>
    <w:rsid w:val="000B1CC8"/>
    <w:rsid w:val="001546A3"/>
    <w:rsid w:val="0018572B"/>
    <w:rsid w:val="001A78A9"/>
    <w:rsid w:val="001B7766"/>
    <w:rsid w:val="001C79C9"/>
    <w:rsid w:val="001E7E20"/>
    <w:rsid w:val="002150AE"/>
    <w:rsid w:val="00284BB4"/>
    <w:rsid w:val="002D38EC"/>
    <w:rsid w:val="002D3A9D"/>
    <w:rsid w:val="003125F0"/>
    <w:rsid w:val="00321360"/>
    <w:rsid w:val="003444E7"/>
    <w:rsid w:val="0042210D"/>
    <w:rsid w:val="00454841"/>
    <w:rsid w:val="00482987"/>
    <w:rsid w:val="004E2D6F"/>
    <w:rsid w:val="00595740"/>
    <w:rsid w:val="00613A2F"/>
    <w:rsid w:val="0073035C"/>
    <w:rsid w:val="00766B20"/>
    <w:rsid w:val="008D6866"/>
    <w:rsid w:val="008E7A5C"/>
    <w:rsid w:val="008F04C0"/>
    <w:rsid w:val="009437D4"/>
    <w:rsid w:val="00986382"/>
    <w:rsid w:val="009D33DF"/>
    <w:rsid w:val="009F2A08"/>
    <w:rsid w:val="009F50D8"/>
    <w:rsid w:val="00B61B6E"/>
    <w:rsid w:val="00B77A89"/>
    <w:rsid w:val="00BC64C7"/>
    <w:rsid w:val="00BC7E6A"/>
    <w:rsid w:val="00C21C58"/>
    <w:rsid w:val="00C34F6B"/>
    <w:rsid w:val="00C42745"/>
    <w:rsid w:val="00C51BC8"/>
    <w:rsid w:val="00C76A08"/>
    <w:rsid w:val="00CD1C1C"/>
    <w:rsid w:val="00D81A9D"/>
    <w:rsid w:val="00D9281F"/>
    <w:rsid w:val="00DC597F"/>
    <w:rsid w:val="00DE0290"/>
    <w:rsid w:val="00E02EE7"/>
    <w:rsid w:val="00E36507"/>
    <w:rsid w:val="00E46B21"/>
    <w:rsid w:val="00E86923"/>
    <w:rsid w:val="00E91102"/>
    <w:rsid w:val="00EC6406"/>
    <w:rsid w:val="00EF41A1"/>
    <w:rsid w:val="00FD4508"/>
    <w:rsid w:val="032F0D74"/>
    <w:rsid w:val="0EA95723"/>
    <w:rsid w:val="10AE06E2"/>
    <w:rsid w:val="284C25DB"/>
    <w:rsid w:val="2F29E91D"/>
    <w:rsid w:val="304A23C7"/>
    <w:rsid w:val="3B68C6B4"/>
    <w:rsid w:val="3B6B15AE"/>
    <w:rsid w:val="3CD0A517"/>
    <w:rsid w:val="3CE7C903"/>
    <w:rsid w:val="438EA8D5"/>
    <w:rsid w:val="44D0B768"/>
    <w:rsid w:val="46B9C9B9"/>
    <w:rsid w:val="5280C609"/>
    <w:rsid w:val="5B16C43E"/>
    <w:rsid w:val="629B94BB"/>
    <w:rsid w:val="63BCD671"/>
    <w:rsid w:val="698FB774"/>
    <w:rsid w:val="6E116B6A"/>
    <w:rsid w:val="7378B2C3"/>
    <w:rsid w:val="73E816BE"/>
    <w:rsid w:val="7581795D"/>
    <w:rsid w:val="75E71F5D"/>
    <w:rsid w:val="79807676"/>
    <w:rsid w:val="7C918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72CE79"/>
  <w15:chartTrackingRefBased/>
  <w15:docId w15:val="{33DC30BB-BD53-4CDD-A310-901566E4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7E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E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E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7E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7E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7E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7E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7E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7E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7E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7E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7E6A"/>
    <w:rPr>
      <w:rFonts w:eastAsiaTheme="majorEastAsia" w:cstheme="majorBidi"/>
      <w:color w:val="272727" w:themeColor="text1" w:themeTint="D8"/>
    </w:rPr>
  </w:style>
  <w:style w:type="paragraph" w:styleId="Title">
    <w:name w:val="Title"/>
    <w:basedOn w:val="Normal"/>
    <w:next w:val="Normal"/>
    <w:link w:val="TitleChar"/>
    <w:uiPriority w:val="10"/>
    <w:qFormat/>
    <w:rsid w:val="00BC7E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7E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7E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7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E6A"/>
    <w:pPr>
      <w:spacing w:before="160"/>
      <w:jc w:val="center"/>
    </w:pPr>
    <w:rPr>
      <w:i/>
      <w:iCs/>
      <w:color w:val="404040" w:themeColor="text1" w:themeTint="BF"/>
    </w:rPr>
  </w:style>
  <w:style w:type="character" w:styleId="QuoteChar" w:customStyle="1">
    <w:name w:val="Quote Char"/>
    <w:basedOn w:val="DefaultParagraphFont"/>
    <w:link w:val="Quote"/>
    <w:uiPriority w:val="29"/>
    <w:rsid w:val="00BC7E6A"/>
    <w:rPr>
      <w:i/>
      <w:iCs/>
      <w:color w:val="404040" w:themeColor="text1" w:themeTint="BF"/>
    </w:rPr>
  </w:style>
  <w:style w:type="paragraph" w:styleId="ListParagraph">
    <w:name w:val="List Paragraph"/>
    <w:basedOn w:val="Normal"/>
    <w:uiPriority w:val="34"/>
    <w:qFormat/>
    <w:rsid w:val="00BC7E6A"/>
    <w:pPr>
      <w:ind w:left="720"/>
      <w:contextualSpacing/>
    </w:pPr>
  </w:style>
  <w:style w:type="character" w:styleId="IntenseEmphasis">
    <w:name w:val="Intense Emphasis"/>
    <w:basedOn w:val="DefaultParagraphFont"/>
    <w:uiPriority w:val="21"/>
    <w:qFormat/>
    <w:rsid w:val="00BC7E6A"/>
    <w:rPr>
      <w:i/>
      <w:iCs/>
      <w:color w:val="0F4761" w:themeColor="accent1" w:themeShade="BF"/>
    </w:rPr>
  </w:style>
  <w:style w:type="paragraph" w:styleId="IntenseQuote">
    <w:name w:val="Intense Quote"/>
    <w:basedOn w:val="Normal"/>
    <w:next w:val="Normal"/>
    <w:link w:val="IntenseQuoteChar"/>
    <w:uiPriority w:val="30"/>
    <w:qFormat/>
    <w:rsid w:val="00BC7E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7E6A"/>
    <w:rPr>
      <w:i/>
      <w:iCs/>
      <w:color w:val="0F4761" w:themeColor="accent1" w:themeShade="BF"/>
    </w:rPr>
  </w:style>
  <w:style w:type="character" w:styleId="IntenseReference">
    <w:name w:val="Intense Reference"/>
    <w:basedOn w:val="DefaultParagraphFont"/>
    <w:uiPriority w:val="32"/>
    <w:qFormat/>
    <w:rsid w:val="00BC7E6A"/>
    <w:rPr>
      <w:b/>
      <w:bCs/>
      <w:smallCaps/>
      <w:color w:val="0F4761" w:themeColor="accent1" w:themeShade="BF"/>
      <w:spacing w:val="5"/>
    </w:rPr>
  </w:style>
  <w:style w:type="paragraph" w:styleId="Revision">
    <w:name w:val="Revision"/>
    <w:hidden/>
    <w:uiPriority w:val="99"/>
    <w:semiHidden/>
    <w:rsid w:val="00E86923"/>
    <w:pPr>
      <w:spacing w:after="0" w:line="240" w:lineRule="auto"/>
    </w:pPr>
  </w:style>
  <w:style w:type="character" w:styleId="Hyperlink">
    <w:name w:val="Hyperlink"/>
    <w:basedOn w:val="DefaultParagraphFont"/>
    <w:uiPriority w:val="99"/>
    <w:unhideWhenUsed/>
    <w:rsid w:val="7581795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48uu4xi"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mantha.fecteau@trinasolar.com" TargetMode="External" Id="rId10" /><Relationship Type="http://schemas.openxmlformats.org/officeDocument/2006/relationships/numbering" Target="numbering.xml" Id="rId4" /><Relationship Type="http://schemas.openxmlformats.org/officeDocument/2006/relationships/hyperlink" Target="https://www.trinasolar.com" TargetMode="Externa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rLinkFileType xmlns="6cc0d4a1-c4b1-425f-9edc-fa3757a43476" xsi:nil="true"/>
    <TaxCatchAll xmlns="95908ca1-c3f4-46a0-b110-2e7331e7beb1" xsi:nil="true"/>
    <lcf76f155ced4ddcb4097134ff3c332f xmlns="6cc0d4a1-c4b1-425f-9edc-fa3757a434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D79BE228C8348B2B52A8F5A1DB21D" ma:contentTypeVersion="16" ma:contentTypeDescription="Create a new document." ma:contentTypeScope="" ma:versionID="d1eb453a148d18ad65b1596f4983a12b">
  <xsd:schema xmlns:xsd="http://www.w3.org/2001/XMLSchema" xmlns:xs="http://www.w3.org/2001/XMLSchema" xmlns:p="http://schemas.microsoft.com/office/2006/metadata/properties" xmlns:ns2="6cc0d4a1-c4b1-425f-9edc-fa3757a43476" xmlns:ns3="95908ca1-c3f4-46a0-b110-2e7331e7beb1" targetNamespace="http://schemas.microsoft.com/office/2006/metadata/properties" ma:root="true" ma:fieldsID="fa22a6c3bcc2fd7efc9537763b737682" ns2:_="" ns3:_="">
    <xsd:import namespace="6cc0d4a1-c4b1-425f-9edc-fa3757a43476"/>
    <xsd:import namespace="95908ca1-c3f4-46a0-b110-2e7331e7b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0d4a1-c4b1-425f-9edc-fa3757a43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20fa26-e41d-4860-98c6-10b8e4e2d1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8ca1-c3f4-46a0-b110-2e7331e7b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ecd0e1-beb0-444d-b885-c777fcdd1ca7}" ma:internalName="TaxCatchAll" ma:showField="CatchAllData" ma:web="95908ca1-c3f4-46a0-b110-2e7331e7beb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3932-EAD3-4CDD-BA65-948296FB287E}">
  <ds:schemaRefs>
    <ds:schemaRef ds:uri="http://schemas.microsoft.com/sharepoint/v3/contenttype/forms"/>
  </ds:schemaRefs>
</ds:datastoreItem>
</file>

<file path=customXml/itemProps2.xml><?xml version="1.0" encoding="utf-8"?>
<ds:datastoreItem xmlns:ds="http://schemas.openxmlformats.org/officeDocument/2006/customXml" ds:itemID="{A1A2E1A9-34C0-4275-B218-08508561104F}">
  <ds:schemaRefs>
    <ds:schemaRef ds:uri="http://schemas.microsoft.com/office/2006/metadata/properties"/>
    <ds:schemaRef ds:uri="http://schemas.microsoft.com/office/infopath/2007/PartnerControls"/>
    <ds:schemaRef ds:uri="6cc0d4a1-c4b1-425f-9edc-fa3757a43476"/>
    <ds:schemaRef ds:uri="95908ca1-c3f4-46a0-b110-2e7331e7beb1"/>
  </ds:schemaRefs>
</ds:datastoreItem>
</file>

<file path=customXml/itemProps3.xml><?xml version="1.0" encoding="utf-8"?>
<ds:datastoreItem xmlns:ds="http://schemas.openxmlformats.org/officeDocument/2006/customXml" ds:itemID="{93B91B90-FDDF-4778-8F9E-6A06A419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0d4a1-c4b1-425f-9edc-fa3757a43476"/>
    <ds:schemaRef ds:uri="95908ca1-c3f4-46a0-b110-2e7331e7b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Vincent DELPORTE</dc:creator>
  <keywords/>
  <dc:description/>
  <lastModifiedBy>Fecteau_Samantha TS/SA</lastModifiedBy>
  <revision>39</revision>
  <dcterms:created xsi:type="dcterms:W3CDTF">2025-11-28T10:21:00.0000000Z</dcterms:created>
  <dcterms:modified xsi:type="dcterms:W3CDTF">2025-12-11T12:05:48.5536382Z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0x01010057AD79BE228C8348B2B52A8F5A1DB21D</vt:lpwstr>
  </property>
  <property fmtid="{D5CDD505-2E9C-101B-9397-08002B2CF9AE}" pid="3" name="docLang">
    <vt:lpwstr>en</vt:lpwstr>
  </property>
  <property fmtid="{D5CDD505-2E9C-101B-9397-08002B2CF9AE}" pid="4" name="MediaServiceImageTags">
    <vt:lpwstr/>
  </property>
</Properties>
</file>