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both"/>
        <w:rPr>
          <w:b w:val="1"/>
          <w:bCs w:val="1"/>
          <w:sz w:val="40"/>
          <w:szCs w:val="40"/>
        </w:rPr>
      </w:pPr>
      <w:bookmarkStart w:colFirst="0" w:colLast="0" w:name="_bhmp9p1ibkxc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UE odracza decyzję w sprawie nazewnictwa produktów roślinnych. Negocjacje powrócą w 2026 roku</w:t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jc w:val="both"/>
        <w:rPr/>
      </w:pPr>
      <w:bookmarkStart w:colFirst="0" w:colLast="0" w:name="_bl7julxynmi2" w:id="1"/>
      <w:bookmarkEnd w:id="1"/>
      <w:r w:rsidDel="00000000" w:rsidR="00000000" w:rsidRPr="00000000">
        <w:rPr>
          <w:rtl w:val="0"/>
        </w:rPr>
        <w:t xml:space="preserve">Brak porozumienia w rozmowach o nazewnictwie roślinnych produktów między Parlamentem Europejskim a Radą UE.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Negocjacje między Parlamentem Europejskim a Radą UE dotyczące rewizji wspólnej organizacji rynków rolnych (CMO) zakończyły się 10 grudnia 2025 roku bez rozstrzygnięcia. Jednym z omawianych wątków były zasady stosowania nazw takich jak „burger” czy „kiełbasa” w odniesieniu do produktów roślinnych. Rozmowy zostaną wznowione najprawdopodobniej w styczniu 2026 roku, kiedy prezydencję w Radzie UE przejmie Cypr.</w:t>
      </w:r>
    </w:p>
    <w:p w:rsidR="00000000" w:rsidDel="00000000" w:rsidP="00000000" w:rsidRDefault="00000000" w:rsidRPr="00000000" w14:paraId="00000004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 październiku Parlament Europejski zagłosował za ograniczeniem stosowania określeń takich jak „kiełbasa”, „burger” czy inne nazwy kojarzone z mięsem w odniesieniu do produktów roślinnych</w:t>
        </w:r>
      </w:hyperlink>
      <w:r w:rsidDel="00000000" w:rsidR="00000000" w:rsidRPr="00000000">
        <w:rPr>
          <w:rtl w:val="0"/>
        </w:rPr>
        <w:t xml:space="preserve">. Propozycja została przyjęta 355 głosami za, przy 247 przeciw i 30 wstrzymujących się. Głosowanie Rady ds. Rolnictwa i Rybołówstwa Unii Europejskiej w tej sprawie odbyło się 10 grudnia po miesiącach negocjacji </w:t>
      </w:r>
      <w:r w:rsidDel="00000000" w:rsidR="00000000" w:rsidRPr="00000000">
        <w:rPr>
          <w:rtl w:val="0"/>
        </w:rPr>
        <w:t xml:space="preserve">pomiędzy</w:t>
      </w:r>
      <w:r w:rsidDel="00000000" w:rsidR="00000000" w:rsidRPr="00000000">
        <w:rPr>
          <w:rtl w:val="0"/>
        </w:rPr>
        <w:t xml:space="preserve"> Komisją Europejską, Parlamentem Europejskim i Radą UE.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środowe rozmowy miały być ostatnią rundą negocjacji, </w:t>
      </w:r>
      <w:r w:rsidDel="00000000" w:rsidR="00000000" w:rsidRPr="00000000">
        <w:rPr>
          <w:b w:val="1"/>
          <w:bCs w:val="1"/>
          <w:rtl w:val="0"/>
        </w:rPr>
        <w:t xml:space="preserve">strony zdecydowały o potrzebie dodatkowego czasu na dopracowanie stanowisk.</w:t>
      </w:r>
      <w:r w:rsidDel="00000000" w:rsidR="00000000" w:rsidRPr="00000000">
        <w:rPr>
          <w:rtl w:val="0"/>
        </w:rPr>
        <w:t xml:space="preserve"> Dyskusja na temat nazewnictwa produktów roślinnych była jedną z kluczowych kwestii do uzgodnienia, a różnorodność punktów widzenia pokazała, jak istotny i dynamiczny jest to obszar rynku żywności.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Duńska prezydencja, która w trakcie rozmów opowiadała się za bardziej pragmatycznym podejściem i ograniczaniem zbędnych obciążeń regulacyjnych, podkreśliła znaczenie przejrzystości i prostoty dla konsumentów.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„Rynek żywności roślinnej rozwija się wyjątkowo szybko, dlatego spójne i intuicyjne nazewnictwo odgrywa kluczową rolę w tym, by konsumenci mogli łatwo zrozumieć przeznaczenie produktów i świadomie je wybierać.” – mówi M</w:t>
      </w:r>
      <w:r w:rsidDel="00000000" w:rsidR="00000000" w:rsidRPr="00000000">
        <w:rPr>
          <w:b w:val="1"/>
          <w:bCs w:val="1"/>
          <w:rtl w:val="0"/>
        </w:rPr>
        <w:t xml:space="preserve">arcin Tischner, Public Affairs Coordinator &amp; Sustainability Expert w Fundacji ProVeg.</w:t>
      </w:r>
      <w:r w:rsidDel="00000000" w:rsidR="00000000" w:rsidRPr="00000000">
        <w:rPr>
          <w:rtl w:val="0"/>
        </w:rPr>
        <w:t xml:space="preserve"> – „Dodatkowy czas na dyskusje daje szansę, by projektowane regulacje uwzględniały zarówno potrzebę przejrzystości, jak i warunki sprzyjające dalszej innowacji w sektorze produktów roślinnych. Mamy nadzieję, że ostateczne decyzje będą oparte na faktach i realnym zachowaniu konsumentów, tak aby stworzyć ramy prawne, które będą wspierać rozwój nowoczesnej, konkurencyjnej produkcji żywności”.</w:t>
      </w:r>
    </w:p>
    <w:p w:rsidR="00000000" w:rsidDel="00000000" w:rsidP="00000000" w:rsidRDefault="00000000" w:rsidRPr="00000000" w14:paraId="00000008">
      <w:pPr>
        <w:pStyle w:val="Title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vi5t40qrr0id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Więcej czasu pozwoli na lepsze zrozumienie potrzeb rynku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Decyzja o odroczeniu dyskusji daje instytucjom UE przestrzeń na pogłębioną analizę skutków ewentualnych zmian, w tym ich wpływu na konsumentów, funkcjonowanie rynku oraz przejrzystość nazewnictwa. W najbliższym czasie możliwe jest również przeprowadzenie oceny oddziaływania, która pozwoli zebrać solidne dane i lepiej określić, jakie rozwiązania regulacyjne będą najbardziej efektywne.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Zainteresowanie opinii publicznej oraz liczne głosy obywateli pokazują, że temat budzi szeroką uwagę społeczną, co dodatkowo podkreśla potrzebę starannego i opartego na faktach podejścia. Nadchodzące negocjacje będą okazją do wprowadzenia większej jasności i porządku do regulacji dotyczących nazewnictwa produktów roślinnych.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„Z zadowoleniem przyjmujemy decyzję o odłożeniu dyskusji w czasie i mamy nadzieję, że w międzyczasie ustawodawcy zlecą ocenę skutków proponowanych zmian. Dziękujemy ponad 600 organizacjom, które apelowały do instytucji UE o wycofanie tego projektu, oraz ponad 300 tysiącom obywateli, którzy do tej pory podpisali publiczną petycję. Będziemy nadal działać na rzecz wprowadzenia faktów, danych i zdrowego rozsądku do kolejnych etapów negocjacji” – mówi </w:t>
      </w:r>
      <w:r w:rsidDel="00000000" w:rsidR="00000000" w:rsidRPr="00000000">
        <w:rPr>
          <w:b w:val="1"/>
          <w:bCs w:val="1"/>
          <w:rtl w:val="0"/>
        </w:rPr>
        <w:t xml:space="preserve">Rafael Pinto, Senior Policy Manager w European Vegetarian Union.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Przyszłe negocjacje będą kluczowe dla określenia, w jakim kierunku podąży unijne podejście do nazewnictwa produktów roślinnych oraz jak wyglądają ramy regulacyjne sprzyjające zarówno przejrzystości dla konsumentów, jak i rozwojowi innowacyjnych segmentów rynku.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roveg.prowly.com/429321-parlament-europejski-zaglosowal-za-zakazem-uzywania-okreslen-takich-jak-weganski-burger-i-roslinna-kielbasa-w-odniesieniu-do-roslinnych-zamiennikow-miesa" TargetMode="External"/><Relationship Id="rId7" Type="http://schemas.openxmlformats.org/officeDocument/2006/relationships/hyperlink" Target="mailto:anna.targosz@proveg.org" TargetMode="External"/><Relationship Id="rId8" Type="http://schemas.openxmlformats.org/officeDocument/2006/relationships/hyperlink" Target="https://proveg.com/pl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