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153B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b/>
          <w:bCs/>
          <w:kern w:val="2"/>
          <w:sz w:val="28"/>
          <w:szCs w:val="28"/>
          <w:lang w:val="pt-BR"/>
          <w14:ligatures w14:val="standardContextual"/>
        </w:rPr>
      </w:pPr>
      <w:r w:rsidRPr="001275A4">
        <w:rPr>
          <w:rFonts w:ascii="Noto Sans" w:hAnsi="Noto Sans" w:cs="Noto Sans"/>
          <w:b/>
          <w:bCs/>
          <w:kern w:val="2"/>
          <w:sz w:val="28"/>
          <w:szCs w:val="28"/>
          <w:lang w:val="pt-PT"/>
          <w14:ligatures w14:val="standardContextual"/>
        </w:rPr>
        <w:t>O Poder da embalagem: Como a impressão digital para embalagens aumenta o impacto e a lealdade à marca</w:t>
      </w:r>
    </w:p>
    <w:p w14:paraId="0E945A38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i/>
          <w:iCs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i/>
          <w:iCs/>
          <w:kern w:val="2"/>
          <w:sz w:val="22"/>
          <w:lang w:val="pt-PT"/>
          <w14:ligatures w14:val="standardContextual"/>
        </w:rPr>
        <w:t xml:space="preserve">De acordo com o </w:t>
      </w:r>
      <w:hyperlink r:id="rId6" w:history="1">
        <w:r w:rsidRPr="001275A4">
          <w:rPr>
            <w:rFonts w:ascii="Noto Sans" w:hAnsi="Noto Sans" w:cs="Noto Sans"/>
            <w:i/>
            <w:iCs/>
            <w:color w:val="0563C1" w:themeColor="hyperlink"/>
            <w:kern w:val="2"/>
            <w:sz w:val="22"/>
            <w:u w:val="single"/>
            <w:lang w:val="pt-PT"/>
            <w14:ligatures w14:val="standardContextual"/>
          </w:rPr>
          <w:t>Unboxing Survey 2024</w:t>
        </w:r>
      </w:hyperlink>
      <w:r w:rsidRPr="001275A4">
        <w:rPr>
          <w:rFonts w:ascii="Noto Sans" w:hAnsi="Noto Sans" w:cs="Noto Sans"/>
          <w:i/>
          <w:iCs/>
          <w:kern w:val="2"/>
          <w:sz w:val="22"/>
          <w:lang w:val="pt-PT"/>
          <w14:ligatures w14:val="standardContextual"/>
        </w:rPr>
        <w:t xml:space="preserve"> da Macfarlane, quase quatro em cada cinco consumidores (77%) veem de forma mais favorável as marcas com embalagens distintas e de alta qualidade. Como resultado, as marcas reconhecem cada vez mais a embalagem como uma ferramenta poderosa para reforçar a perceção da marca e criar ligações mais profundas e pessoais com os clientes. </w:t>
      </w:r>
    </w:p>
    <w:p w14:paraId="6C55CB64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i/>
          <w:iCs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i/>
          <w:iCs/>
          <w:kern w:val="2"/>
          <w:sz w:val="22"/>
          <w:lang w:val="pt-PT"/>
          <w14:ligatures w14:val="standardContextual"/>
        </w:rPr>
        <w:t>Russell Weller, Head of Digital Products da Domino Printing Sciences, partilha ideias sobre a forma como os fabricantes podem tirar partido da impressão digital para se destacarem da concorrência e satisfazerem as expetativas dos consumidores.</w:t>
      </w:r>
    </w:p>
    <w:p w14:paraId="3268AC3F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b/>
          <w:bCs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b/>
          <w:bCs/>
          <w:kern w:val="2"/>
          <w:sz w:val="22"/>
          <w:lang w:val="pt-PT"/>
          <w14:ligatures w14:val="standardContextual"/>
        </w:rPr>
        <w:t>Primeiras impressões: O valor da experiência de unboxing no envolvimento do consumidor</w:t>
      </w:r>
    </w:p>
    <w:p w14:paraId="74A4BC88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Como primeiro encontro físico com a marca e o produto, embalagens e etiquetagem criativas desempenham um papel fundamental ao formar a perceção e diferenciação da marca. De acordo com o relatório </w:t>
      </w:r>
      <w:hyperlink r:id="rId7" w:history="1">
        <w:r w:rsidRPr="001275A4">
          <w:rPr>
            <w:rFonts w:ascii="Noto Sans" w:hAnsi="Noto Sans" w:cs="Noto Sans"/>
            <w:color w:val="0563C1" w:themeColor="hyperlink"/>
            <w:kern w:val="2"/>
            <w:sz w:val="22"/>
            <w:u w:val="single"/>
            <w:lang w:val="pt-PT"/>
            <w14:ligatures w14:val="standardContextual"/>
          </w:rPr>
          <w:t>Digital Packaging: The Pursuit of Prosperity (2024)</w:t>
        </w:r>
      </w:hyperlink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 da NAPCO Research, as embalagens personalizadas com designs gráficos de alta qualidade tornaram-se uma prioridade estratégica para quase metade das marcas inquiridas, que procuram criar experiências de unboxing memoráveis para reforçar o envolvimento com a marca.</w:t>
      </w:r>
    </w:p>
    <w:p w14:paraId="6EE1B0D4" w14:textId="3B3E0138" w:rsidR="001275A4" w:rsidRPr="001275A4" w:rsidRDefault="001275A4" w:rsidP="001275A4">
      <w:pPr>
        <w:spacing w:after="160" w:line="276" w:lineRule="auto"/>
        <w:rPr>
          <w:rFonts w:ascii="Noto Sans" w:hAnsi="Noto Sans" w:cs="Noto Sans"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O poder do unboxing para impulsionar o valor da marca é convincente: só no YouTube, </w:t>
      </w:r>
      <w:hyperlink r:id="rId8" w:history="1">
        <w:r w:rsidRPr="001275A4">
          <w:rPr>
            <w:rFonts w:ascii="Noto Sans" w:hAnsi="Noto Sans" w:cs="Noto Sans"/>
            <w:color w:val="0563C1" w:themeColor="hyperlink"/>
            <w:kern w:val="2"/>
            <w:sz w:val="22"/>
            <w:u w:val="single"/>
            <w:lang w:val="pt-PT"/>
            <w14:ligatures w14:val="standardContextual"/>
          </w:rPr>
          <w:t>vídeos com "unboxing" no título receberam mais de 25 mil milhões</w:t>
        </w:r>
      </w:hyperlink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 de visualizações num único ano. Para mais de metade (56%) dos consumidores inquiridos no </w:t>
      </w:r>
      <w:hyperlink r:id="rId9" w:history="1">
        <w:r w:rsidRPr="001275A4">
          <w:rPr>
            <w:rFonts w:ascii="Noto Sans" w:hAnsi="Noto Sans" w:cs="Noto Sans"/>
            <w:color w:val="0563C1" w:themeColor="hyperlink"/>
            <w:kern w:val="2"/>
            <w:sz w:val="22"/>
            <w:u w:val="single"/>
            <w:lang w:val="pt-PT"/>
            <w14:ligatures w14:val="standardContextual"/>
          </w:rPr>
          <w:t>Unboxing Survey 2024</w:t>
        </w:r>
      </w:hyperlink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 da Macfarlane, as embalagens com identificação da marca incentivam a repetição de compras. Dois terços dos consumidores da Geração Millennial e da Geração Z consideram a experiência de unboxing importante, com 53% dos inquiridos da Geração Z a considerarem a </w:t>
      </w:r>
      <w:r w:rsidR="00E85A4D">
        <w:rPr>
          <w:rFonts w:ascii="Noto Sans" w:hAnsi="Noto Sans" w:cs="Noto Sans"/>
          <w:kern w:val="2"/>
          <w:sz w:val="22"/>
          <w:lang w:val="pt-PT"/>
          <w14:ligatures w14:val="standardContextual"/>
        </w:rPr>
        <w:t>“</w:t>
      </w: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>embalagem bonita</w:t>
      </w:r>
      <w:r w:rsidR="00E85A4D">
        <w:rPr>
          <w:rFonts w:ascii="Noto Sans" w:hAnsi="Noto Sans" w:cs="Noto Sans"/>
          <w:kern w:val="2"/>
          <w:sz w:val="22"/>
          <w:lang w:val="pt-PT"/>
          <w14:ligatures w14:val="standardContextual"/>
        </w:rPr>
        <w:t>”</w:t>
      </w: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 como o fator mais importante, de acordo com o relatório </w:t>
      </w:r>
      <w:hyperlink r:id="rId10" w:history="1">
        <w:r w:rsidRPr="001275A4">
          <w:rPr>
            <w:rFonts w:ascii="Noto Sans" w:hAnsi="Noto Sans" w:cs="Noto Sans"/>
            <w:color w:val="0563C1" w:themeColor="hyperlink"/>
            <w:kern w:val="2"/>
            <w:sz w:val="22"/>
            <w:u w:val="single"/>
            <w:lang w:val="pt-PT"/>
            <w14:ligatures w14:val="standardContextual"/>
          </w:rPr>
          <w:t>eCommerce trend</w:t>
        </w:r>
      </w:hyperlink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 do Mondi Group.  </w:t>
      </w:r>
    </w:p>
    <w:p w14:paraId="6349A5EE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>Muitas marcas estão agora a utilizar o design como uma ferramenta estratégica, atualizando regularmente os visuais para manter a dinâmica e a relevância. As embalagens de edição limitada associadas a momentos culturais ou eventos globais mantêm a marca atual e relevante, geram conversa e criam tendências que frequentemente influenciam todo o setor.</w:t>
      </w:r>
    </w:p>
    <w:p w14:paraId="1B6F917A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b/>
          <w:bCs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b/>
          <w:bCs/>
          <w:kern w:val="2"/>
          <w:sz w:val="22"/>
          <w:lang w:val="pt-PT"/>
          <w14:ligatures w14:val="standardContextual"/>
        </w:rPr>
        <w:t>Criar uma ligação: O poder da impressão digital</w:t>
      </w:r>
    </w:p>
    <w:p w14:paraId="222CAC05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A tecnologia de impressão digital é um fator-chave para esta nova abordagem ágil à conceção e produção de embalagens. As embalagens e etiquetas impressas digitalmente eliminam os constrangimentos tradicionais das elevadas quantidades mínimas de encomenda, reduzindo as barreiras à entrada e ajudando mesmo as marcas mais pequenas a aceder a soluções de embalagem personalizadas e de elevada qualidade, anteriormente limitadas aos grandes operadores. </w:t>
      </w:r>
    </w:p>
    <w:p w14:paraId="26D00639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As tiragens curtas suportam as variações de embalagens diversas e em mudança frequente exigidas pelas marcas para aumentar a presença no mercado. Além disso, a impressão digital acelera os ciclos de desenvolvimento de embalagens através da prototipagem rápida e proporciona maior flexibilidade na cadeia de abastecimento, graças a prazos de produção mais curtos. Neste cenário dinâmico, o papel do fabricante está a evoluir de mero fornecedor operacional de impressão ou marca para um parceiro estratégico das marcas, apoiando-as na concretização dos objetivos de design de embalagens e de envolvimento dos consumidores. </w:t>
      </w:r>
    </w:p>
    <w:p w14:paraId="158B7A59" w14:textId="2EB2ED10" w:rsidR="001275A4" w:rsidRPr="001275A4" w:rsidRDefault="001275A4" w:rsidP="001275A4">
      <w:pPr>
        <w:spacing w:after="160" w:line="276" w:lineRule="auto"/>
        <w:rPr>
          <w:rFonts w:ascii="Noto Sans" w:hAnsi="Noto Sans" w:cs="Noto Sans"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A impressão digital também pode acrescentar valor no domínio da sustentabilidade, um tema muito valorizado por muitas marcas, ao permitir a produção just-in-time, </w:t>
      </w:r>
      <w:hyperlink r:id="rId11" w:history="1">
        <w:r w:rsidRPr="001275A4">
          <w:rPr>
            <w:rFonts w:ascii="Noto Sans" w:hAnsi="Noto Sans" w:cs="Noto Sans"/>
            <w:color w:val="0563C1" w:themeColor="hyperlink"/>
            <w:kern w:val="2"/>
            <w:sz w:val="22"/>
            <w:u w:val="single"/>
            <w:lang w:val="pt-PT"/>
            <w14:ligatures w14:val="standardContextual"/>
          </w:rPr>
          <w:t>evitando desperdício de impressão</w:t>
        </w:r>
      </w:hyperlink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 e a obsolescência de stocks em excesso. </w:t>
      </w:r>
    </w:p>
    <w:p w14:paraId="22E1604E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b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b/>
          <w:bCs/>
          <w:kern w:val="2"/>
          <w:sz w:val="22"/>
          <w:lang w:val="pt-PT"/>
          <w14:ligatures w14:val="standardContextual"/>
        </w:rPr>
        <w:t>Embalagens interativas: Uma plataforma para criar ligação e comunidade</w:t>
      </w:r>
    </w:p>
    <w:p w14:paraId="3B385E1D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Olhando para o futuro, a impressão digital, em particular a impressão digital de dados variáveis, está a tornar-se rapidamente uma das principais ferramentas para as marcas que procuram promover fidelidade e comunidade a longo prazo. A investigação já confirma uma procura crescente de funcionalidades de embalagem interativas e inteligentes, tais como códigos QR, pesquisa visual, etiquetas NFC e acionadores de realidade aumentada, que ajudam as marcas a elevar continuamente a experiência do consumidor. </w:t>
      </w:r>
    </w:p>
    <w:p w14:paraId="7C7F46D6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De acordo com o </w:t>
      </w:r>
      <w:hyperlink r:id="rId12" w:history="1">
        <w:r w:rsidRPr="001275A4">
          <w:rPr>
            <w:rFonts w:ascii="Noto Sans" w:hAnsi="Noto Sans" w:cs="Noto Sans"/>
            <w:color w:val="0563C1" w:themeColor="hyperlink"/>
            <w:kern w:val="2"/>
            <w:sz w:val="22"/>
            <w:u w:val="single"/>
            <w:lang w:val="pt-PT"/>
            <w14:ligatures w14:val="standardContextual"/>
          </w:rPr>
          <w:t>2025 Connected Experiences Research Report</w:t>
        </w:r>
      </w:hyperlink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 da Merkle, mais de um terço dos consumidores (37%) demonstram maior probabilidade de comprar um produto que oferece uma experiência conectada. Talvez por isso, segundo a pesquisa da NAPCO, 83% das marcas acreditam que é importante ou essencial que o seu parceiro de impressão seja capaz de produzir embalagens personalizadas ou variáveis com códigos QR que permitam a recolha de dados por terceiros.</w:t>
      </w:r>
    </w:p>
    <w:p w14:paraId="39CD8ACF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b/>
          <w:bCs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b/>
          <w:bCs/>
          <w:kern w:val="2"/>
          <w:sz w:val="22"/>
          <w:lang w:val="pt-PT"/>
          <w14:ligatures w14:val="standardContextual"/>
        </w:rPr>
        <w:t>Motivos para os fabricantes adotarem a impressão digital de embalagens</w:t>
      </w:r>
    </w:p>
    <w:p w14:paraId="1D5305D6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 xml:space="preserve">À medida que as expetativas dos consumidores evoluem, espera-se que a embalagem faça mais do que proteger, sendo cada vez mais reconhecida como um fator fulcral de envolvimento com a marca. Para os fabricantes, esta mudança representa uma oportunidade clara de acrescentar valor significativo aos clientes das suas marcas. Ao oferecerem embalagens e etiquetas impressas digitalmente com funcionalidades conectadas, como códigos QR ligados a conteúdos imersivos, experiências interativas e mensagens personalizadas, os fabricantes permitem às marcas aprofundar o envolvimento e criar fidelidade duradoura. </w:t>
      </w:r>
    </w:p>
    <w:p w14:paraId="1513A608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>Ao ajudarem as marcas a produzir embalagens impressas digitalmente com as quais os consumidores se identificam, os fabricantes proporcionam valor acrescentado. Podem capacitar as marcas para aproveitarem a impressão digital, acelerando a inovação das embalagens e a personalização em massa, bem como embalagens únicas com um toque especial.</w:t>
      </w:r>
    </w:p>
    <w:p w14:paraId="2DD538BB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>À medida que a embalagem continua a evoluir para se tornar um ativo estratégico da marca, os fabricantes que adotam a impressão digital encontram-se mais bem posicionados para apoiar a inovação, a sustentabilidade e o envolvimento do consumidor no exigente panorama atual do setor de retalho.</w:t>
      </w:r>
    </w:p>
    <w:p w14:paraId="67EE1DC5" w14:textId="77777777" w:rsidR="001275A4" w:rsidRPr="001275A4" w:rsidRDefault="001275A4" w:rsidP="001275A4">
      <w:pPr>
        <w:spacing w:after="160" w:line="276" w:lineRule="auto"/>
        <w:rPr>
          <w:rFonts w:ascii="Noto Sans" w:hAnsi="Noto Sans" w:cs="Noto Sans"/>
          <w:kern w:val="2"/>
          <w:sz w:val="22"/>
          <w:lang w:val="pt-BR"/>
          <w14:ligatures w14:val="standardContextual"/>
        </w:rPr>
      </w:pPr>
      <w:r w:rsidRPr="001275A4">
        <w:rPr>
          <w:rFonts w:ascii="Noto Sans" w:hAnsi="Noto Sans" w:cs="Noto Sans"/>
          <w:kern w:val="2"/>
          <w:sz w:val="22"/>
          <w:lang w:val="pt-PT"/>
          <w14:ligatures w14:val="standardContextual"/>
        </w:rPr>
        <w:t>FIM</w:t>
      </w:r>
    </w:p>
    <w:p w14:paraId="29B953BD" w14:textId="134224A3" w:rsidR="006C6C7C" w:rsidRPr="00FC465F" w:rsidRDefault="00D66051" w:rsidP="006C6C7C">
      <w:pPr>
        <w:spacing w:line="240" w:lineRule="auto"/>
        <w:rPr>
          <w:lang w:val="pt-BR"/>
        </w:rPr>
      </w:pP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Isenção de responsabilidade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Tintas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As informações que se encontram no presente documento não devem substituir a realização dos testes adequados às suas circunstâncias e usos específicos. O grupo Domino não será, de forma alguma, responsável por qualquer tipo de confiança com base neste documento em relação à adequação de qualquer uma das nossas tintas para a sua aplicação em particular. O presente documento não faz parte de quaisquer termos e condições celebrados entre si o grupo Domino. Os Termos e Condições de venda da Domino, em particular as garantias e responsabilidades presentes nos mesmos, dever-se-ão aplicar a qualquer uma das suas compras de produtos.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Geral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Todos os valores em termos de desempenho e alegações citados no presente documento foram obtidos sob condições específicas e apenas poderão ser repetidos sob condições semelhantes. Para obter detalhes específicos do produto, deve entrar em contacto com o seu Consultor Comercial da Domino. O presente documento não faz parte de quaisquer termos e condições celebrados entre si e a Domino.</w:t>
      </w:r>
      <w:r w:rsidR="00062E86" w:rsidRPr="00062E86">
        <w:rPr>
          <w:rFonts w:ascii="Noto Sans" w:hAnsi="Noto Sans" w:cs="Noto Sans"/>
          <w:szCs w:val="18"/>
          <w:lang w:val="pt-PT"/>
        </w:rPr>
        <w:t xml:space="preserve"> </w:t>
      </w:r>
      <w:r w:rsidR="00062E86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Imagens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As imagens podem incluir melhorias ou extras opcionais. A qualidade de impressão pode variar de acordo com os consumíveis, o equipamento, a superfície e outros fatores. As imagens e fotografias não fazem parte de quaisquer termos e condições celebrados entre si e a</w:t>
      </w:r>
      <w:r w:rsidR="006C6C7C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t>Domino.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Vídeos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bookmarkStart w:id="0" w:name="_Hlk61949672"/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Notas para os editores: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Acerca da Domino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>A Digital Printing Solutions é uma divisão da Domino Printing Sciences. Fundada em 1978, a empresa estabeleceu uma reputação global relativamente ao desenvolvimento e fabrico de tecnologias de impressão a jato de tinta digital, assim como aos seus produtos de pós-venda e ao atendimento ao cliente a nível mundial.  Os seus serviços para o setor de impressão comercial incluem impressoras digitais a jato de tinta e sistemas de controlo desenvolvidos para proporcionar soluções para uma gama completa de aplicações de impressão de dados variáveis e etiquetagem.</w:t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>Todas as impressoras da Domino são desenvolvidas para satisfazerem as exigências de alta velocidade e elevada qualidade em ambientes de impressão comercial, apresentando novas capacidades a diferentes setores, incluindo os da etiquetagem, publicações e impressão de segurança, transacional, conversão de embalagens, cartões plastificados, bilhetes, jogos de cartas e formulários, bem como os setores de publicidade endereçada e serviços postais.</w:t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FC465F">
        <w:rPr>
          <w:rFonts w:ascii="Noto Sans" w:eastAsia="Gill Sans" w:hAnsi="Noto Sans" w:cs="Noto Sans"/>
          <w:szCs w:val="18"/>
          <w:lang w:val="pt-BR"/>
        </w:rPr>
        <w:t xml:space="preserve">A Domino emprega mais de 3000 pessoas em todo mundo e comercializa para mais de 120 países através de uma rede global de 29 filiais e mais de 200 distribuidores. As instalações de fabrico da Domino estão </w:t>
      </w:r>
      <w:r w:rsidR="006C6C7C" w:rsidRPr="00FC465F">
        <w:rPr>
          <w:rFonts w:ascii="Noto Sans" w:eastAsia="Gill Sans" w:hAnsi="Noto Sans" w:cs="Noto Sans"/>
          <w:szCs w:val="18"/>
          <w:lang w:val="pt-BR"/>
        </w:rPr>
        <w:lastRenderedPageBreak/>
        <w:t>localizadas na Alemanha, China, EUA, Índia, Reino Unido, Suécia e Suíça. A Domino tornou-se uma divisão independente da Brother Industries Ltd. a 11 de junho de 2015.</w:t>
      </w:r>
      <w:r w:rsidR="006C6C7C"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="006C6C7C"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Para obter mais informações sobre a Domino, visite </w:t>
      </w:r>
      <w:hyperlink r:id="rId13" w:history="1">
        <w:r w:rsidR="006C6C7C" w:rsidRPr="00AB22C5">
          <w:rPr>
            <w:rStyle w:val="Hyperlink"/>
            <w:rFonts w:ascii="Noto Sans" w:eastAsia="Gill Sans" w:hAnsi="Noto Sans" w:cs="Noto Sans"/>
            <w:szCs w:val="18"/>
            <w:lang w:val="pt-PT"/>
          </w:rPr>
          <w:t>www.domino-printing.pt</w:t>
        </w:r>
      </w:hyperlink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 </w:t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Para obter mais informações, contacte:</w:t>
      </w:r>
      <w:r w:rsidR="006C6C7C">
        <w:rPr>
          <w:rFonts w:ascii="Noto Sans" w:eastAsia="Gill Sans" w:hAnsi="Noto Sans" w:cs="Noto Sans"/>
          <w:b/>
          <w:bCs/>
          <w:szCs w:val="18"/>
          <w:lang w:val="pt-PT"/>
        </w:rPr>
        <w:br/>
      </w:r>
      <w:r w:rsidR="006C6C7C">
        <w:rPr>
          <w:rFonts w:ascii="Noto Sans" w:eastAsia="Gill Sans" w:hAnsi="Noto Sans" w:cs="Noto Sans"/>
          <w:b/>
          <w:bCs/>
          <w:szCs w:val="18"/>
          <w:lang w:val="pt-PT"/>
        </w:rPr>
        <w:br/>
      </w:r>
      <w:bookmarkEnd w:id="0"/>
      <w:r w:rsidR="006C6C7C" w:rsidRPr="00FC465F">
        <w:rPr>
          <w:rFonts w:ascii="Noto Sans" w:hAnsi="Noto Sans" w:cs="Noto Sans"/>
          <w:szCs w:val="18"/>
          <w:lang w:val="pt-BR"/>
        </w:rPr>
        <w:t>Kathrin Farr</w:t>
      </w:r>
      <w:r w:rsidR="006C6C7C" w:rsidRPr="00FC465F">
        <w:rPr>
          <w:rFonts w:ascii="Noto Sans" w:hAnsi="Noto Sans" w:cs="Noto Sans"/>
          <w:szCs w:val="18"/>
          <w:lang w:val="pt-BR"/>
        </w:rPr>
        <w:br/>
        <w:t>Content Executive (Digital Printing)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Tel. : +44 (0) </w:t>
      </w:r>
      <w:hyperlink r:id="rId14" w:history="1">
        <w:r w:rsidR="006C6C7C"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br/>
      </w:r>
      <w:hyperlink r:id="rId15" w:history="1">
        <w:r w:rsidR="006C6C7C" w:rsidRPr="00FC465F">
          <w:rPr>
            <w:rStyle w:val="Hyperlink"/>
            <w:rFonts w:ascii="Noto Sans" w:hAnsi="Noto Sans" w:cs="Noto Sans"/>
            <w:szCs w:val="18"/>
            <w:lang w:val="pt-BR"/>
          </w:rPr>
          <w:t>Kathrin.Farr@domino-uk.com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0220DA">
        <w:rPr>
          <w:rFonts w:ascii="Noto Sans" w:hAnsi="Noto Sans" w:cs="Noto Sans"/>
          <w:szCs w:val="18"/>
          <w:lang w:val="pt-BR"/>
        </w:rPr>
        <w:t>Alex Challinor</w:t>
      </w:r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PR and Content Manager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0220DA" w:rsidRPr="00FC465F">
        <w:rPr>
          <w:rFonts w:ascii="Noto Sans" w:hAnsi="Noto Sans" w:cs="Noto Sans"/>
          <w:szCs w:val="18"/>
          <w:lang w:val="pt-BR"/>
        </w:rPr>
        <w:t xml:space="preserve">Tel. : +44 (0) </w:t>
      </w:r>
      <w:hyperlink r:id="rId16" w:history="1">
        <w:r w:rsidR="000220DA"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br/>
      </w:r>
      <w:hyperlink r:id="rId17" w:history="1">
        <w:r w:rsidR="000220DA" w:rsidRPr="008E5CFD">
          <w:rPr>
            <w:rStyle w:val="Hyperlink"/>
            <w:rFonts w:ascii="Noto Sans" w:hAnsi="Noto Sans" w:cs="Noto Sans"/>
            <w:szCs w:val="18"/>
            <w:lang w:val="pt-BR"/>
          </w:rPr>
          <w:t>Alex.Challinor@domino-uk.com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</w:p>
    <w:sectPr w:rsidR="006C6C7C" w:rsidRPr="00FC465F" w:rsidSect="000F6D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CEFB" w14:textId="77777777" w:rsidR="00062E86" w:rsidRDefault="00062E86" w:rsidP="00785717">
      <w:pPr>
        <w:spacing w:line="240" w:lineRule="auto"/>
      </w:pPr>
      <w:r>
        <w:separator/>
      </w:r>
    </w:p>
  </w:endnote>
  <w:endnote w:type="continuationSeparator" w:id="0">
    <w:p w14:paraId="22E08126" w14:textId="77777777" w:rsidR="00062E86" w:rsidRDefault="00062E86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"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3CA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2678" w14:textId="7777777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C21E0" wp14:editId="562C3EA1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7A6B7F6D" wp14:editId="090469BE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63D8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1CB7" w14:textId="77777777" w:rsidR="00062E86" w:rsidRDefault="00062E86" w:rsidP="00785717">
      <w:pPr>
        <w:spacing w:line="240" w:lineRule="auto"/>
      </w:pPr>
      <w:r>
        <w:separator/>
      </w:r>
    </w:p>
  </w:footnote>
  <w:footnote w:type="continuationSeparator" w:id="0">
    <w:p w14:paraId="61872927" w14:textId="77777777" w:rsidR="00062E86" w:rsidRDefault="00062E86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F32C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BD58" w14:textId="77777777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046442" wp14:editId="3586F545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A8D0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86"/>
    <w:rsid w:val="0002201E"/>
    <w:rsid w:val="000220DA"/>
    <w:rsid w:val="00062E86"/>
    <w:rsid w:val="000F6D00"/>
    <w:rsid w:val="001275A4"/>
    <w:rsid w:val="001D743C"/>
    <w:rsid w:val="002202E3"/>
    <w:rsid w:val="00240801"/>
    <w:rsid w:val="002766D9"/>
    <w:rsid w:val="00372E92"/>
    <w:rsid w:val="003C7663"/>
    <w:rsid w:val="004C6703"/>
    <w:rsid w:val="005272B1"/>
    <w:rsid w:val="005475BA"/>
    <w:rsid w:val="005524DB"/>
    <w:rsid w:val="005741C7"/>
    <w:rsid w:val="00581FEB"/>
    <w:rsid w:val="005E6C45"/>
    <w:rsid w:val="00647055"/>
    <w:rsid w:val="00660F46"/>
    <w:rsid w:val="006C6C7C"/>
    <w:rsid w:val="00785717"/>
    <w:rsid w:val="00791A4F"/>
    <w:rsid w:val="007D2B85"/>
    <w:rsid w:val="008220B7"/>
    <w:rsid w:val="00823B77"/>
    <w:rsid w:val="008916A8"/>
    <w:rsid w:val="008B6461"/>
    <w:rsid w:val="008E5E0C"/>
    <w:rsid w:val="008F3E38"/>
    <w:rsid w:val="00931996"/>
    <w:rsid w:val="009A1716"/>
    <w:rsid w:val="009A1DEC"/>
    <w:rsid w:val="009D6280"/>
    <w:rsid w:val="009E5D98"/>
    <w:rsid w:val="00A34918"/>
    <w:rsid w:val="00AB11DA"/>
    <w:rsid w:val="00B23C3C"/>
    <w:rsid w:val="00B546C5"/>
    <w:rsid w:val="00B86660"/>
    <w:rsid w:val="00BC7C15"/>
    <w:rsid w:val="00BD07B6"/>
    <w:rsid w:val="00C03CCC"/>
    <w:rsid w:val="00C063FE"/>
    <w:rsid w:val="00C44603"/>
    <w:rsid w:val="00C541FE"/>
    <w:rsid w:val="00CF1AD5"/>
    <w:rsid w:val="00D66051"/>
    <w:rsid w:val="00E03029"/>
    <w:rsid w:val="00E85A4D"/>
    <w:rsid w:val="00EC1C5A"/>
    <w:rsid w:val="00F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5A8D"/>
  <w15:chartTrackingRefBased/>
  <w15:docId w15:val="{844D9FFD-027A-440F-872B-4406A2C8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7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youtube/culture-and-trends/unboxing-on-youtube/" TargetMode="External"/><Relationship Id="rId13" Type="http://schemas.openxmlformats.org/officeDocument/2006/relationships/hyperlink" Target="http://www.domino-printing.pt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packageprinting.tradepub.com/free/w_defa7527/" TargetMode="External"/><Relationship Id="rId12" Type="http://schemas.openxmlformats.org/officeDocument/2006/relationships/hyperlink" Target="https://www.merkle.com/en/merkle-now/ebooks/2025/connected-experiences-research-report-2025.html" TargetMode="External"/><Relationship Id="rId17" Type="http://schemas.openxmlformats.org/officeDocument/2006/relationships/hyperlink" Target="mailto:Alex.Challinor@domino-uk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tel:+44%20(0)1954%20782%20551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macfarlanepackaging.com/unboxing-survey-results-2024" TargetMode="External"/><Relationship Id="rId11" Type="http://schemas.openxmlformats.org/officeDocument/2006/relationships/hyperlink" Target="https://www.domino-printing.com/pt/blog/2024/sustainable-printing-practices-for-packaging?utm_medium=non-paid&amp;utm_source=onlinepublication&amp;utm_content=sb-packaging-power&amp;utm_campaign=2025-int-pt-Global-PR-DP-FY25-Q3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Kathrin.Farr@domino-uk.com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mondigroup.com/products-and-solutions/corrugated-solutions/group-ecommerce-trend-report-2025/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macfarlanepackaging.com/unboxing-survey-results-2024" TargetMode="External"/><Relationship Id="rId14" Type="http://schemas.openxmlformats.org/officeDocument/2006/relationships/hyperlink" Target="tel:+44%20(0)1954%20782%20551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Farr</dc:creator>
  <cp:keywords/>
  <dc:description/>
  <cp:lastModifiedBy>Kathrin Farr</cp:lastModifiedBy>
  <cp:revision>3</cp:revision>
  <dcterms:created xsi:type="dcterms:W3CDTF">2025-12-10T11:26:00Z</dcterms:created>
  <dcterms:modified xsi:type="dcterms:W3CDTF">2025-12-10T11:34:00Z</dcterms:modified>
</cp:coreProperties>
</file>