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AA3D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center"/>
        <w:rPr>
          <w:rFonts w:asciiTheme="majorHAnsi" w:eastAsia="Calibri" w:hAnsiTheme="majorHAnsi" w:cstheme="majorHAnsi"/>
          <w:color w:val="000000" w:themeColor="text1"/>
          <w:sz w:val="40"/>
          <w:szCs w:val="40"/>
        </w:rPr>
      </w:pPr>
      <w:proofErr w:type="spellStart"/>
      <w:r w:rsidRPr="00876AC1"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>Prologis</w:t>
      </w:r>
      <w:proofErr w:type="spellEnd"/>
      <w:r w:rsidRPr="00876AC1"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 xml:space="preserve"> i ENGIE </w:t>
      </w:r>
      <w:r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>z umową</w:t>
      </w:r>
      <w:r w:rsidRPr="00876AC1"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 xml:space="preserve">PPA </w:t>
      </w:r>
      <w:r w:rsidRPr="00876AC1"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 xml:space="preserve">na dostawy energii </w:t>
      </w:r>
      <w:r>
        <w:rPr>
          <w:rFonts w:asciiTheme="majorHAnsi" w:eastAsia="Calibri" w:hAnsiTheme="majorHAnsi" w:cstheme="majorHAnsi"/>
          <w:color w:val="000000" w:themeColor="text1"/>
          <w:sz w:val="40"/>
          <w:szCs w:val="40"/>
        </w:rPr>
        <w:t>wiatrowej</w:t>
      </w:r>
    </w:p>
    <w:p w14:paraId="2963C133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</w:p>
    <w:p w14:paraId="72F78F9A" w14:textId="35A7EB8A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  <w:proofErr w:type="spellStart"/>
      <w:r w:rsidRPr="00862DF0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  <w:r w:rsidRPr="00862DF0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, światowy lider branży nieruchomości logistycznych, podpisał umowę na fizyczne dostawy energii elektrycznej (Power </w:t>
      </w:r>
      <w:proofErr w:type="spellStart"/>
      <w:r w:rsidRPr="00862DF0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Purchase</w:t>
      </w:r>
      <w:proofErr w:type="spellEnd"/>
      <w:r w:rsidRPr="00862DF0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Agreement, PPA) z firmą 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ENGIE Zielona Energia, polską</w:t>
      </w:r>
      <w:r w:rsidRPr="00FB2958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spółk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ą</w:t>
      </w:r>
      <w:r w:rsidRPr="00FB2958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będąc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ą</w:t>
      </w:r>
      <w:r w:rsidRPr="00FB2958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częścią Grupy ENGIE, 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globalnego lidera w zakresie niskoemisyjnej energii i usług. </w:t>
      </w:r>
      <w:r w:rsidRPr="007D0C1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Zgodnie z porozumieniem </w:t>
      </w:r>
      <w:proofErr w:type="spellStart"/>
      <w:r w:rsidRPr="007D0C1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  <w:r w:rsidRPr="007D0C1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będzie czerpać energię odnawialną z farmy wiatrowej ENGIE, która pokryje znaczącą część zapotrzebowania je</w:t>
      </w:r>
      <w:r w:rsidR="00F7560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go</w:t>
      </w:r>
      <w:bookmarkStart w:id="0" w:name="_GoBack"/>
      <w:bookmarkEnd w:id="0"/>
      <w:r w:rsidRPr="007D0C1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parków logistycznych i produkcyjnych w Polsce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07E4FEEC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Umowa PPA, która wejdzie w życie w styczniu 2026 roku, zapewni</w:t>
      </w:r>
      <w:r w:rsidRPr="00D1287B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dostawy około 335 gigawatogodzin (</w:t>
      </w:r>
      <w:proofErr w:type="spellStart"/>
      <w:r w:rsidRPr="00D1287B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GWh</w:t>
      </w:r>
      <w:proofErr w:type="spellEnd"/>
      <w:r w:rsidRPr="00D1287B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)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czystej </w:t>
      </w:r>
      <w:r w:rsidRPr="00D1287B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energii w ciągu pięciu lat, po stałej cenie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,</w:t>
      </w:r>
      <w:r w:rsidRPr="00D1287B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z dedykowanego odnawialnego źródła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. Odpowiada to około 67% zużycia parków logistycznych </w:t>
      </w:r>
      <w:proofErr w:type="spellStart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 Polsce. </w:t>
      </w:r>
    </w:p>
    <w:p w14:paraId="77146478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PPA to część większego, pięcioletniego kontraktu, w ramach którego ENGIE Zielona Energia dostarczy </w:t>
      </w:r>
      <w:proofErr w:type="spellStart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łącznie 500 </w:t>
      </w:r>
      <w:proofErr w:type="spellStart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GWh</w:t>
      </w:r>
      <w:proofErr w:type="spellEnd"/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pokrywając w ten sposób całe zapotrzebowanie na energię parków logistycznych i produkcyjnych firmy na przestrzeni pięciu lat. Energia dostarczana poza umową PPA będzie posiadała gwarancje pochodzenia.   </w:t>
      </w:r>
    </w:p>
    <w:p w14:paraId="37291AFF" w14:textId="77777777" w:rsidR="003D1BED" w:rsidRPr="009F0D04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„</w:t>
      </w:r>
      <w:r w:rsidRPr="009F0D04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Zakup energii elektrycznej z dedykowanych źródeł odnawialnych w ramach umowy PPA to wyraźny dowód długofalowego zaangażowania w prowadzenie działalności w sposób zrównoważony. Koncentrujemy się zarówno na ograniczaniu własnego śladu węglowego, jak i na wspieraniu naszych klientów w realizacji ich celów w zakresie zrównoważonego rozwoju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” – stwierdził </w:t>
      </w:r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Paweł Sapek, SVP i </w:t>
      </w:r>
      <w:proofErr w:type="spellStart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Regional</w:t>
      </w:r>
      <w:proofErr w:type="spellEnd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Head</w:t>
      </w:r>
      <w:proofErr w:type="spellEnd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na Europę Środkową w </w:t>
      </w:r>
      <w:proofErr w:type="spellStart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 </w:t>
      </w:r>
    </w:p>
    <w:p w14:paraId="3EFD736A" w14:textId="78945EBD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„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Cieszymy się z zawarcia umowy PPA na dostawy energii elektrycznej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z jednej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z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naszych farm </w:t>
      </w:r>
      <w:r w:rsidR="005329C9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wiatrowych </w:t>
      </w:r>
      <w:r w:rsidR="005329C9"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dla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. 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P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artnerstwo z liderem rynku nieruchomości logistycznych pokazuje, że współpraca między sektorem nieruchomości a branżą energetyczną może realnie wspierać transformację energetyczną i podnosić standardy zrównoważonego rozwoju w Polsce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” - skomentował </w:t>
      </w:r>
      <w:r w:rsidRPr="0026261C">
        <w:rPr>
          <w:rFonts w:asciiTheme="majorHAnsi" w:eastAsia="Calibri" w:hAnsiTheme="majorHAnsi" w:cstheme="majorHAnsi"/>
          <w:b/>
          <w:color w:val="000000" w:themeColor="text1"/>
          <w:sz w:val="20"/>
          <w:szCs w:val="20"/>
        </w:rPr>
        <w:t>Mateusz Madejski, Członek Zarządu ENGIE Zielona Energia.</w:t>
      </w:r>
      <w:r w:rsidRPr="0026261C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 </w:t>
      </w:r>
    </w:p>
    <w:p w14:paraId="18CE5B3C" w14:textId="77777777" w:rsidR="001B1871" w:rsidRPr="00AB1003" w:rsidRDefault="001B1871" w:rsidP="001B1871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Deloitte Polska pełnił rolę głównego doradcy transakcyjnego dla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 procesie zawierania umowy PPA. </w:t>
      </w:r>
      <w:r w:rsidRPr="004C3111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Kancelaria CMS pełniła rolę doradcy prawnego i wspierała </w:t>
      </w:r>
      <w:proofErr w:type="spellStart"/>
      <w:r w:rsidRPr="004C3111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4C3111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 przygotowaniu i negocjacjach umowy. </w:t>
      </w:r>
    </w:p>
    <w:p w14:paraId="1C418DFD" w14:textId="77777777" w:rsidR="003D1BED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Przewidywalne i zrównoważone źródło energii dla klientów </w:t>
      </w:r>
      <w:proofErr w:type="spellStart"/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</w:p>
    <w:p w14:paraId="19F0ECA4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Według raportu</w:t>
      </w:r>
      <w:r w:rsidRPr="00FE6F5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</w:t>
      </w:r>
      <w:hyperlink r:id="rId6" w:tgtFrame="_blank" w:history="1">
        <w:proofErr w:type="spellStart"/>
        <w:r w:rsidRPr="00FE6F5F">
          <w:rPr>
            <w:rStyle w:val="Hipercze"/>
            <w:rFonts w:asciiTheme="majorHAnsi" w:eastAsia="Calibri" w:hAnsiTheme="majorHAnsi" w:cstheme="majorHAnsi"/>
            <w:sz w:val="20"/>
            <w:szCs w:val="20"/>
          </w:rPr>
          <w:t>Prologis</w:t>
        </w:r>
        <w:proofErr w:type="spellEnd"/>
        <w:r w:rsidRPr="00FE6F5F">
          <w:rPr>
            <w:rStyle w:val="Hipercze"/>
            <w:rFonts w:asciiTheme="majorHAnsi" w:eastAsia="Calibri" w:hAnsiTheme="majorHAnsi" w:cstheme="majorHAnsi"/>
            <w:sz w:val="20"/>
            <w:szCs w:val="20"/>
          </w:rPr>
          <w:t xml:space="preserve"> Supply Chain Outlook 2026</w:t>
        </w:r>
      </w:hyperlink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90 procent globalnych firm wskazuje, że w minionym roku zapewnienie stabilnych dostaw energii stanowiło dla nich istotne wyzwanie. Umowa PPA zawarta pomiędzy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a E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NGIE Zielona Energia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jest odpowiedzią na te potrzeby. </w:t>
      </w:r>
    </w:p>
    <w:p w14:paraId="4AB31F3A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„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Z perspektywy firm działających w parkach logistycznych i produkcyjnych </w:t>
      </w:r>
      <w:proofErr w:type="spellStart"/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, umowa PPA zapewnia większą stabilność kosztów oraz ochronę przed wahaniami na rynku energii. Stała stawka obejmująca około 6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7</w:t>
      </w:r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% zapotrzebowania naszych parków logistycznych i produkcyjnych daje większą przewidywalność w planowaniu budżetów i ogranicza ryzyko związane ze zmianami cen dla klientów </w:t>
      </w:r>
      <w:proofErr w:type="spellStart"/>
      <w:r w:rsidRPr="00AB1003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” – powiedziała </w:t>
      </w:r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Marta Glinka, </w:t>
      </w:r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Real </w:t>
      </w:r>
      <w:proofErr w:type="spellStart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Estate</w:t>
      </w:r>
      <w:proofErr w:type="spellEnd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&amp; </w:t>
      </w:r>
      <w:proofErr w:type="spellStart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Customer</w:t>
      </w:r>
      <w:proofErr w:type="spellEnd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Experience</w:t>
      </w:r>
      <w:proofErr w:type="spellEnd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Lead</w:t>
      </w:r>
      <w:proofErr w:type="spellEnd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Director</w:t>
      </w:r>
      <w:proofErr w:type="spellEnd"/>
      <w:r w:rsidRPr="009A0471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w </w:t>
      </w:r>
      <w:proofErr w:type="spellStart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</w:t>
      </w:r>
    </w:p>
    <w:p w14:paraId="54C1D121" w14:textId="77777777" w:rsidR="003D1BED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  <w:r w:rsidRPr="00AB100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Zaangażowanie </w:t>
      </w:r>
      <w:proofErr w:type="spellStart"/>
      <w:r w:rsidRPr="00AB100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w zrównoważony rozwój </w:t>
      </w:r>
    </w:p>
    <w:p w14:paraId="2A80CFC2" w14:textId="48155367" w:rsidR="003D1BED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jest pierwszym deweloperem nieruchomości logistycznych w Polsce, </w:t>
      </w:r>
      <w:r w:rsidR="00291BA9"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który </w:t>
      </w:r>
      <w:r w:rsidR="00291BA9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ogłosił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podpisanie fizycznej umowy 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PPA na dostawy energii odnawialnej.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</w:t>
      </w:r>
      <w:r w:rsidRPr="00D06E6D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To kolejny krok w konsekwentnych działaniach firmy na rzecz zrównoważonego rozwoju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 Od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202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2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roku cała energia wykorzystywana w budynkach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 Polsce posiada certyfikaty pochodzenia ze źródeł odnawialnych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 U</w:t>
      </w:r>
      <w:r w:rsidRPr="008054ED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mowa PPA wzmacnia to podejście, zapewniając długoterminowe i stabilne dostawy energii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z OZE</w:t>
      </w:r>
      <w:r w:rsidRPr="008054ED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dla parków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globalnego lidera rynku nieruchomości logistycznych.</w:t>
      </w:r>
    </w:p>
    <w:p w14:paraId="007C3AD5" w14:textId="33B5DB43" w:rsidR="00E83FAA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8A5BE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Zrównoważony rozwój odgrywa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również</w:t>
      </w:r>
      <w:r w:rsidRPr="008A5BE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kluczową rolę w tym, jak </w:t>
      </w:r>
      <w:proofErr w:type="spellStart"/>
      <w:r w:rsidRPr="008A5BE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8A5BE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projektuje i buduje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swoje</w:t>
      </w:r>
      <w:r w:rsidRPr="008A5BEF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obiekty.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W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szystkie nowe budynki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firmy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 Polsce powstają z myślą o uzyskaniu co najmniej certyfikatu BREEAM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Excellent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. Najnowsza inwestycja w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Park Ujazd – budynek realizowany dla firmy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Schaeffler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– został </w:t>
      </w:r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lastRenderedPageBreak/>
        <w:t xml:space="preserve">zaprojektowany tak, aby spełniał wymogi certyfikacji na poziomie BREEAM </w:t>
      </w:r>
      <w:proofErr w:type="spellStart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Outstanding</w:t>
      </w:r>
      <w:proofErr w:type="spellEnd"/>
      <w:r w:rsidRPr="00AB100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 Jest to najwyższy poziom certyfikacji w międzynarodowej skali oceny budynków pod kątem zrównoważonego rozwoju. </w:t>
      </w:r>
    </w:p>
    <w:p w14:paraId="1EEFBE10" w14:textId="77777777" w:rsidR="000704F9" w:rsidRDefault="000704F9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</w:p>
    <w:p w14:paraId="17B0C1DF" w14:textId="55A46627" w:rsidR="003D1BED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Działalność ENGIE na rzecz transformacji energetycznej w Polsce i na świecie</w:t>
      </w:r>
    </w:p>
    <w:p w14:paraId="730A55C9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ENGIE jest globalnym liderem w dziedzinie transformacji energetycznej, którego celem jest przyspieszenie przejścia na gospodarkę neutralną pod względem emisji dwutlenku węgla. Działalność Grupy, obejmująca cały łańcuch wartości energii – od produkcji odnawialnej i ekologicznego gazu, po zarządzanie infrastrukturą i sprzedaż – jest ukierunkowana na osiągnięcie zerowej emisji do 2045 roku. </w:t>
      </w:r>
    </w:p>
    <w:p w14:paraId="6E89EEB0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B27F1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„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W wielu branżach, gdzie efektywność kosztowa i planowanie są absolutnie kluczowe, długoterminowe umowy PPA z powodzeniem stanowi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ą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fundament strategii energetycznej. Umow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y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t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e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nie tylko zapewnia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ją klientom ENGIE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 efekt dekarbonizac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ji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 xml:space="preserve">, ale także przewidywalną cenę energii na wiele lat. 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Ich połączenie z zakupami opartymi o produkty terminowe i rynek SPOT t</w:t>
      </w:r>
      <w:r w:rsidRPr="001D3146"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o przykład udanej synergii</w:t>
      </w:r>
      <w:r>
        <w:rPr>
          <w:rFonts w:asciiTheme="majorHAnsi" w:eastAsia="Calibri" w:hAnsiTheme="majorHAnsi" w:cstheme="majorHAnsi"/>
          <w:i/>
          <w:iCs/>
          <w:color w:val="000000" w:themeColor="text1"/>
          <w:sz w:val="20"/>
          <w:szCs w:val="20"/>
        </w:rPr>
        <w:t>, który zauważamy u coraz większej liczby klientów</w:t>
      </w:r>
      <w:r w:rsidRPr="00B27F1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.” – dodaje </w:t>
      </w:r>
      <w:r w:rsidRPr="005903E4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Wojciech Milewski, </w:t>
      </w:r>
      <w:r w:rsidRPr="0010435A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Senior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Originator</w:t>
      </w:r>
      <w:proofErr w:type="spellEnd"/>
      <w:r w:rsidRPr="007B7383"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 xml:space="preserve"> w </w:t>
      </w:r>
      <w:r>
        <w:rPr>
          <w:rFonts w:asciiTheme="majorHAnsi" w:eastAsia="Calibri" w:hAnsiTheme="majorHAnsi" w:cstheme="majorHAnsi"/>
          <w:b/>
          <w:bCs/>
          <w:color w:val="000000" w:themeColor="text1"/>
          <w:sz w:val="20"/>
          <w:szCs w:val="20"/>
        </w:rPr>
        <w:t>ENGIE</w:t>
      </w:r>
      <w:r w:rsidRPr="00B27F13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</w:t>
      </w:r>
    </w:p>
    <w:p w14:paraId="434349FB" w14:textId="39939876" w:rsidR="003D1BED" w:rsidRPr="001D3146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Również n</w:t>
      </w:r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a rynku polskim ENGIE Zielona Energia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wzmacnia globalną strategię</w:t>
      </w:r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działając jako jeden z liderów transformacji. Firma aktywnie zarządza własnym portfelem farm wiatrowych i fotowoltaicznych o łącznej mocy ponad 360 MW, oferując 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szeroki wachlarz produktów dedykowanych dla wytwórców i odbiorców energii, w tym </w:t>
      </w:r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umowy PPA jako kluczowe narzędzie dekarbonizacji. Dodatkowo, ENGIE inwestuje w rozwój projektów </w:t>
      </w:r>
      <w:proofErr w:type="spellStart"/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biometanowych</w:t>
      </w:r>
      <w:proofErr w:type="spellEnd"/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poszerzając zakres niskoemisyjnych rozwiązań oraz efektywnie wspierając przedsiębiorstwa, takie jak </w:t>
      </w:r>
      <w:proofErr w:type="spellStart"/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5903E4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, w realizacji ich ambitnych celów redukcji emisji CO₂.</w:t>
      </w:r>
    </w:p>
    <w:p w14:paraId="077A053E" w14:textId="77777777" w:rsidR="003D1BED" w:rsidRPr="001D3146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6F27D3F1" w14:textId="77777777" w:rsidR="003D1BED" w:rsidRPr="000F6867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</w:pPr>
      <w:r w:rsidRPr="000F6867"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  <w:t xml:space="preserve">O </w:t>
      </w:r>
      <w:proofErr w:type="spellStart"/>
      <w:r w:rsidRPr="000F6867"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  <w:t>Prologis</w:t>
      </w:r>
      <w:proofErr w:type="spellEnd"/>
    </w:p>
    <w:p w14:paraId="65FABC22" w14:textId="77777777" w:rsidR="003D1BED" w:rsidRPr="001D3146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proofErr w:type="spellStart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Inc., to światowy lider na rynku nieruchomości logistycznych, skupiający się na dynamicznie rozwijających się rynkach. Firma jest właścicielem lub współinwestorem nieruchomości i projektów deweloperskich w 20 krajach o łącznej powierzchni około 120 milionów metrów kwadratowych (stan na 31 grudnia 2024 r.). </w:t>
      </w:r>
      <w:proofErr w:type="spellStart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Prologis</w:t>
      </w:r>
      <w:proofErr w:type="spellEnd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wynajmuje nowoczesne obiekty logistyczne zróżnicowanej grupie około 6500 klientów, głównie w dwóch kategoriach: business-to-business i </w:t>
      </w:r>
      <w:proofErr w:type="spellStart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retail</w:t>
      </w:r>
      <w:proofErr w:type="spellEnd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/online </w:t>
      </w:r>
      <w:proofErr w:type="spellStart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fulfillment</w:t>
      </w:r>
      <w:proofErr w:type="spellEnd"/>
      <w:r w:rsidRPr="000F6867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</w:t>
      </w:r>
    </w:p>
    <w:p w14:paraId="5F1060A8" w14:textId="77777777" w:rsidR="003D1BED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</w:pPr>
    </w:p>
    <w:p w14:paraId="1258F3FC" w14:textId="77777777" w:rsidR="003D1BED" w:rsidRPr="000F6867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</w:pPr>
      <w:r w:rsidRPr="000F6867">
        <w:rPr>
          <w:rFonts w:asciiTheme="majorHAnsi" w:eastAsia="Calibri" w:hAnsiTheme="majorHAnsi" w:cstheme="majorHAnsi"/>
          <w:b/>
          <w:bCs/>
          <w:i/>
          <w:iCs/>
          <w:color w:val="000000" w:themeColor="text1"/>
          <w:sz w:val="20"/>
          <w:szCs w:val="20"/>
        </w:rPr>
        <w:t>O ENGIE</w:t>
      </w:r>
    </w:p>
    <w:p w14:paraId="7994D40C" w14:textId="77777777" w:rsidR="003D1BED" w:rsidRPr="00AB1003" w:rsidRDefault="003D1BED" w:rsidP="003D1BED">
      <w:pPr>
        <w:pBdr>
          <w:top w:val="nil"/>
          <w:left w:val="nil"/>
          <w:bottom w:val="nil"/>
          <w:right w:val="nil"/>
          <w:between w:val="nil"/>
        </w:pBdr>
        <w:spacing w:after="90"/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ENGIE jest ważnym graczem w dziedzinie transformacji energetycznej, którego celem jest przyspieszenie przejścia na gospodarkę neutralną pod względem emisji dwutlenku węgla. Zatrudniając 98 000 pracowników w 30 krajach, Grupa obejmuje cały łańcuch wartości energii, od produkcji po infrastrukturę i sprzedaż. ENGIE łączy działania uzupełniające się: produkcję energii odnawialnej i ekologicznego gazu, aktywa zapewniające elastyczność (w szczególności baterie), sieci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przesyłu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i dystrybucji gazu i energii elektrycznej, lokalną infrastrukturę energetyczną (sieci ciepłownicze i chłodnicze) oraz dostawy energii do osób prywatnych, władz lokalnych i przedsiębiorstw. Każdego roku ENGIE inwestuje ponad 10 mld euro w celu przyspieszenia transformacji energetycznej i osiągnięcia zerowej emisji dwutlenku węgla do 2045 r. Obroty w 2024 r.: 73,8 mld euro. Grupa jest notowana na giełdach w Paryżu i Brukseli (ENGI) i jest reprezentowana w głównych indeksach finansowych (CAC 40,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Euronext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100, FTSE Euro 100, MSCI Europe) oraz indeksach niefinansowych (DJSI World,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Euronext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Vigeo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Eiris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- Europe 120 / France 20, MSCI EMU ESG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screened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, MSCI EUROPE ESG Universal Select, </w:t>
      </w:r>
      <w:proofErr w:type="spellStart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Stoxx</w:t>
      </w:r>
      <w:proofErr w:type="spellEnd"/>
      <w:r w:rsidRPr="000F4EE2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 xml:space="preserve"> Europe 600 ESG-X)</w:t>
      </w:r>
      <w:r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</w:t>
      </w:r>
    </w:p>
    <w:p w14:paraId="00F35ED4" w14:textId="77777777" w:rsidR="00772B15" w:rsidRDefault="00772B15"/>
    <w:sectPr w:rsidR="00772B15" w:rsidSect="003D1BED">
      <w:headerReference w:type="default" r:id="rId7"/>
      <w:footerReference w:type="default" r:id="rId8"/>
      <w:headerReference w:type="first" r:id="rId9"/>
      <w:pgSz w:w="12240" w:h="15840"/>
      <w:pgMar w:top="1276" w:right="1440" w:bottom="1135" w:left="1440" w:header="1584" w:footer="1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63D4" w14:textId="77777777" w:rsidR="006C17D2" w:rsidRDefault="006C17D2" w:rsidP="006C0E8F">
      <w:r>
        <w:separator/>
      </w:r>
    </w:p>
  </w:endnote>
  <w:endnote w:type="continuationSeparator" w:id="0">
    <w:p w14:paraId="4074A41A" w14:textId="77777777" w:rsidR="006C17D2" w:rsidRDefault="006C17D2" w:rsidP="006C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FAD9" w14:textId="2CE326C7" w:rsidR="003D1BED" w:rsidRPr="0002787A" w:rsidRDefault="003D1B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 w:rsidRPr="0002787A">
      <w:rPr>
        <w:rFonts w:ascii="Quattrocento Sans" w:eastAsia="Quattrocento Sans" w:hAnsi="Quattrocento Sans" w:cs="Quattrocento Sans"/>
        <w:color w:val="000000"/>
        <w:sz w:val="15"/>
        <w:szCs w:val="15"/>
      </w:rPr>
      <w:fldChar w:fldCharType="begin"/>
    </w:r>
    <w:r w:rsidRPr="0002787A">
      <w:rPr>
        <w:rFonts w:ascii="Quattrocento Sans" w:eastAsia="Quattrocento Sans" w:hAnsi="Quattrocento Sans" w:cs="Quattrocento Sans"/>
        <w:color w:val="000000"/>
        <w:sz w:val="15"/>
        <w:szCs w:val="15"/>
      </w:rPr>
      <w:instrText>PAGE</w:instrText>
    </w:r>
    <w:r w:rsidRPr="0002787A">
      <w:rPr>
        <w:rFonts w:ascii="Quattrocento Sans" w:eastAsia="Quattrocento Sans" w:hAnsi="Quattrocento Sans" w:cs="Quattrocento Sans"/>
        <w:color w:val="000000"/>
        <w:sz w:val="15"/>
        <w:szCs w:val="15"/>
      </w:rPr>
      <w:fldChar w:fldCharType="separate"/>
    </w:r>
    <w:r w:rsidR="00F75601">
      <w:rPr>
        <w:rFonts w:ascii="Quattrocento Sans" w:eastAsia="Quattrocento Sans" w:hAnsi="Quattrocento Sans" w:cs="Quattrocento Sans"/>
        <w:noProof/>
        <w:color w:val="000000"/>
        <w:sz w:val="15"/>
        <w:szCs w:val="15"/>
      </w:rPr>
      <w:t>2</w:t>
    </w:r>
    <w:r w:rsidRPr="0002787A">
      <w:rPr>
        <w:rFonts w:ascii="Quattrocento Sans" w:eastAsia="Quattrocento Sans" w:hAnsi="Quattrocento Sans" w:cs="Quattrocento Sans"/>
        <w:color w:val="000000"/>
        <w:sz w:val="15"/>
        <w:szCs w:val="15"/>
      </w:rPr>
      <w:fldChar w:fldCharType="end"/>
    </w:r>
  </w:p>
  <w:p w14:paraId="0C3F1327" w14:textId="77777777" w:rsidR="003D1BED" w:rsidRPr="0002787A" w:rsidRDefault="003D1B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B0D1" w14:textId="77777777" w:rsidR="006C17D2" w:rsidRDefault="006C17D2" w:rsidP="006C0E8F">
      <w:r>
        <w:separator/>
      </w:r>
    </w:p>
  </w:footnote>
  <w:footnote w:type="continuationSeparator" w:id="0">
    <w:p w14:paraId="56A9BD60" w14:textId="77777777" w:rsidR="006C17D2" w:rsidRDefault="006C17D2" w:rsidP="006C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243E" w14:textId="77777777" w:rsidR="003D1BED" w:rsidRPr="0002787A" w:rsidRDefault="003D1B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3" behindDoc="0" locked="0" layoutInCell="1" allowOverlap="1" wp14:anchorId="29B41EA2" wp14:editId="7E07EB43">
          <wp:simplePos x="0" y="0"/>
          <wp:positionH relativeFrom="margin">
            <wp:align>left</wp:align>
          </wp:positionH>
          <wp:positionV relativeFrom="paragraph">
            <wp:posOffset>-838835</wp:posOffset>
          </wp:positionV>
          <wp:extent cx="1524000" cy="748030"/>
          <wp:effectExtent l="0" t="0" r="0" b="0"/>
          <wp:wrapSquare wrapText="bothSides"/>
          <wp:docPr id="4" name="Obraz 4" descr="Engie | Air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Engie | Air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87A">
      <w:rPr>
        <w:noProof/>
        <w:color w:val="000000"/>
        <w:lang w:eastAsia="pl-PL"/>
      </w:rPr>
      <w:drawing>
        <wp:anchor distT="0" distB="0" distL="114300" distR="114300" simplePos="0" relativeHeight="251658240" behindDoc="1" locked="0" layoutInCell="1" allowOverlap="1" wp14:anchorId="10D9754F" wp14:editId="017616DE">
          <wp:simplePos x="0" y="0"/>
          <wp:positionH relativeFrom="margin">
            <wp:align>right</wp:align>
          </wp:positionH>
          <wp:positionV relativeFrom="paragraph">
            <wp:posOffset>-695960</wp:posOffset>
          </wp:positionV>
          <wp:extent cx="2628900" cy="490855"/>
          <wp:effectExtent l="0" t="0" r="0" b="4445"/>
          <wp:wrapTight wrapText="bothSides">
            <wp:wrapPolygon edited="0">
              <wp:start x="0" y="0"/>
              <wp:lineTo x="0" y="20957"/>
              <wp:lineTo x="21443" y="20957"/>
              <wp:lineTo x="21443" y="0"/>
              <wp:lineTo x="0" y="0"/>
            </wp:wrapPolygon>
          </wp:wrapTight>
          <wp:docPr id="997637255" name="Bildobjekt 321249653" descr="En bild som visar Teckensnitt, Grafik, logotyp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49653" name="Bildobjekt 321249653" descr="En bild som visar Teckensnitt, Grafik, logotyp,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0327" w14:textId="77777777" w:rsidR="003D1BED" w:rsidRPr="0002787A" w:rsidRDefault="003D1B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1EBB2EAB" wp14:editId="0DFA1D15">
          <wp:simplePos x="0" y="0"/>
          <wp:positionH relativeFrom="margin">
            <wp:align>left</wp:align>
          </wp:positionH>
          <wp:positionV relativeFrom="paragraph">
            <wp:posOffset>-891540</wp:posOffset>
          </wp:positionV>
          <wp:extent cx="1524000" cy="748030"/>
          <wp:effectExtent l="0" t="0" r="0" b="0"/>
          <wp:wrapSquare wrapText="bothSides"/>
          <wp:docPr id="3" name="Obraz 3" descr="Engie | Air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Engie | Air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87A">
      <w:rPr>
        <w:noProof/>
        <w:color w:val="000000"/>
        <w:lang w:eastAsia="pl-PL"/>
      </w:rPr>
      <w:drawing>
        <wp:anchor distT="0" distB="0" distL="114300" distR="114300" simplePos="0" relativeHeight="251658241" behindDoc="1" locked="0" layoutInCell="1" allowOverlap="1" wp14:anchorId="4F3A62A1" wp14:editId="0DE69694">
          <wp:simplePos x="0" y="0"/>
          <wp:positionH relativeFrom="margin">
            <wp:align>right</wp:align>
          </wp:positionH>
          <wp:positionV relativeFrom="paragraph">
            <wp:posOffset>-691515</wp:posOffset>
          </wp:positionV>
          <wp:extent cx="2628900" cy="490855"/>
          <wp:effectExtent l="0" t="0" r="0" b="4445"/>
          <wp:wrapTight wrapText="bothSides">
            <wp:wrapPolygon edited="0">
              <wp:start x="0" y="0"/>
              <wp:lineTo x="0" y="20957"/>
              <wp:lineTo x="21443" y="20957"/>
              <wp:lineTo x="21443" y="0"/>
              <wp:lineTo x="0" y="0"/>
            </wp:wrapPolygon>
          </wp:wrapTight>
          <wp:docPr id="2090380844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CE"/>
    <w:rsid w:val="000704F9"/>
    <w:rsid w:val="00141A27"/>
    <w:rsid w:val="001B1871"/>
    <w:rsid w:val="00291BA9"/>
    <w:rsid w:val="0032580C"/>
    <w:rsid w:val="003D1BED"/>
    <w:rsid w:val="003D6873"/>
    <w:rsid w:val="004F3B67"/>
    <w:rsid w:val="005329C9"/>
    <w:rsid w:val="00552FF3"/>
    <w:rsid w:val="006753E5"/>
    <w:rsid w:val="006C0E8F"/>
    <w:rsid w:val="006C17D2"/>
    <w:rsid w:val="00765FDB"/>
    <w:rsid w:val="00772B15"/>
    <w:rsid w:val="007F3D6B"/>
    <w:rsid w:val="00817C07"/>
    <w:rsid w:val="00822471"/>
    <w:rsid w:val="008443F7"/>
    <w:rsid w:val="00891ECE"/>
    <w:rsid w:val="008B4214"/>
    <w:rsid w:val="009B042E"/>
    <w:rsid w:val="00AA47B4"/>
    <w:rsid w:val="00B2396D"/>
    <w:rsid w:val="00CF7361"/>
    <w:rsid w:val="00E449CD"/>
    <w:rsid w:val="00E83FAA"/>
    <w:rsid w:val="00F75601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EF03"/>
  <w15:chartTrackingRefBased/>
  <w15:docId w15:val="{F2E9BB73-4EC1-4D7A-9E4D-C4E66FF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BE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sv-S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E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E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E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E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E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E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E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E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E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E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E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E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E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E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E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1B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B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BED"/>
    <w:rPr>
      <w:rFonts w:ascii="Arial" w:eastAsia="Arial" w:hAnsi="Arial" w:cs="Arial"/>
      <w:kern w:val="0"/>
      <w:sz w:val="20"/>
      <w:szCs w:val="20"/>
      <w:lang w:eastAsia="sv-S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1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BED"/>
    <w:rPr>
      <w:rFonts w:ascii="Arial" w:eastAsia="Arial" w:hAnsi="Arial" w:cs="Arial"/>
      <w:kern w:val="0"/>
      <w:sz w:val="22"/>
      <w:szCs w:val="22"/>
      <w:lang w:eastAsia="sv-SE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6C0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E8F"/>
    <w:rPr>
      <w:rFonts w:ascii="Arial" w:eastAsia="Arial" w:hAnsi="Arial" w:cs="Arial"/>
      <w:kern w:val="0"/>
      <w:sz w:val="22"/>
      <w:szCs w:val="22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logis.com/insights-news/press-releases/supply-chain-leaders-brace-energy-crunch-turn-a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1064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UNVERRICHT Patrycja (ENGIE Zielona Energia)</dc:creator>
  <cp:keywords/>
  <dc:description/>
  <cp:lastModifiedBy>Alicja Dołęgowska</cp:lastModifiedBy>
  <cp:revision>16</cp:revision>
  <dcterms:created xsi:type="dcterms:W3CDTF">2025-12-09T10:26:00Z</dcterms:created>
  <dcterms:modified xsi:type="dcterms:W3CDTF">2025-12-10T09:06:00Z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fe372f-dfee-4f9b-b101-6a77f0c3c3b5_Enabled">
    <vt:lpwstr>true</vt:lpwstr>
  </property>
  <property fmtid="{D5CDD505-2E9C-101B-9397-08002B2CF9AE}" pid="3" name="MSIP_Label_34fe372f-dfee-4f9b-b101-6a77f0c3c3b5_SetDate">
    <vt:lpwstr>2025-12-09T10:51:34Z</vt:lpwstr>
  </property>
  <property fmtid="{D5CDD505-2E9C-101B-9397-08002B2CF9AE}" pid="4" name="MSIP_Label_34fe372f-dfee-4f9b-b101-6a77f0c3c3b5_Method">
    <vt:lpwstr>Standard</vt:lpwstr>
  </property>
  <property fmtid="{D5CDD505-2E9C-101B-9397-08002B2CF9AE}" pid="5" name="MSIP_Label_34fe372f-dfee-4f9b-b101-6a77f0c3c3b5_Name">
    <vt:lpwstr>defa4170-0d19-0005-0002-bc88714345d2</vt:lpwstr>
  </property>
  <property fmtid="{D5CDD505-2E9C-101B-9397-08002B2CF9AE}" pid="6" name="MSIP_Label_34fe372f-dfee-4f9b-b101-6a77f0c3c3b5_SiteId">
    <vt:lpwstr>2cf835d1-453b-472b-9b90-3f6d854ad75b</vt:lpwstr>
  </property>
  <property fmtid="{D5CDD505-2E9C-101B-9397-08002B2CF9AE}" pid="7" name="MSIP_Label_34fe372f-dfee-4f9b-b101-6a77f0c3c3b5_ActionId">
    <vt:lpwstr>39366d0a-43a8-421b-a9da-4158d52db295</vt:lpwstr>
  </property>
  <property fmtid="{D5CDD505-2E9C-101B-9397-08002B2CF9AE}" pid="8" name="MSIP_Label_34fe372f-dfee-4f9b-b101-6a77f0c3c3b5_ContentBits">
    <vt:lpwstr>0</vt:lpwstr>
  </property>
  <property fmtid="{D5CDD505-2E9C-101B-9397-08002B2CF9AE}" pid="9" name="MSIP_Label_34fe372f-dfee-4f9b-b101-6a77f0c3c3b5_Tag">
    <vt:lpwstr>10, 3, 0, 1</vt:lpwstr>
  </property>
</Properties>
</file>