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8EE4" w14:textId="35F17537" w:rsidR="00B23C89" w:rsidRPr="00D46ACD" w:rsidRDefault="00B23C89" w:rsidP="00B23C89">
      <w:pPr>
        <w:jc w:val="right"/>
      </w:pPr>
      <w:r w:rsidRPr="00D46ACD">
        <w:t>Katowice,</w:t>
      </w:r>
      <w:r w:rsidR="00286312" w:rsidRPr="00D46ACD">
        <w:t xml:space="preserve"> </w:t>
      </w:r>
      <w:r w:rsidR="00D438FE">
        <w:t>09</w:t>
      </w:r>
      <w:r w:rsidR="00286312" w:rsidRPr="00D46ACD">
        <w:t>.</w:t>
      </w:r>
      <w:r w:rsidR="008632DF" w:rsidRPr="00D46ACD">
        <w:t>1</w:t>
      </w:r>
      <w:r w:rsidR="0057124B" w:rsidRPr="00D46ACD">
        <w:t>2</w:t>
      </w:r>
      <w:r w:rsidR="00286312" w:rsidRPr="00D46ACD">
        <w:t>.</w:t>
      </w:r>
      <w:r w:rsidR="001F533E" w:rsidRPr="00D46ACD">
        <w:t>2025</w:t>
      </w:r>
    </w:p>
    <w:p w14:paraId="324BE79F" w14:textId="77777777" w:rsidR="00B23C89" w:rsidRPr="00D46ACD" w:rsidRDefault="00B23C89" w:rsidP="005B53D6">
      <w:pPr>
        <w:rPr>
          <w:b/>
          <w:bCs/>
        </w:rPr>
      </w:pPr>
    </w:p>
    <w:p w14:paraId="113363F0" w14:textId="58427AD8" w:rsidR="00D55316" w:rsidRPr="00D46ACD" w:rsidRDefault="00821E22" w:rsidP="00D55316">
      <w:pPr>
        <w:jc w:val="both"/>
        <w:rPr>
          <w:b/>
          <w:bCs/>
        </w:rPr>
      </w:pPr>
      <w:r w:rsidRPr="00D46ACD">
        <w:rPr>
          <w:rStyle w:val="normaltextrun"/>
          <w:b/>
          <w:bCs/>
          <w:color w:val="000000"/>
          <w:bdr w:val="none" w:sz="0" w:space="0" w:color="auto" w:frame="1"/>
        </w:rPr>
        <w:t>Nowe życie po kopalniach. Jak Śląsk wykorzystuje swój postindustrialny potencjał</w:t>
      </w:r>
    </w:p>
    <w:p w14:paraId="572BA809" w14:textId="662ED4EA" w:rsidR="008350B4" w:rsidRDefault="00052246" w:rsidP="00D55316">
      <w:pPr>
        <w:jc w:val="both"/>
        <w:rPr>
          <w:rStyle w:val="normaltextrun"/>
          <w:b/>
          <w:bCs/>
          <w:color w:val="000000"/>
          <w:shd w:val="clear" w:color="auto" w:fill="FFFFFF"/>
        </w:rPr>
      </w:pPr>
      <w:r w:rsidRPr="00D46ACD">
        <w:rPr>
          <w:rStyle w:val="normaltextrun"/>
          <w:b/>
          <w:bCs/>
          <w:color w:val="000000"/>
          <w:shd w:val="clear" w:color="auto" w:fill="FFFFFF"/>
        </w:rPr>
        <w:t>Śląsk wchodzi w kluczową fazę transformacji. Wraz z wygaszaniem kopalń pojawia się wyzwanie, jak zagospodarować rozległe tereny poprzemysłowe, które przez dekady kształtowały krajobraz i tożsamość regionu. Dla miast to szansa na odzyskanie cennych</w:t>
      </w:r>
      <w:r w:rsidR="000F10C2">
        <w:rPr>
          <w:rStyle w:val="normaltextrun"/>
          <w:b/>
          <w:bCs/>
          <w:color w:val="000000"/>
          <w:shd w:val="clear" w:color="auto" w:fill="FFFFFF"/>
        </w:rPr>
        <w:t xml:space="preserve"> – </w:t>
      </w:r>
      <w:r w:rsidR="00151F8D">
        <w:rPr>
          <w:rStyle w:val="normaltextrun"/>
          <w:b/>
          <w:bCs/>
          <w:color w:val="000000"/>
          <w:shd w:val="clear" w:color="auto" w:fill="FFFFFF"/>
        </w:rPr>
        <w:t xml:space="preserve">przez </w:t>
      </w:r>
      <w:r w:rsidR="00C83C2E">
        <w:rPr>
          <w:rStyle w:val="normaltextrun"/>
          <w:b/>
          <w:bCs/>
          <w:color w:val="000000"/>
          <w:shd w:val="clear" w:color="auto" w:fill="FFFFFF"/>
        </w:rPr>
        <w:t>lata niedostępnych</w:t>
      </w:r>
      <w:r w:rsidR="000F10C2">
        <w:rPr>
          <w:rStyle w:val="normaltextrun"/>
          <w:b/>
          <w:bCs/>
          <w:color w:val="000000"/>
          <w:shd w:val="clear" w:color="auto" w:fill="FFFFFF"/>
        </w:rPr>
        <w:t xml:space="preserve"> – </w:t>
      </w:r>
      <w:r w:rsidRPr="00D46ACD">
        <w:rPr>
          <w:rStyle w:val="normaltextrun"/>
          <w:b/>
          <w:bCs/>
          <w:color w:val="000000"/>
          <w:shd w:val="clear" w:color="auto" w:fill="FFFFFF"/>
        </w:rPr>
        <w:t>fragmentów tkanki miejskiej i nadanie im nowych funkcji</w:t>
      </w:r>
      <w:r w:rsidR="008350B4">
        <w:rPr>
          <w:rStyle w:val="normaltextrun"/>
          <w:b/>
          <w:bCs/>
          <w:color w:val="000000"/>
          <w:shd w:val="clear" w:color="auto" w:fill="FFFFFF"/>
        </w:rPr>
        <w:t>.</w:t>
      </w:r>
      <w:r w:rsidR="003648B2" w:rsidRPr="003648B2">
        <w:t xml:space="preserve"> </w:t>
      </w:r>
      <w:r w:rsidR="003648B2" w:rsidRPr="003648B2">
        <w:rPr>
          <w:rStyle w:val="normaltextrun"/>
          <w:b/>
          <w:bCs/>
          <w:color w:val="000000"/>
          <w:shd w:val="clear" w:color="auto" w:fill="FFFFFF"/>
        </w:rPr>
        <w:t>Coraz częściej są to przestrzenie mieszkaniowe, społeczne i kulturalne, przekształcane z poszanowaniem lokalnego dziedzictwa</w:t>
      </w:r>
      <w:r w:rsidR="003648B2">
        <w:rPr>
          <w:rStyle w:val="normaltextrun"/>
          <w:b/>
          <w:bCs/>
          <w:color w:val="000000"/>
          <w:shd w:val="clear" w:color="auto" w:fill="FFFFFF"/>
        </w:rPr>
        <w:t>.</w:t>
      </w:r>
    </w:p>
    <w:p w14:paraId="0766DC7B" w14:textId="4875448A" w:rsidR="00143FEA" w:rsidRPr="003648B2" w:rsidRDefault="003648B2" w:rsidP="00D55316">
      <w:pPr>
        <w:jc w:val="both"/>
      </w:pPr>
      <w:r w:rsidRPr="003648B2">
        <w:t>Transformacja terenów pokopalnianych wpisuje się w szerszy trend rewitalizacji obszarów postindustrialnych widoczny w wielu europejskich miastach. Zgodnie z rządową Umową Społeczną z 2021 roku, do 2049 r. na Śląsku wygaszanych będzie kilkanaście kopalń. Dla wielu miast oznacza to odzyskanie rozległych terenów, które dotąd pełniły funkcje przemysłowe, a część z nich w ostatnich latach pozostawała niewykorzystana. To przestrzenie wymagające rewitalizacji i nowego podejścia urbanistycznego, a jednocześnie jedne z najważniejszych rezerw gruntów pod rozwój współczesnej tkanki miejskiej.</w:t>
      </w:r>
    </w:p>
    <w:p w14:paraId="7AACAED6" w14:textId="77777777" w:rsidR="00D46ACD" w:rsidRPr="00D46ACD" w:rsidRDefault="00D46ACD" w:rsidP="00D46ACD">
      <w:pPr>
        <w:jc w:val="both"/>
        <w:rPr>
          <w:b/>
          <w:bCs/>
        </w:rPr>
      </w:pPr>
      <w:r w:rsidRPr="00D46ACD">
        <w:rPr>
          <w:b/>
          <w:bCs/>
        </w:rPr>
        <w:t xml:space="preserve">Nowe otwarcie dla śląskich miast </w:t>
      </w:r>
    </w:p>
    <w:p w14:paraId="2865841E" w14:textId="77777777" w:rsidR="00775F51" w:rsidRDefault="00D46ACD" w:rsidP="00D46ACD">
      <w:pPr>
        <w:jc w:val="both"/>
      </w:pPr>
      <w:r w:rsidRPr="00D46ACD">
        <w:t>Od lat 90. region przechodzi transformację gospodarczą, której naturalnym elementem jest wygaszanie części zakładów przemysłowych. W związku z tym pojawiła się konieczność zmiany sposobu myślenia o przestrzeni</w:t>
      </w:r>
      <w:r w:rsidR="002C71C5">
        <w:t xml:space="preserve"> miejskiej. </w:t>
      </w:r>
      <w:r w:rsidRPr="00D46ACD">
        <w:t>Wiele terenów pokopalnianych na Śląsku położonych jest w kluczowych częściach miast. Niejednokrotnie tam, gdzie przez lata funkcjonowały główne zakłady i toczyło się życie lokalnych społeczności.</w:t>
      </w:r>
    </w:p>
    <w:p w14:paraId="4A99B23B" w14:textId="7B8B41BA" w:rsidR="00D46ACD" w:rsidRPr="00D46ACD" w:rsidRDefault="00D46ACD" w:rsidP="00D46ACD">
      <w:pPr>
        <w:jc w:val="both"/>
      </w:pPr>
      <w:r w:rsidRPr="00D46ACD">
        <w:t xml:space="preserve">Dlatego ich przekształcanie wymaga nie tylko </w:t>
      </w:r>
      <w:r w:rsidR="00231F4D">
        <w:t>rewitalizacji</w:t>
      </w:r>
      <w:r w:rsidRPr="00D46ACD">
        <w:t>, ale przede wszystkim świadomego podejścia urbanistycznego. Kluczowe jest nadanie tym obszarom nowych funkcji, przy jednoczesnym zachowaniu przemysłowej tożsamości regionu, która dla wielu mieszkańców pozostaje ważnym punktem odniesienia.</w:t>
      </w:r>
    </w:p>
    <w:p w14:paraId="03F0971F" w14:textId="60FEDFFC" w:rsidR="00D46ACD" w:rsidRPr="00D46ACD" w:rsidRDefault="00CC5528" w:rsidP="00D46ACD">
      <w:pPr>
        <w:jc w:val="both"/>
      </w:pPr>
      <w:r w:rsidRPr="00CC5528">
        <w:t xml:space="preserve">Choć tereny pokopalniane wymagają przygotowania pod nowe funkcje miejskie, ich potencjał jest znaczący. To zwykle rozległe, spójne obszary zlokalizowane albo w obrębie miasta, albo na jego obrzeżach, ale z dobrym dostępem do komunikacji i istniejącej infrastruktury. Lokalizacja, dostępność usług i silna historia miejsca sprawiają, że projekty powstające na takich terenach stają się atrakcyjne zarówno dla przyszłych </w:t>
      </w:r>
      <w:r w:rsidRPr="00CC5528">
        <w:lastRenderedPageBreak/>
        <w:t>mieszkańców, jak i dla inwestorów</w:t>
      </w:r>
      <w:r w:rsidR="00D31D34">
        <w:t>.</w:t>
      </w:r>
      <w:r w:rsidR="008747C2">
        <w:t xml:space="preserve"> </w:t>
      </w:r>
      <w:r w:rsidR="00D80A0E" w:rsidRPr="00D80A0E">
        <w:t>W efekcie mogą pełnić rolę ważnych elementów struktury miejskiej.</w:t>
      </w:r>
    </w:p>
    <w:p w14:paraId="64FB9EEA" w14:textId="77777777" w:rsidR="00D46ACD" w:rsidRPr="00D46ACD" w:rsidRDefault="00D46ACD" w:rsidP="00D46ACD">
      <w:pPr>
        <w:jc w:val="both"/>
        <w:rPr>
          <w:b/>
          <w:bCs/>
        </w:rPr>
      </w:pPr>
      <w:r w:rsidRPr="00D46ACD">
        <w:rPr>
          <w:b/>
          <w:bCs/>
        </w:rPr>
        <w:t xml:space="preserve">Każdy teren ma swoją historię </w:t>
      </w:r>
    </w:p>
    <w:p w14:paraId="0B68F9C3" w14:textId="0DBD33FE" w:rsidR="00D46ACD" w:rsidRPr="00D46ACD" w:rsidRDefault="00D46ACD" w:rsidP="00D46ACD">
      <w:pPr>
        <w:jc w:val="both"/>
      </w:pPr>
      <w:r w:rsidRPr="005949E1">
        <w:rPr>
          <w:i/>
          <w:iCs/>
        </w:rPr>
        <w:t>– Przekształcanie terenów pokopalnianych zawsze wymaga indywidualnego podejścia. Każdy obszar ma swój układ, historię i</w:t>
      </w:r>
      <w:r w:rsidR="000441EC" w:rsidRPr="005949E1">
        <w:rPr>
          <w:i/>
          <w:iCs/>
        </w:rPr>
        <w:t xml:space="preserve"> unikalny</w:t>
      </w:r>
      <w:r w:rsidRPr="005949E1">
        <w:rPr>
          <w:i/>
          <w:iCs/>
        </w:rPr>
        <w:t xml:space="preserve"> charakter, dlatego kluczowe jest znalezienie balansu między nową funkcją a zachowaniem elementów tożsamości miejsca. Na Śląsku to szczególnie istotne. Wiele kopalń przez dekady było trwale wpisanych w tkankę miejską</w:t>
      </w:r>
      <w:r w:rsidR="005015B8">
        <w:rPr>
          <w:i/>
          <w:iCs/>
        </w:rPr>
        <w:t xml:space="preserve"> i społeczne DNA regionu</w:t>
      </w:r>
      <w:r w:rsidRPr="005949E1">
        <w:rPr>
          <w:i/>
          <w:iCs/>
        </w:rPr>
        <w:t>. Przykładem może być teren dawnej kopalni „Katowice”, gdzie obok Strefy Kultury powstała Pierwsza Dzielnica. Jej architektura nawiązuje do industrialnych motywów Bogucic, a sama nazwa projektu odwołuje się zarówno do śródmiejskiej lokalizacji, jak i historycznego obszaru pomiędzy Kuźnicą Bogucką a hutą „</w:t>
      </w:r>
      <w:proofErr w:type="spellStart"/>
      <w:r w:rsidRPr="005949E1">
        <w:rPr>
          <w:i/>
          <w:iCs/>
        </w:rPr>
        <w:t>Fanny</w:t>
      </w:r>
      <w:proofErr w:type="spellEnd"/>
      <w:r w:rsidRPr="005949E1">
        <w:rPr>
          <w:i/>
          <w:iCs/>
        </w:rPr>
        <w:t xml:space="preserve">”. </w:t>
      </w:r>
      <w:r w:rsidR="00D45EF4">
        <w:rPr>
          <w:i/>
          <w:iCs/>
        </w:rPr>
        <w:t>R</w:t>
      </w:r>
      <w:r w:rsidR="00D45EF4" w:rsidRPr="00D45EF4">
        <w:rPr>
          <w:i/>
          <w:iCs/>
        </w:rPr>
        <w:t>ewitalizacja</w:t>
      </w:r>
      <w:r w:rsidR="00D45EF4">
        <w:rPr>
          <w:i/>
          <w:iCs/>
        </w:rPr>
        <w:t xml:space="preserve"> w tym przypadku</w:t>
      </w:r>
      <w:r w:rsidR="00D45EF4" w:rsidRPr="00D45EF4">
        <w:rPr>
          <w:i/>
          <w:iCs/>
        </w:rPr>
        <w:t xml:space="preserve"> oznacza nie tylko zmianę funkcji, ale także przywrócenie t</w:t>
      </w:r>
      <w:r w:rsidR="00984330">
        <w:rPr>
          <w:i/>
          <w:iCs/>
        </w:rPr>
        <w:t>emu terenowi</w:t>
      </w:r>
      <w:r w:rsidR="00D45EF4" w:rsidRPr="00D45EF4">
        <w:rPr>
          <w:i/>
          <w:iCs/>
        </w:rPr>
        <w:t xml:space="preserve"> aktywności i życia miejskiego, umożliwiając ich świadome wykorzystanie przez mieszkańców</w:t>
      </w:r>
      <w:r w:rsidRPr="00D46ACD">
        <w:t xml:space="preserve"> – mówi </w:t>
      </w:r>
      <w:r w:rsidR="00120E15" w:rsidRPr="00120E15">
        <w:rPr>
          <w:b/>
          <w:bCs/>
        </w:rPr>
        <w:t>Adam Urbański, dyrektor sprzedaży w TDJ Estate</w:t>
      </w:r>
      <w:r w:rsidRPr="005949E1">
        <w:rPr>
          <w:b/>
          <w:bCs/>
        </w:rPr>
        <w:t>.</w:t>
      </w:r>
    </w:p>
    <w:p w14:paraId="6D93BDFE" w14:textId="77777777" w:rsidR="00D46ACD" w:rsidRPr="00D46ACD" w:rsidRDefault="00D46ACD" w:rsidP="00D46ACD">
      <w:pPr>
        <w:jc w:val="both"/>
        <w:rPr>
          <w:b/>
          <w:bCs/>
        </w:rPr>
      </w:pPr>
      <w:r w:rsidRPr="00D46ACD">
        <w:rPr>
          <w:b/>
          <w:bCs/>
        </w:rPr>
        <w:t xml:space="preserve">Nowe funkcje: kultura, transport, przestrzeń społeczna </w:t>
      </w:r>
    </w:p>
    <w:p w14:paraId="6FDD3764" w14:textId="77777777" w:rsidR="006C5266" w:rsidRDefault="006C5266" w:rsidP="00D46ACD">
      <w:pPr>
        <w:jc w:val="both"/>
      </w:pPr>
      <w:r w:rsidRPr="006C5266">
        <w:t>Transformacja terenów po kopalniach nie ogranicza się jednak do mieszkalnictwa. Takie obszary coraz częściej pełnią również funkcje usługowe, komunikacyjne, biurowe i kulturalne, stając się kluczowymi punktami miejskiego życia.</w:t>
      </w:r>
    </w:p>
    <w:p w14:paraId="2ED6979B" w14:textId="2ED0B607" w:rsidR="00D46ACD" w:rsidRPr="00D46ACD" w:rsidRDefault="00D46ACD" w:rsidP="00D46ACD">
      <w:pPr>
        <w:jc w:val="both"/>
      </w:pPr>
      <w:r w:rsidRPr="00D46ACD">
        <w:t>Jednym z najbardziej znanych przykładów jest Strefa Kultury w Katowicach</w:t>
      </w:r>
      <w:r w:rsidR="005949E1">
        <w:t>, czyli</w:t>
      </w:r>
      <w:r w:rsidRPr="00D46ACD">
        <w:t xml:space="preserve"> ponad 30 h</w:t>
      </w:r>
      <w:r w:rsidR="005949E1">
        <w:t>a</w:t>
      </w:r>
      <w:r w:rsidRPr="00D46ACD">
        <w:t xml:space="preserve"> dawnej kopalni „Katowice”, przekształconej w przestrzeń, w której funkcjonują</w:t>
      </w:r>
      <w:r w:rsidR="005949E1">
        <w:t xml:space="preserve"> ikoniczne</w:t>
      </w:r>
      <w:r w:rsidRPr="00D46ACD">
        <w:t xml:space="preserve"> NOSPR, Muzeum Śląskie i Międzynarodowe Centrum Kongresowe. W miejscu dawnej kopalni „Ferdynand” powstało Muzeum Śląskie, a teren szybu Bojków w Gliwicach adaptowano na zaplecze techniczne Kolei Śląskich. </w:t>
      </w:r>
      <w:r w:rsidR="00EC36FE" w:rsidRPr="00EC36FE">
        <w:t>W innych lokalizacjach obszary poprzemysłowe stają się terenami rekreacyjnymi, centrami usługowymi lub nowymi przestrzeniami społecznymi.</w:t>
      </w:r>
    </w:p>
    <w:p w14:paraId="2AB4B679" w14:textId="746D984E" w:rsidR="00D55316" w:rsidRPr="00D46ACD" w:rsidRDefault="00D46ACD" w:rsidP="00D46ACD">
      <w:pPr>
        <w:jc w:val="both"/>
      </w:pPr>
      <w:r w:rsidRPr="00D46ACD">
        <w:t xml:space="preserve">Śląsk stopniowo wykorzystuje potencjał terenów, które przez lata pełniły zupełnie inne funkcje. Rewitalizacja takich obszarów wymaga czasu i współpracy wielu podmiotów, ale przynosi realne korzyści. Od poprawy jakości życia mieszkańców po wyznaczanie nowych kierunków dla rozwoju miast. </w:t>
      </w:r>
      <w:r w:rsidR="003A4869">
        <w:t>W</w:t>
      </w:r>
      <w:r w:rsidR="003A4869" w:rsidRPr="003A4869">
        <w:t xml:space="preserve">pisuje się to również w globalny trend odzyskiwania przestrzeni postindustrialnych i nadawania im zupełnie nowej wartości </w:t>
      </w:r>
      <w:r w:rsidR="003A4869">
        <w:t xml:space="preserve">– </w:t>
      </w:r>
      <w:r w:rsidR="003A4869" w:rsidRPr="003A4869">
        <w:t>społecznej, urbanistycznej i ekonomicznej.</w:t>
      </w:r>
      <w:r w:rsidR="003A4869">
        <w:t xml:space="preserve"> </w:t>
      </w:r>
      <w:r w:rsidRPr="00D46ACD">
        <w:t>Projekty powstające na terenach poprzemysłowych coraz częściej stają się ważnym elementem strategii urbanistycznych, w których liczą się jakość, spójność i szacunek dla lokalnego dziedzictwa.</w:t>
      </w:r>
    </w:p>
    <w:p w14:paraId="424C7DA1" w14:textId="77777777" w:rsidR="00DC3A02" w:rsidRDefault="00DC3A02" w:rsidP="00DC3A02">
      <w:pPr>
        <w:jc w:val="both"/>
        <w:rPr>
          <w:sz w:val="20"/>
          <w:szCs w:val="20"/>
        </w:rPr>
      </w:pPr>
    </w:p>
    <w:p w14:paraId="228AB729" w14:textId="2F393FAC" w:rsidR="00842D0E" w:rsidRPr="00AB48A7" w:rsidRDefault="00842D0E" w:rsidP="00DC3A02">
      <w:pPr>
        <w:jc w:val="both"/>
        <w:rPr>
          <w:sz w:val="20"/>
          <w:szCs w:val="20"/>
        </w:rPr>
      </w:pPr>
      <w:r w:rsidRPr="00AB48A7">
        <w:rPr>
          <w:sz w:val="20"/>
          <w:szCs w:val="20"/>
        </w:rPr>
        <w:lastRenderedPageBreak/>
        <w:t>*** </w:t>
      </w:r>
    </w:p>
    <w:p w14:paraId="3EA15744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TDJ Estate jest częścią grupy TDJ, rodzinnej firmy inwestycyjnej, która buduje długoterminową wartość, realizując projekty w obszarach: Equity, Venture, Estate, Finance i Foundation. W portfolio TDJ Estate znajdują się nagradzane inwestycje biurowe i mieszkaniowe</w:t>
      </w:r>
      <w:r>
        <w:rPr>
          <w:sz w:val="18"/>
          <w:szCs w:val="18"/>
        </w:rPr>
        <w:t xml:space="preserve">. </w:t>
      </w:r>
    </w:p>
    <w:p w14:paraId="4E9DAE75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 xml:space="preserve">Flagową inwestycją TDJ Estate jest kompleks biurowy .KTW – jeden z symboli nowoczesnej architektury Katowic, zlokalizowany w Strefie Kultury, w bezpośrednim sąsiedztwie Spodka i Międzynarodowego Centrum Kongresowego. Projekt zdobył liczne nagrody, w tym European Property </w:t>
      </w:r>
      <w:proofErr w:type="spellStart"/>
      <w:r w:rsidRPr="007B02F6">
        <w:rPr>
          <w:sz w:val="18"/>
          <w:szCs w:val="18"/>
        </w:rPr>
        <w:t>Awards</w:t>
      </w:r>
      <w:proofErr w:type="spellEnd"/>
      <w:r w:rsidRPr="007B02F6">
        <w:rPr>
          <w:sz w:val="18"/>
          <w:szCs w:val="18"/>
        </w:rPr>
        <w:t xml:space="preserve"> oraz Nagrodę Roku SARP, i uchodzi za jedną z</w:t>
      </w:r>
      <w:r>
        <w:rPr>
          <w:sz w:val="18"/>
          <w:szCs w:val="18"/>
        </w:rPr>
        <w:t> </w:t>
      </w:r>
      <w:r w:rsidRPr="007B02F6">
        <w:rPr>
          <w:sz w:val="18"/>
          <w:szCs w:val="18"/>
        </w:rPr>
        <w:t>najbardziej znaczących i rozpoznawalnych inwestycji komercyjnych ostatniej dekady w Polsce.</w:t>
      </w:r>
    </w:p>
    <w:p w14:paraId="123AA7C8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TDJ Estate sprzedało już ponad 2700 mieszkań</w:t>
      </w:r>
      <w:r>
        <w:rPr>
          <w:sz w:val="18"/>
          <w:szCs w:val="18"/>
        </w:rPr>
        <w:t>,</w:t>
      </w:r>
      <w:r w:rsidRPr="00D75C18">
        <w:rPr>
          <w:sz w:val="18"/>
          <w:szCs w:val="18"/>
        </w:rPr>
        <w:t xml:space="preserve"> W portfolio spółki znajduje się m.in. katowicka </w:t>
      </w:r>
      <w:r w:rsidRPr="00F20A2E">
        <w:rPr>
          <w:sz w:val="18"/>
          <w:szCs w:val="18"/>
        </w:rPr>
        <w:t>Pierwsza Dzielnica</w:t>
      </w:r>
      <w:r w:rsidRPr="00D75C18">
        <w:rPr>
          <w:sz w:val="18"/>
          <w:szCs w:val="18"/>
        </w:rPr>
        <w:t xml:space="preserve"> – nowoczesna, wieloetapowa inwestycja</w:t>
      </w:r>
      <w:r>
        <w:rPr>
          <w:sz w:val="18"/>
          <w:szCs w:val="18"/>
        </w:rPr>
        <w:t xml:space="preserve"> znajdująca się w</w:t>
      </w:r>
      <w:r w:rsidRPr="00D75C18">
        <w:rPr>
          <w:sz w:val="18"/>
          <w:szCs w:val="18"/>
        </w:rPr>
        <w:t xml:space="preserve"> Stref</w:t>
      </w:r>
      <w:r>
        <w:rPr>
          <w:sz w:val="18"/>
          <w:szCs w:val="18"/>
        </w:rPr>
        <w:t xml:space="preserve">ie </w:t>
      </w:r>
      <w:r w:rsidRPr="00D75C18">
        <w:rPr>
          <w:sz w:val="18"/>
          <w:szCs w:val="18"/>
        </w:rPr>
        <w:t xml:space="preserve">Kultury, nagrodzona m.in. w konkursie </w:t>
      </w:r>
      <w:r w:rsidRPr="00F20A2E">
        <w:rPr>
          <w:sz w:val="18"/>
          <w:szCs w:val="18"/>
        </w:rPr>
        <w:t xml:space="preserve">European Property </w:t>
      </w:r>
      <w:proofErr w:type="spellStart"/>
      <w:r w:rsidRPr="00F20A2E">
        <w:rPr>
          <w:sz w:val="18"/>
          <w:szCs w:val="18"/>
        </w:rPr>
        <w:t>Awards</w:t>
      </w:r>
      <w:proofErr w:type="spellEnd"/>
      <w:r w:rsidRPr="00D75C18">
        <w:rPr>
          <w:sz w:val="18"/>
          <w:szCs w:val="18"/>
        </w:rPr>
        <w:t>.</w:t>
      </w:r>
    </w:p>
    <w:p w14:paraId="6F435EFF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Do innych, rozpoznawalnych na Górnym Śląsku inwestycji dewelopera należą m.in.: zakończone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Osiedle Franciszkańskie</w:t>
      </w:r>
      <w:r w:rsidRPr="00D75C18">
        <w:rPr>
          <w:sz w:val="18"/>
          <w:szCs w:val="18"/>
        </w:rPr>
        <w:t xml:space="preserve"> liczące ponad 1300 mieszkań, </w:t>
      </w:r>
      <w:r w:rsidRPr="00F20A2E">
        <w:rPr>
          <w:sz w:val="18"/>
          <w:szCs w:val="18"/>
        </w:rPr>
        <w:t>Osiedle Bardowskiego</w:t>
      </w:r>
      <w:r w:rsidRPr="00D75C18">
        <w:rPr>
          <w:sz w:val="18"/>
          <w:szCs w:val="18"/>
        </w:rPr>
        <w:t xml:space="preserve">, </w:t>
      </w:r>
      <w:proofErr w:type="spellStart"/>
      <w:r w:rsidRPr="00F20A2E">
        <w:rPr>
          <w:sz w:val="18"/>
          <w:szCs w:val="18"/>
        </w:rPr>
        <w:t>Dobrynów</w:t>
      </w:r>
      <w:proofErr w:type="spellEnd"/>
      <w:r w:rsidRPr="00D75C1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Sarnie Osiedle</w:t>
      </w:r>
      <w:r w:rsidRPr="00D75C18">
        <w:rPr>
          <w:sz w:val="18"/>
          <w:szCs w:val="18"/>
        </w:rPr>
        <w:t xml:space="preserve"> w Bielsku-Białej, </w:t>
      </w:r>
      <w:r>
        <w:rPr>
          <w:sz w:val="18"/>
          <w:szCs w:val="18"/>
        </w:rPr>
        <w:t xml:space="preserve">a także </w:t>
      </w:r>
      <w:r w:rsidRPr="00F20A2E">
        <w:rPr>
          <w:sz w:val="18"/>
          <w:szCs w:val="18"/>
        </w:rPr>
        <w:t>Zielona Dolina</w:t>
      </w:r>
      <w:r w:rsidRPr="00D75C18">
        <w:rPr>
          <w:sz w:val="18"/>
          <w:szCs w:val="18"/>
        </w:rPr>
        <w:t xml:space="preserve"> w Zabrzu oraz najnowsza inwestycja – </w:t>
      </w:r>
      <w:r w:rsidRPr="00F20A2E">
        <w:rPr>
          <w:sz w:val="18"/>
          <w:szCs w:val="18"/>
        </w:rPr>
        <w:t>Osiedle Hierowskiego</w:t>
      </w:r>
      <w:r w:rsidRPr="00D75C18">
        <w:rPr>
          <w:sz w:val="18"/>
          <w:szCs w:val="18"/>
        </w:rPr>
        <w:t xml:space="preserve"> w Katowicach.</w:t>
      </w:r>
    </w:p>
    <w:p w14:paraId="06A05773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 xml:space="preserve">Deweloper realizuje również inwestycje w Krakowie – </w:t>
      </w:r>
      <w:r w:rsidRPr="00F20A2E">
        <w:rPr>
          <w:sz w:val="18"/>
          <w:szCs w:val="18"/>
        </w:rPr>
        <w:t xml:space="preserve">Osiedle </w:t>
      </w:r>
      <w:proofErr w:type="spellStart"/>
      <w:r w:rsidRPr="00F20A2E">
        <w:rPr>
          <w:sz w:val="18"/>
          <w:szCs w:val="18"/>
        </w:rPr>
        <w:t>Imbramowskie</w:t>
      </w:r>
      <w:proofErr w:type="spellEnd"/>
      <w:r w:rsidRPr="00D75C18">
        <w:rPr>
          <w:sz w:val="18"/>
          <w:szCs w:val="18"/>
        </w:rPr>
        <w:t xml:space="preserve">, a już wkrótce osiedle </w:t>
      </w:r>
      <w:proofErr w:type="spellStart"/>
      <w:r w:rsidRPr="00D75C18">
        <w:rPr>
          <w:sz w:val="18"/>
          <w:szCs w:val="18"/>
        </w:rPr>
        <w:t>Meiera</w:t>
      </w:r>
      <w:proofErr w:type="spellEnd"/>
      <w:r w:rsidRPr="00D75C18">
        <w:rPr>
          <w:sz w:val="18"/>
          <w:szCs w:val="18"/>
        </w:rPr>
        <w:t>.</w:t>
      </w:r>
    </w:p>
    <w:p w14:paraId="50477F2A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Spółka realizuje swoją strategię z uwzględnieniem zasad zrównoważonego rozwoju i społecznej odpowiedzialności biznesu – dba o relacje z lokalnymi społecznościami, jakość przestrzeni publicznej oraz długoterminowy wpływ swoich inwestycji na otoczenie.</w:t>
      </w:r>
    </w:p>
    <w:p w14:paraId="455E5B49" w14:textId="2BDFADB5" w:rsidR="006C1483" w:rsidRPr="004079E2" w:rsidRDefault="00842D0E" w:rsidP="004079E2">
      <w:pPr>
        <w:jc w:val="both"/>
      </w:pPr>
      <w:r w:rsidRPr="007B02F6">
        <w:rPr>
          <w:sz w:val="18"/>
          <w:szCs w:val="18"/>
        </w:rPr>
        <w:t xml:space="preserve">Więcej informacji na stronie: </w:t>
      </w:r>
      <w:hyperlink r:id="rId7" w:history="1">
        <w:r w:rsidRPr="007B02F6">
          <w:rPr>
            <w:rStyle w:val="Hipercze"/>
            <w:sz w:val="18"/>
            <w:szCs w:val="18"/>
          </w:rPr>
          <w:t>www.tdjestate.pl</w:t>
        </w:r>
      </w:hyperlink>
    </w:p>
    <w:sectPr w:rsidR="006C1483" w:rsidRPr="004079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BA39F" w14:textId="77777777" w:rsidR="00DD5B49" w:rsidRDefault="00DD5B49" w:rsidP="001F533E">
      <w:pPr>
        <w:spacing w:after="0" w:line="240" w:lineRule="auto"/>
      </w:pPr>
      <w:r>
        <w:separator/>
      </w:r>
    </w:p>
  </w:endnote>
  <w:endnote w:type="continuationSeparator" w:id="0">
    <w:p w14:paraId="002F3A54" w14:textId="77777777" w:rsidR="00DD5B49" w:rsidRDefault="00DD5B49" w:rsidP="001F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8B1C9" w14:textId="77777777" w:rsidR="00DD5B49" w:rsidRDefault="00DD5B49" w:rsidP="001F533E">
      <w:pPr>
        <w:spacing w:after="0" w:line="240" w:lineRule="auto"/>
      </w:pPr>
      <w:r>
        <w:separator/>
      </w:r>
    </w:p>
  </w:footnote>
  <w:footnote w:type="continuationSeparator" w:id="0">
    <w:p w14:paraId="1F4B3F2E" w14:textId="77777777" w:rsidR="00DD5B49" w:rsidRDefault="00DD5B49" w:rsidP="001F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551B6" w14:textId="1FCFD613" w:rsidR="001F533E" w:rsidRDefault="001F533E">
    <w:pPr>
      <w:pStyle w:val="Nagwek"/>
    </w:pPr>
    <w:r>
      <w:rPr>
        <w:noProof/>
      </w:rPr>
      <w:drawing>
        <wp:inline distT="0" distB="0" distL="0" distR="0" wp14:anchorId="7D1965DC" wp14:editId="16E06CD6">
          <wp:extent cx="1231315" cy="1089660"/>
          <wp:effectExtent l="0" t="0" r="0" b="0"/>
          <wp:docPr id="13372711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719" cy="1094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0FE7"/>
    <w:multiLevelType w:val="multilevel"/>
    <w:tmpl w:val="81BCB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5B11"/>
    <w:multiLevelType w:val="multilevel"/>
    <w:tmpl w:val="A62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E33CB"/>
    <w:multiLevelType w:val="multilevel"/>
    <w:tmpl w:val="57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13B36"/>
    <w:multiLevelType w:val="multilevel"/>
    <w:tmpl w:val="9560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730E5"/>
    <w:multiLevelType w:val="multilevel"/>
    <w:tmpl w:val="1BE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F0513"/>
    <w:multiLevelType w:val="multilevel"/>
    <w:tmpl w:val="BEB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C3B71"/>
    <w:multiLevelType w:val="multilevel"/>
    <w:tmpl w:val="1DC8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07181">
    <w:abstractNumId w:val="3"/>
  </w:num>
  <w:num w:numId="2" w16cid:durableId="644237864">
    <w:abstractNumId w:val="6"/>
  </w:num>
  <w:num w:numId="3" w16cid:durableId="320472250">
    <w:abstractNumId w:val="0"/>
  </w:num>
  <w:num w:numId="4" w16cid:durableId="682131393">
    <w:abstractNumId w:val="5"/>
  </w:num>
  <w:num w:numId="5" w16cid:durableId="521817972">
    <w:abstractNumId w:val="4"/>
  </w:num>
  <w:num w:numId="6" w16cid:durableId="244342025">
    <w:abstractNumId w:val="1"/>
  </w:num>
  <w:num w:numId="7" w16cid:durableId="120317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03"/>
    <w:rsid w:val="0000579A"/>
    <w:rsid w:val="000134A8"/>
    <w:rsid w:val="00015DE8"/>
    <w:rsid w:val="000412F4"/>
    <w:rsid w:val="00043A71"/>
    <w:rsid w:val="00043EEE"/>
    <w:rsid w:val="000441EC"/>
    <w:rsid w:val="000509FE"/>
    <w:rsid w:val="000513F9"/>
    <w:rsid w:val="00052246"/>
    <w:rsid w:val="00056A75"/>
    <w:rsid w:val="00057F47"/>
    <w:rsid w:val="00061AF7"/>
    <w:rsid w:val="00066958"/>
    <w:rsid w:val="00083940"/>
    <w:rsid w:val="00087A22"/>
    <w:rsid w:val="00091802"/>
    <w:rsid w:val="0009393E"/>
    <w:rsid w:val="0009668C"/>
    <w:rsid w:val="000A292F"/>
    <w:rsid w:val="000B235F"/>
    <w:rsid w:val="000B24A0"/>
    <w:rsid w:val="000C7BD7"/>
    <w:rsid w:val="000D1A8F"/>
    <w:rsid w:val="000D1D52"/>
    <w:rsid w:val="000E30BC"/>
    <w:rsid w:val="000F10C2"/>
    <w:rsid w:val="000F30E1"/>
    <w:rsid w:val="000F7C2E"/>
    <w:rsid w:val="0010366B"/>
    <w:rsid w:val="001208E3"/>
    <w:rsid w:val="00120E09"/>
    <w:rsid w:val="00120E15"/>
    <w:rsid w:val="0014186F"/>
    <w:rsid w:val="00143FEA"/>
    <w:rsid w:val="00151F8D"/>
    <w:rsid w:val="001565C0"/>
    <w:rsid w:val="0017044E"/>
    <w:rsid w:val="001708E4"/>
    <w:rsid w:val="00172D6F"/>
    <w:rsid w:val="00175A7F"/>
    <w:rsid w:val="0018228D"/>
    <w:rsid w:val="001933E1"/>
    <w:rsid w:val="001956A9"/>
    <w:rsid w:val="001A1D60"/>
    <w:rsid w:val="001C090A"/>
    <w:rsid w:val="001C19B8"/>
    <w:rsid w:val="001C2E15"/>
    <w:rsid w:val="001C70C1"/>
    <w:rsid w:val="001D62D8"/>
    <w:rsid w:val="001D79B1"/>
    <w:rsid w:val="001E044E"/>
    <w:rsid w:val="001E7356"/>
    <w:rsid w:val="001F533E"/>
    <w:rsid w:val="002108B0"/>
    <w:rsid w:val="002165B6"/>
    <w:rsid w:val="0022295E"/>
    <w:rsid w:val="00225792"/>
    <w:rsid w:val="0022651A"/>
    <w:rsid w:val="00231F4D"/>
    <w:rsid w:val="002321B7"/>
    <w:rsid w:val="00233D33"/>
    <w:rsid w:val="00265F1A"/>
    <w:rsid w:val="00280662"/>
    <w:rsid w:val="00284AF0"/>
    <w:rsid w:val="00286312"/>
    <w:rsid w:val="002A046C"/>
    <w:rsid w:val="002A1AE8"/>
    <w:rsid w:val="002B6414"/>
    <w:rsid w:val="002B78D0"/>
    <w:rsid w:val="002C71C5"/>
    <w:rsid w:val="002D477C"/>
    <w:rsid w:val="002E0FDA"/>
    <w:rsid w:val="002E1B03"/>
    <w:rsid w:val="002E7F6C"/>
    <w:rsid w:val="002F4BA9"/>
    <w:rsid w:val="00300129"/>
    <w:rsid w:val="003069A8"/>
    <w:rsid w:val="003159DA"/>
    <w:rsid w:val="00315CB1"/>
    <w:rsid w:val="003215D1"/>
    <w:rsid w:val="00322B68"/>
    <w:rsid w:val="00322D80"/>
    <w:rsid w:val="0032384F"/>
    <w:rsid w:val="0032482D"/>
    <w:rsid w:val="003264F3"/>
    <w:rsid w:val="00326FFD"/>
    <w:rsid w:val="00333A36"/>
    <w:rsid w:val="003349CF"/>
    <w:rsid w:val="00337633"/>
    <w:rsid w:val="003433D1"/>
    <w:rsid w:val="00346976"/>
    <w:rsid w:val="00346DA1"/>
    <w:rsid w:val="00347683"/>
    <w:rsid w:val="003510F8"/>
    <w:rsid w:val="0036237F"/>
    <w:rsid w:val="003648B2"/>
    <w:rsid w:val="00390332"/>
    <w:rsid w:val="003928AD"/>
    <w:rsid w:val="00393AB9"/>
    <w:rsid w:val="0039493A"/>
    <w:rsid w:val="003955AA"/>
    <w:rsid w:val="003A0046"/>
    <w:rsid w:val="003A4337"/>
    <w:rsid w:val="003A4869"/>
    <w:rsid w:val="003B0D1A"/>
    <w:rsid w:val="003B3881"/>
    <w:rsid w:val="003C47C5"/>
    <w:rsid w:val="003D3023"/>
    <w:rsid w:val="003E57D2"/>
    <w:rsid w:val="003E5F84"/>
    <w:rsid w:val="00403456"/>
    <w:rsid w:val="0040512D"/>
    <w:rsid w:val="004079E2"/>
    <w:rsid w:val="00424AA5"/>
    <w:rsid w:val="004335C1"/>
    <w:rsid w:val="00447B97"/>
    <w:rsid w:val="00451E78"/>
    <w:rsid w:val="004648F2"/>
    <w:rsid w:val="0046564B"/>
    <w:rsid w:val="00473E87"/>
    <w:rsid w:val="00480C9F"/>
    <w:rsid w:val="0048563F"/>
    <w:rsid w:val="0048601B"/>
    <w:rsid w:val="004922DB"/>
    <w:rsid w:val="004C2E98"/>
    <w:rsid w:val="004C32EB"/>
    <w:rsid w:val="004C4044"/>
    <w:rsid w:val="004C4867"/>
    <w:rsid w:val="004C7147"/>
    <w:rsid w:val="004E020B"/>
    <w:rsid w:val="004F109C"/>
    <w:rsid w:val="00500934"/>
    <w:rsid w:val="005015B8"/>
    <w:rsid w:val="00507283"/>
    <w:rsid w:val="00515B35"/>
    <w:rsid w:val="00525644"/>
    <w:rsid w:val="00536C7A"/>
    <w:rsid w:val="005448B0"/>
    <w:rsid w:val="00552259"/>
    <w:rsid w:val="005526F2"/>
    <w:rsid w:val="00553DE5"/>
    <w:rsid w:val="00554B42"/>
    <w:rsid w:val="00564FD5"/>
    <w:rsid w:val="005710FF"/>
    <w:rsid w:val="0057124B"/>
    <w:rsid w:val="00584361"/>
    <w:rsid w:val="00585943"/>
    <w:rsid w:val="00591C04"/>
    <w:rsid w:val="005949E1"/>
    <w:rsid w:val="005B0802"/>
    <w:rsid w:val="005B53D6"/>
    <w:rsid w:val="005C085F"/>
    <w:rsid w:val="005C374F"/>
    <w:rsid w:val="005C3DA3"/>
    <w:rsid w:val="005C5CD3"/>
    <w:rsid w:val="005C5E62"/>
    <w:rsid w:val="005E186D"/>
    <w:rsid w:val="005E79CE"/>
    <w:rsid w:val="005F20C1"/>
    <w:rsid w:val="00607EF5"/>
    <w:rsid w:val="00610CED"/>
    <w:rsid w:val="006134BF"/>
    <w:rsid w:val="00616FE8"/>
    <w:rsid w:val="0062562D"/>
    <w:rsid w:val="00641981"/>
    <w:rsid w:val="00642292"/>
    <w:rsid w:val="00645569"/>
    <w:rsid w:val="006456FC"/>
    <w:rsid w:val="00651A28"/>
    <w:rsid w:val="00657D04"/>
    <w:rsid w:val="00683A4A"/>
    <w:rsid w:val="00687470"/>
    <w:rsid w:val="006938E0"/>
    <w:rsid w:val="00694309"/>
    <w:rsid w:val="00697DEF"/>
    <w:rsid w:val="006A3617"/>
    <w:rsid w:val="006A6328"/>
    <w:rsid w:val="006B0312"/>
    <w:rsid w:val="006B1C9E"/>
    <w:rsid w:val="006C1483"/>
    <w:rsid w:val="006C2A42"/>
    <w:rsid w:val="006C5266"/>
    <w:rsid w:val="006D001A"/>
    <w:rsid w:val="006D304E"/>
    <w:rsid w:val="006D39D2"/>
    <w:rsid w:val="006E39ED"/>
    <w:rsid w:val="006F7DEC"/>
    <w:rsid w:val="007050D0"/>
    <w:rsid w:val="007063D1"/>
    <w:rsid w:val="00707A02"/>
    <w:rsid w:val="00712621"/>
    <w:rsid w:val="00712F2B"/>
    <w:rsid w:val="00714463"/>
    <w:rsid w:val="00716E08"/>
    <w:rsid w:val="007267AC"/>
    <w:rsid w:val="0073290E"/>
    <w:rsid w:val="0073629F"/>
    <w:rsid w:val="007362E2"/>
    <w:rsid w:val="007365CD"/>
    <w:rsid w:val="007407C5"/>
    <w:rsid w:val="00757760"/>
    <w:rsid w:val="00762B01"/>
    <w:rsid w:val="00762D80"/>
    <w:rsid w:val="00765973"/>
    <w:rsid w:val="0077246D"/>
    <w:rsid w:val="00775AFC"/>
    <w:rsid w:val="00775F51"/>
    <w:rsid w:val="00776A1D"/>
    <w:rsid w:val="0078473A"/>
    <w:rsid w:val="007854E1"/>
    <w:rsid w:val="00797184"/>
    <w:rsid w:val="007C0585"/>
    <w:rsid w:val="007C0CE0"/>
    <w:rsid w:val="007C5C86"/>
    <w:rsid w:val="007D1CE8"/>
    <w:rsid w:val="007E409F"/>
    <w:rsid w:val="007F559B"/>
    <w:rsid w:val="007F76A5"/>
    <w:rsid w:val="00800556"/>
    <w:rsid w:val="008023F2"/>
    <w:rsid w:val="008138CF"/>
    <w:rsid w:val="0081700D"/>
    <w:rsid w:val="00821E22"/>
    <w:rsid w:val="008268DC"/>
    <w:rsid w:val="0083326E"/>
    <w:rsid w:val="008350B4"/>
    <w:rsid w:val="00842D0E"/>
    <w:rsid w:val="00844F01"/>
    <w:rsid w:val="00845B45"/>
    <w:rsid w:val="00857EDA"/>
    <w:rsid w:val="008632DF"/>
    <w:rsid w:val="0087145B"/>
    <w:rsid w:val="008747C2"/>
    <w:rsid w:val="00874B67"/>
    <w:rsid w:val="008854CB"/>
    <w:rsid w:val="00892C5E"/>
    <w:rsid w:val="0089584F"/>
    <w:rsid w:val="008B4E13"/>
    <w:rsid w:val="008C4938"/>
    <w:rsid w:val="008D0B4E"/>
    <w:rsid w:val="008D279D"/>
    <w:rsid w:val="008D4687"/>
    <w:rsid w:val="008D7330"/>
    <w:rsid w:val="0091199B"/>
    <w:rsid w:val="00916F7C"/>
    <w:rsid w:val="00921869"/>
    <w:rsid w:val="00927262"/>
    <w:rsid w:val="0092797E"/>
    <w:rsid w:val="0094055C"/>
    <w:rsid w:val="00941341"/>
    <w:rsid w:val="00944E65"/>
    <w:rsid w:val="009465F1"/>
    <w:rsid w:val="00957E3F"/>
    <w:rsid w:val="00960CA2"/>
    <w:rsid w:val="00964E4D"/>
    <w:rsid w:val="00966D3E"/>
    <w:rsid w:val="00967935"/>
    <w:rsid w:val="00972747"/>
    <w:rsid w:val="00984330"/>
    <w:rsid w:val="00985333"/>
    <w:rsid w:val="009958D2"/>
    <w:rsid w:val="009B04CA"/>
    <w:rsid w:val="009B2BCC"/>
    <w:rsid w:val="009B53B6"/>
    <w:rsid w:val="009C0A60"/>
    <w:rsid w:val="009C5DC7"/>
    <w:rsid w:val="009C6DD7"/>
    <w:rsid w:val="009D13E5"/>
    <w:rsid w:val="009D1428"/>
    <w:rsid w:val="009D70B9"/>
    <w:rsid w:val="009D7595"/>
    <w:rsid w:val="009E1213"/>
    <w:rsid w:val="00A002F8"/>
    <w:rsid w:val="00A003B1"/>
    <w:rsid w:val="00A03FBD"/>
    <w:rsid w:val="00A2594D"/>
    <w:rsid w:val="00A259DC"/>
    <w:rsid w:val="00A2607E"/>
    <w:rsid w:val="00A32AB8"/>
    <w:rsid w:val="00A3320F"/>
    <w:rsid w:val="00A51E12"/>
    <w:rsid w:val="00A54977"/>
    <w:rsid w:val="00A646B6"/>
    <w:rsid w:val="00A646DA"/>
    <w:rsid w:val="00A65EBB"/>
    <w:rsid w:val="00AA3D4C"/>
    <w:rsid w:val="00AB42D3"/>
    <w:rsid w:val="00AC6673"/>
    <w:rsid w:val="00AD2670"/>
    <w:rsid w:val="00AD5671"/>
    <w:rsid w:val="00AE170B"/>
    <w:rsid w:val="00AE4B76"/>
    <w:rsid w:val="00AE4DBB"/>
    <w:rsid w:val="00AF2FA1"/>
    <w:rsid w:val="00B06F46"/>
    <w:rsid w:val="00B21F23"/>
    <w:rsid w:val="00B23C89"/>
    <w:rsid w:val="00B37CAF"/>
    <w:rsid w:val="00B40BCB"/>
    <w:rsid w:val="00B4619B"/>
    <w:rsid w:val="00B55780"/>
    <w:rsid w:val="00B71073"/>
    <w:rsid w:val="00B75D52"/>
    <w:rsid w:val="00B763EC"/>
    <w:rsid w:val="00B80172"/>
    <w:rsid w:val="00B83969"/>
    <w:rsid w:val="00BA2919"/>
    <w:rsid w:val="00BA3A60"/>
    <w:rsid w:val="00BB13B6"/>
    <w:rsid w:val="00BB1935"/>
    <w:rsid w:val="00BB2C3B"/>
    <w:rsid w:val="00BB401D"/>
    <w:rsid w:val="00BB6321"/>
    <w:rsid w:val="00BC342F"/>
    <w:rsid w:val="00BC7951"/>
    <w:rsid w:val="00BD2765"/>
    <w:rsid w:val="00BD5295"/>
    <w:rsid w:val="00BE0E3B"/>
    <w:rsid w:val="00BE61D5"/>
    <w:rsid w:val="00BF1A15"/>
    <w:rsid w:val="00BF3516"/>
    <w:rsid w:val="00C06325"/>
    <w:rsid w:val="00C1038E"/>
    <w:rsid w:val="00C10B0E"/>
    <w:rsid w:val="00C15B54"/>
    <w:rsid w:val="00C2015B"/>
    <w:rsid w:val="00C3233F"/>
    <w:rsid w:val="00C434A9"/>
    <w:rsid w:val="00C5503B"/>
    <w:rsid w:val="00C560F3"/>
    <w:rsid w:val="00C63082"/>
    <w:rsid w:val="00C72870"/>
    <w:rsid w:val="00C779CB"/>
    <w:rsid w:val="00C83C2E"/>
    <w:rsid w:val="00C87F3E"/>
    <w:rsid w:val="00C90BA1"/>
    <w:rsid w:val="00C92FE9"/>
    <w:rsid w:val="00C97570"/>
    <w:rsid w:val="00CA28EC"/>
    <w:rsid w:val="00CA4AB8"/>
    <w:rsid w:val="00CB3A27"/>
    <w:rsid w:val="00CB5FA0"/>
    <w:rsid w:val="00CB7ECF"/>
    <w:rsid w:val="00CC00BF"/>
    <w:rsid w:val="00CC49C9"/>
    <w:rsid w:val="00CC5528"/>
    <w:rsid w:val="00CC56FC"/>
    <w:rsid w:val="00CD09AE"/>
    <w:rsid w:val="00CD3FD5"/>
    <w:rsid w:val="00CD73C8"/>
    <w:rsid w:val="00CF6520"/>
    <w:rsid w:val="00D065E0"/>
    <w:rsid w:val="00D147DF"/>
    <w:rsid w:val="00D178FF"/>
    <w:rsid w:val="00D25EF8"/>
    <w:rsid w:val="00D26180"/>
    <w:rsid w:val="00D31D34"/>
    <w:rsid w:val="00D423F5"/>
    <w:rsid w:val="00D438FE"/>
    <w:rsid w:val="00D45EF4"/>
    <w:rsid w:val="00D46ACD"/>
    <w:rsid w:val="00D47378"/>
    <w:rsid w:val="00D55316"/>
    <w:rsid w:val="00D70716"/>
    <w:rsid w:val="00D713E2"/>
    <w:rsid w:val="00D77F36"/>
    <w:rsid w:val="00D80A0E"/>
    <w:rsid w:val="00D84B78"/>
    <w:rsid w:val="00D84DAF"/>
    <w:rsid w:val="00D8708F"/>
    <w:rsid w:val="00D96906"/>
    <w:rsid w:val="00D96984"/>
    <w:rsid w:val="00DC3A02"/>
    <w:rsid w:val="00DC6543"/>
    <w:rsid w:val="00DD5B49"/>
    <w:rsid w:val="00DF0B9B"/>
    <w:rsid w:val="00DF3FA9"/>
    <w:rsid w:val="00DF5285"/>
    <w:rsid w:val="00E20283"/>
    <w:rsid w:val="00E21D95"/>
    <w:rsid w:val="00E220C2"/>
    <w:rsid w:val="00E221E3"/>
    <w:rsid w:val="00E23573"/>
    <w:rsid w:val="00E23E1F"/>
    <w:rsid w:val="00E25E3D"/>
    <w:rsid w:val="00E27758"/>
    <w:rsid w:val="00E3546C"/>
    <w:rsid w:val="00E42129"/>
    <w:rsid w:val="00E55A67"/>
    <w:rsid w:val="00E60C02"/>
    <w:rsid w:val="00E64A7B"/>
    <w:rsid w:val="00E65FC8"/>
    <w:rsid w:val="00E93457"/>
    <w:rsid w:val="00EA305E"/>
    <w:rsid w:val="00EA525C"/>
    <w:rsid w:val="00EA7F91"/>
    <w:rsid w:val="00EB0148"/>
    <w:rsid w:val="00EB404F"/>
    <w:rsid w:val="00EC36FE"/>
    <w:rsid w:val="00ED0744"/>
    <w:rsid w:val="00ED5FD5"/>
    <w:rsid w:val="00EE6F6E"/>
    <w:rsid w:val="00EE7FFE"/>
    <w:rsid w:val="00EF24E5"/>
    <w:rsid w:val="00EF7D14"/>
    <w:rsid w:val="00F11E48"/>
    <w:rsid w:val="00F12D38"/>
    <w:rsid w:val="00F31E35"/>
    <w:rsid w:val="00F34313"/>
    <w:rsid w:val="00F42FAD"/>
    <w:rsid w:val="00F43516"/>
    <w:rsid w:val="00F44469"/>
    <w:rsid w:val="00F45AAA"/>
    <w:rsid w:val="00F50986"/>
    <w:rsid w:val="00F562B1"/>
    <w:rsid w:val="00F56C8D"/>
    <w:rsid w:val="00F57596"/>
    <w:rsid w:val="00F709F9"/>
    <w:rsid w:val="00F83D8C"/>
    <w:rsid w:val="00F84A7A"/>
    <w:rsid w:val="00FA092E"/>
    <w:rsid w:val="00FA1DCF"/>
    <w:rsid w:val="00FA7F72"/>
    <w:rsid w:val="00FB4B23"/>
    <w:rsid w:val="00FC16E7"/>
    <w:rsid w:val="00FD0685"/>
    <w:rsid w:val="00FD0D73"/>
    <w:rsid w:val="00FD3000"/>
    <w:rsid w:val="00FE419A"/>
    <w:rsid w:val="00FF5691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BECDB"/>
  <w15:chartTrackingRefBased/>
  <w15:docId w15:val="{4817F8A6-30C7-4EA4-B794-85D39E2E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B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B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B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B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B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33E"/>
  </w:style>
  <w:style w:type="paragraph" w:styleId="Stopka">
    <w:name w:val="footer"/>
    <w:basedOn w:val="Normalny"/>
    <w:link w:val="Stopka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33E"/>
  </w:style>
  <w:style w:type="character" w:styleId="Hipercze">
    <w:name w:val="Hyperlink"/>
    <w:basedOn w:val="Domylnaczcionkaakapitu"/>
    <w:uiPriority w:val="99"/>
    <w:unhideWhenUsed/>
    <w:rsid w:val="00A002F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2F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0C9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8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8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86D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D0B4E"/>
  </w:style>
  <w:style w:type="character" w:customStyle="1" w:styleId="normaltextrun">
    <w:name w:val="normaltextrun"/>
    <w:basedOn w:val="Domylnaczcionkaakapitu"/>
    <w:rsid w:val="0082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jestat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929</Words>
  <Characters>5574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Dałkowska</dc:creator>
  <cp:keywords/>
  <dc:description/>
  <cp:lastModifiedBy>Ostrowski, Piotr</cp:lastModifiedBy>
  <cp:revision>66</cp:revision>
  <dcterms:created xsi:type="dcterms:W3CDTF">2025-09-11T11:12:00Z</dcterms:created>
  <dcterms:modified xsi:type="dcterms:W3CDTF">2025-12-09T12:37:00Z</dcterms:modified>
</cp:coreProperties>
</file>