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E66FD1" w14:textId="77777777" w:rsidR="003C4077" w:rsidRDefault="003C4077">
      <w:pPr>
        <w:spacing w:after="160"/>
      </w:pPr>
    </w:p>
    <w:p w14:paraId="295C79AC" w14:textId="77777777" w:rsidR="003C4077" w:rsidRDefault="006947C0">
      <w:pPr>
        <w:spacing w:after="160"/>
      </w:pPr>
      <w:r>
        <w:t xml:space="preserve">Informacja prasowa </w:t>
      </w:r>
    </w:p>
    <w:p w14:paraId="5BB47FAB" w14:textId="77777777" w:rsidR="003C4077" w:rsidRDefault="006947C0">
      <w:pPr>
        <w:spacing w:after="160"/>
        <w:jc w:val="right"/>
      </w:pPr>
      <w:r>
        <w:t xml:space="preserve">Warszawa, 4.12.2025 r. </w:t>
      </w:r>
    </w:p>
    <w:p w14:paraId="3692A833" w14:textId="77777777" w:rsidR="003C4077" w:rsidRDefault="006947C0">
      <w:pPr>
        <w:jc w:val="center"/>
        <w:rPr>
          <w:b/>
          <w:bCs/>
        </w:rPr>
      </w:pPr>
      <w:r>
        <w:br/>
      </w:r>
      <w:r>
        <w:rPr>
          <w:b/>
          <w:bCs/>
        </w:rPr>
        <w:t>Raport o bezpieczeństwie żywnościowym w Polsce – wyniki badania w ramach The Access Alliance</w:t>
      </w:r>
    </w:p>
    <w:p w14:paraId="334B87A4" w14:textId="77777777" w:rsidR="003C4077" w:rsidRDefault="003C4077">
      <w:pPr>
        <w:jc w:val="both"/>
        <w:rPr>
          <w:b/>
          <w:bCs/>
        </w:rPr>
      </w:pPr>
    </w:p>
    <w:p w14:paraId="739F739E" w14:textId="77777777" w:rsidR="003C4077" w:rsidRDefault="006947C0">
      <w:pPr>
        <w:jc w:val="both"/>
        <w:rPr>
          <w:b/>
          <w:bCs/>
        </w:rPr>
      </w:pPr>
      <w:r>
        <w:rPr>
          <w:b/>
          <w:bCs/>
        </w:rPr>
        <w:t>W ramach programu The Access Alliance, koalicji przedsiębiorstw, organizacji pozarządowych i instytucji publicznych utworzonej przez Glovo, powstał raport poświęcony bezpieczeństwu żywnościowemu w Polsce. Badanie zostało przeprowadzone w listopadzie 2025 roku i stanowi pierwszy w Polsce oparty na danych przegląd skali problemu, jego zasięgu oraz struktury grup najbardziej narażonych na ryzyko.</w:t>
      </w:r>
    </w:p>
    <w:p w14:paraId="47237AD2" w14:textId="77777777" w:rsidR="003C4077" w:rsidRDefault="003C4077">
      <w:pPr>
        <w:jc w:val="both"/>
      </w:pPr>
    </w:p>
    <w:p w14:paraId="372B9F09" w14:textId="77777777" w:rsidR="003C4077" w:rsidRDefault="006947C0">
      <w:pPr>
        <w:jc w:val="both"/>
        <w:rPr>
          <w:b/>
          <w:bCs/>
        </w:rPr>
      </w:pPr>
      <w:r>
        <w:rPr>
          <w:b/>
          <w:bCs/>
        </w:rPr>
        <w:t>Jak kształtuje się zjawisko braku bezpieczeństwa żywnościowego w Polsce?</w:t>
      </w:r>
    </w:p>
    <w:p w14:paraId="1F80E075" w14:textId="77777777" w:rsidR="003C4077" w:rsidRDefault="003C4077">
      <w:pPr>
        <w:jc w:val="both"/>
      </w:pPr>
    </w:p>
    <w:p w14:paraId="2E2FA738" w14:textId="77777777" w:rsidR="003C4077" w:rsidRDefault="006947C0">
      <w:pPr>
        <w:jc w:val="both"/>
      </w:pPr>
      <w:r>
        <w:t xml:space="preserve">Zjawisko braku bezpieczeństwa żywnościowego w Polsce przybiera wyraźnie zróżnicowany charakter i pozostaje w dużej mierze niezrozumiane przez opinię publiczną. Wyniki badania wskazują, że między </w:t>
      </w:r>
      <w:r>
        <w:rPr>
          <w:b/>
          <w:bCs/>
        </w:rPr>
        <w:t>3,5% a 6,5% populacji (około 1,4-2,5 mln Polaków)</w:t>
      </w:r>
      <w:r>
        <w:t xml:space="preserve"> realnie zmaga się z tym problemem, podczas gdy większość Polaków szacuje jego skalę na </w:t>
      </w:r>
      <w:r>
        <w:rPr>
          <w:b/>
          <w:bCs/>
        </w:rPr>
        <w:t>co najmniej 7%</w:t>
      </w:r>
      <w:r>
        <w:t xml:space="preserve">. </w:t>
      </w:r>
    </w:p>
    <w:p w14:paraId="752EEA74" w14:textId="77777777" w:rsidR="003C4077" w:rsidRDefault="003C4077">
      <w:pPr>
        <w:jc w:val="both"/>
      </w:pPr>
    </w:p>
    <w:p w14:paraId="23E55F8D" w14:textId="77777777" w:rsidR="003C4077" w:rsidRDefault="006947C0">
      <w:pPr>
        <w:jc w:val="both"/>
      </w:pPr>
      <w:r>
        <w:t xml:space="preserve">Jednocześnie </w:t>
      </w:r>
      <w:r>
        <w:rPr>
          <w:b/>
          <w:bCs/>
        </w:rPr>
        <w:t>jedynie 10%</w:t>
      </w:r>
      <w:r>
        <w:t xml:space="preserve"> respondentów </w:t>
      </w:r>
      <w:r>
        <w:rPr>
          <w:b/>
          <w:bCs/>
        </w:rPr>
        <w:t>potrafi poprawnie wskazać wszystkie elementy składające się na brak bezpieczeństwa żywnościowego</w:t>
      </w:r>
      <w:r>
        <w:t>, co potwierdza zarówno zawyżoną percepcję społeczną, jak i niski poziom wiedzy na temat tego zjawiska.</w:t>
      </w:r>
    </w:p>
    <w:p w14:paraId="318F5DFE" w14:textId="77777777" w:rsidR="003C4077" w:rsidRDefault="003C4077">
      <w:pPr>
        <w:jc w:val="both"/>
      </w:pPr>
    </w:p>
    <w:p w14:paraId="6415B4D5" w14:textId="77777777" w:rsidR="003C4077" w:rsidRDefault="006947C0">
      <w:pPr>
        <w:jc w:val="both"/>
      </w:pPr>
      <w:r>
        <w:t>Najczęściej dotyczy ono:</w:t>
      </w:r>
    </w:p>
    <w:p w14:paraId="2FC74E3C" w14:textId="77777777" w:rsidR="003C4077" w:rsidRDefault="006947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kobiet w wieku 18–34 lat, </w:t>
      </w:r>
    </w:p>
    <w:p w14:paraId="0C111B22" w14:textId="77777777" w:rsidR="003C4077" w:rsidRDefault="006947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osób z niższym wykształceniem, </w:t>
      </w:r>
    </w:p>
    <w:p w14:paraId="074A97D5" w14:textId="77777777" w:rsidR="003C4077" w:rsidRDefault="006947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mieszkańców wsi, </w:t>
      </w:r>
    </w:p>
    <w:p w14:paraId="53AF8DDC" w14:textId="77777777" w:rsidR="003C4077" w:rsidRDefault="006947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gospodarstw domowych liczących cztery lub więcej osób,</w:t>
      </w:r>
    </w:p>
    <w:p w14:paraId="10E215B4" w14:textId="77777777" w:rsidR="003C4077" w:rsidRDefault="006947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rodzin z dziećmi,</w:t>
      </w:r>
    </w:p>
    <w:p w14:paraId="4C6759A1" w14:textId="77777777" w:rsidR="003C4077" w:rsidRDefault="006947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osób niepracujących lub osiągających miesięczny dochód poniżej 4 tys. zł netto.</w:t>
      </w:r>
    </w:p>
    <w:p w14:paraId="33E65B04" w14:textId="77777777" w:rsidR="003C4077" w:rsidRDefault="003C4077">
      <w:pPr>
        <w:jc w:val="both"/>
      </w:pPr>
    </w:p>
    <w:p w14:paraId="273E8704" w14:textId="77777777" w:rsidR="003C4077" w:rsidRDefault="006947C0">
      <w:pPr>
        <w:jc w:val="both"/>
      </w:pPr>
      <w:r>
        <w:t>Zjawisko to pokazuje, że problem, choć często ukryty, posiada silny wymiar społeczny i relacyjny.</w:t>
      </w:r>
    </w:p>
    <w:p w14:paraId="24CE60C6" w14:textId="77777777" w:rsidR="003C4077" w:rsidRDefault="003C4077">
      <w:pPr>
        <w:jc w:val="both"/>
      </w:pPr>
    </w:p>
    <w:p w14:paraId="1C6347E0" w14:textId="77777777" w:rsidR="003C4077" w:rsidRDefault="006947C0">
      <w:pPr>
        <w:jc w:val="both"/>
        <w:rPr>
          <w:b/>
          <w:bCs/>
        </w:rPr>
      </w:pPr>
      <w:r>
        <w:rPr>
          <w:b/>
          <w:bCs/>
        </w:rPr>
        <w:t>Brak środków na zakup żywności</w:t>
      </w:r>
    </w:p>
    <w:p w14:paraId="27C91BD7" w14:textId="77777777" w:rsidR="003C4077" w:rsidRDefault="003C4077">
      <w:pPr>
        <w:jc w:val="both"/>
        <w:rPr>
          <w:b/>
          <w:bCs/>
        </w:rPr>
      </w:pPr>
    </w:p>
    <w:p w14:paraId="693DDB2C" w14:textId="77777777" w:rsidR="003C4077" w:rsidRDefault="006947C0">
      <w:pPr>
        <w:jc w:val="both"/>
      </w:pPr>
      <w:r>
        <w:t xml:space="preserve">Brak środków na zakup żywności staje się w Polsce zjawiskiem o coraz bardziej odczuwalnej skali społecznej. Z najnowszych danych wynika, że </w:t>
      </w:r>
      <w:r>
        <w:rPr>
          <w:b/>
          <w:bCs/>
        </w:rPr>
        <w:t>w ciągu ostatnich 12 miesięcy</w:t>
      </w:r>
      <w:r>
        <w:t xml:space="preserve"> niemal połowa Polaków (</w:t>
      </w:r>
      <w:r>
        <w:rPr>
          <w:b/>
          <w:bCs/>
        </w:rPr>
        <w:t>46%</w:t>
      </w:r>
      <w:r>
        <w:t xml:space="preserve">) </w:t>
      </w:r>
      <w:r>
        <w:rPr>
          <w:b/>
          <w:bCs/>
        </w:rPr>
        <w:t>obawiała się, czy wystarczy im pieniędzy na jedzenie</w:t>
      </w:r>
      <w:r>
        <w:t xml:space="preserve">. </w:t>
      </w:r>
    </w:p>
    <w:p w14:paraId="050E1F8C" w14:textId="77777777" w:rsidR="003C4077" w:rsidRDefault="003C4077">
      <w:pPr>
        <w:jc w:val="both"/>
      </w:pPr>
    </w:p>
    <w:p w14:paraId="09DCFB4E" w14:textId="77777777" w:rsidR="003C4077" w:rsidRDefault="006947C0">
      <w:pPr>
        <w:jc w:val="both"/>
      </w:pPr>
      <w:r>
        <w:t>Co trzecia osoba wskazuje, że takie obawy pojawiały się „często” lub „czasami”, co oznacza, że dla wielu gospodarstw domowych lęk o możliwość zakupu żywności był stałym elementem codziennego funkcjonowania.</w:t>
      </w:r>
    </w:p>
    <w:p w14:paraId="7DA190B6" w14:textId="77777777" w:rsidR="003C4077" w:rsidRDefault="003C4077">
      <w:pPr>
        <w:jc w:val="both"/>
      </w:pPr>
    </w:p>
    <w:p w14:paraId="396E6774" w14:textId="77777777" w:rsidR="00B82D7C" w:rsidRDefault="00B82D7C">
      <w:pPr>
        <w:jc w:val="both"/>
      </w:pPr>
    </w:p>
    <w:p w14:paraId="3A398ADB" w14:textId="10EB998D" w:rsidR="003C4077" w:rsidRDefault="006947C0">
      <w:pPr>
        <w:jc w:val="both"/>
        <w:rPr>
          <w:b/>
          <w:bCs/>
        </w:rPr>
      </w:pPr>
      <w:r>
        <w:t>Ograniczenia</w:t>
      </w:r>
      <w:r w:rsidR="00B82D7C">
        <w:t xml:space="preserve"> </w:t>
      </w:r>
      <w:r>
        <w:t xml:space="preserve">finansowe </w:t>
      </w:r>
      <w:r w:rsidR="00B82D7C">
        <w:t>p</w:t>
      </w:r>
      <w:r>
        <w:t>rzekładają się bezpośrednio na realne konsekwencje żywieniowe.</w:t>
      </w:r>
      <w:r w:rsidR="00B82D7C">
        <w:t xml:space="preserve"> </w:t>
      </w:r>
      <w:r>
        <w:rPr>
          <w:b/>
          <w:bCs/>
        </w:rPr>
        <w:t>Aż 35%</w:t>
      </w:r>
      <w:r>
        <w:t xml:space="preserve"> respondentów </w:t>
      </w:r>
      <w:r>
        <w:rPr>
          <w:b/>
          <w:bCs/>
        </w:rPr>
        <w:t>deklaruje, że w minionym roku musiało</w:t>
      </w:r>
      <w:r w:rsidRPr="009A1FD7">
        <w:t>:</w:t>
      </w:r>
    </w:p>
    <w:p w14:paraId="18C139D8" w14:textId="77777777" w:rsidR="009A1FD7" w:rsidRPr="00B82D7C" w:rsidRDefault="009A1FD7">
      <w:pPr>
        <w:jc w:val="both"/>
      </w:pPr>
    </w:p>
    <w:p w14:paraId="4C90CD66" w14:textId="77777777" w:rsidR="003C4077" w:rsidRDefault="006947C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pomijać posiłki, </w:t>
      </w:r>
    </w:p>
    <w:p w14:paraId="6A2493B9" w14:textId="77777777" w:rsidR="003C4077" w:rsidRDefault="006947C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zmniejszać porcje,</w:t>
      </w:r>
    </w:p>
    <w:p w14:paraId="18441FF6" w14:textId="77777777" w:rsidR="003C4077" w:rsidRDefault="006947C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zastępować produkty tańszymi odpowiednikami. </w:t>
      </w:r>
    </w:p>
    <w:p w14:paraId="088AEE99" w14:textId="77777777" w:rsidR="003C4077" w:rsidRDefault="003C4077">
      <w:pPr>
        <w:jc w:val="both"/>
      </w:pPr>
    </w:p>
    <w:p w14:paraId="54F008F8" w14:textId="77777777" w:rsidR="003C4077" w:rsidRDefault="006947C0">
      <w:pPr>
        <w:jc w:val="both"/>
      </w:pPr>
      <w:r>
        <w:t xml:space="preserve">To właśnie wybór tańszej, często mniej wartościowej żywności jest jednym z najczęściej stosowanych sposobów radzenia sobie z niedoborem środków. </w:t>
      </w:r>
    </w:p>
    <w:p w14:paraId="17950470" w14:textId="77777777" w:rsidR="003C4077" w:rsidRDefault="003C4077">
      <w:pPr>
        <w:jc w:val="both"/>
      </w:pPr>
    </w:p>
    <w:p w14:paraId="4AD7F735" w14:textId="77777777" w:rsidR="003C4077" w:rsidRDefault="006947C0">
      <w:pPr>
        <w:jc w:val="both"/>
      </w:pPr>
      <w:r>
        <w:t xml:space="preserve">Brak pieniędzy na jedzenie oddziałuje również na sferę społeczną. </w:t>
      </w:r>
      <w:r>
        <w:rPr>
          <w:b/>
          <w:bCs/>
        </w:rPr>
        <w:t>Aż 42%</w:t>
      </w:r>
      <w:r>
        <w:t xml:space="preserve"> Polaków przyznało, że </w:t>
      </w:r>
      <w:r>
        <w:rPr>
          <w:b/>
          <w:bCs/>
        </w:rPr>
        <w:t>w ciągu ostatniego roku zrezygnowało ze spotkań towarzyskich</w:t>
      </w:r>
      <w:r>
        <w:t xml:space="preserve"> z powodu kosztów związanych z jedzeniem lub wspólnymi posiłkami. Tego typu decyzje nierzadko stanowią pierwszy sygnał narastających trudności finansowych i jednocześnie pogłębiają ryzyko wykluczenia społecznego.</w:t>
      </w:r>
    </w:p>
    <w:p w14:paraId="5A3380C6" w14:textId="77777777" w:rsidR="003C4077" w:rsidRDefault="003C4077">
      <w:pPr>
        <w:jc w:val="both"/>
      </w:pPr>
    </w:p>
    <w:p w14:paraId="04E00194" w14:textId="77777777" w:rsidR="003C4077" w:rsidRDefault="006947C0">
      <w:pPr>
        <w:jc w:val="both"/>
        <w:rPr>
          <w:b/>
          <w:bCs/>
        </w:rPr>
      </w:pPr>
      <w:r>
        <w:rPr>
          <w:b/>
          <w:bCs/>
        </w:rPr>
        <w:t>Codzienne nawyki żywieniowe</w:t>
      </w:r>
    </w:p>
    <w:p w14:paraId="20A92F7C" w14:textId="77777777" w:rsidR="003C4077" w:rsidRDefault="003C4077">
      <w:pPr>
        <w:jc w:val="both"/>
        <w:rPr>
          <w:b/>
          <w:bCs/>
        </w:rPr>
      </w:pPr>
    </w:p>
    <w:p w14:paraId="158F5BAD" w14:textId="77777777" w:rsidR="003C4077" w:rsidRDefault="006947C0">
      <w:pPr>
        <w:jc w:val="both"/>
      </w:pPr>
      <w:r>
        <w:t>Codzienne nawyki żywieniowe Polaków charakteryzują się stosunkowo dużą stabilnością:</w:t>
      </w:r>
    </w:p>
    <w:p w14:paraId="1C61151E" w14:textId="77777777" w:rsidR="00CF5A26" w:rsidRDefault="00CF5A26">
      <w:pPr>
        <w:jc w:val="both"/>
      </w:pPr>
    </w:p>
    <w:p w14:paraId="37BCB518" w14:textId="77777777" w:rsidR="003C4077" w:rsidRDefault="006947C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bCs/>
          <w:color w:val="000000"/>
        </w:rPr>
        <w:t xml:space="preserve">większość badanych </w:t>
      </w:r>
      <w:r>
        <w:rPr>
          <w:color w:val="000000"/>
        </w:rPr>
        <w:t>deklaruje spożywanie</w:t>
      </w:r>
      <w:r>
        <w:rPr>
          <w:b/>
          <w:bCs/>
          <w:color w:val="000000"/>
        </w:rPr>
        <w:t xml:space="preserve"> trzech lub więcej posiłków dziennie</w:t>
      </w:r>
      <w:r>
        <w:rPr>
          <w:color w:val="000000"/>
        </w:rPr>
        <w:t>,</w:t>
      </w:r>
    </w:p>
    <w:p w14:paraId="5D7C2ADD" w14:textId="77777777" w:rsidR="003C4077" w:rsidRDefault="006947C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bCs/>
          <w:color w:val="000000"/>
        </w:rPr>
        <w:t>8%</w:t>
      </w:r>
      <w:r>
        <w:rPr>
          <w:color w:val="000000"/>
        </w:rPr>
        <w:t xml:space="preserve"> respondentów ogranicza się do </w:t>
      </w:r>
      <w:r>
        <w:rPr>
          <w:b/>
          <w:bCs/>
          <w:color w:val="000000"/>
        </w:rPr>
        <w:t>dwóch lub mniej posiłków</w:t>
      </w:r>
      <w:r>
        <w:rPr>
          <w:color w:val="000000"/>
        </w:rPr>
        <w:t xml:space="preserve">, </w:t>
      </w:r>
    </w:p>
    <w:p w14:paraId="7F85559F" w14:textId="77777777" w:rsidR="003C4077" w:rsidRDefault="006947C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bCs/>
          <w:color w:val="000000"/>
        </w:rPr>
        <w:t>niespełna 1%</w:t>
      </w:r>
      <w:r>
        <w:rPr>
          <w:color w:val="000000"/>
        </w:rPr>
        <w:t xml:space="preserve"> je tylko raz dziennie.</w:t>
      </w:r>
    </w:p>
    <w:p w14:paraId="39329FD6" w14:textId="77777777" w:rsidR="003C4077" w:rsidRDefault="003C4077">
      <w:pPr>
        <w:jc w:val="both"/>
      </w:pPr>
    </w:p>
    <w:p w14:paraId="662A9DF2" w14:textId="77777777" w:rsidR="003C4077" w:rsidRDefault="006947C0">
      <w:pPr>
        <w:jc w:val="both"/>
      </w:pPr>
      <w:r>
        <w:t xml:space="preserve">Większość Polaków ocenia, że ich dieta pokrywa dzienne zapotrzebowanie kaloryczne. Niemal jedna trzecia uważa, że dostarcza organizmowi więcej kalorii, niż potrzebuje, natomiast jedynie </w:t>
      </w:r>
      <w:r>
        <w:rPr>
          <w:b/>
          <w:bCs/>
        </w:rPr>
        <w:t>6% deklaruje deficyt energetyczny</w:t>
      </w:r>
      <w:r>
        <w:t xml:space="preserve">. </w:t>
      </w:r>
    </w:p>
    <w:p w14:paraId="0BFA3884" w14:textId="77777777" w:rsidR="003C4077" w:rsidRDefault="003C4077">
      <w:pPr>
        <w:jc w:val="both"/>
      </w:pPr>
    </w:p>
    <w:p w14:paraId="1956CD23" w14:textId="77777777" w:rsidR="003C4077" w:rsidRDefault="006947C0">
      <w:pPr>
        <w:jc w:val="both"/>
      </w:pPr>
      <w:r>
        <w:t>Dane te sugerują, że głównym wyzwaniem nie jest ilościowa dostępność żywności, lecz jej jakość:</w:t>
      </w:r>
    </w:p>
    <w:p w14:paraId="7F556399" w14:textId="77777777" w:rsidR="00793003" w:rsidRDefault="00793003">
      <w:pPr>
        <w:jc w:val="both"/>
      </w:pPr>
    </w:p>
    <w:p w14:paraId="32087F7F" w14:textId="77777777" w:rsidR="003C4077" w:rsidRDefault="006947C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bCs/>
          <w:color w:val="000000"/>
        </w:rPr>
        <w:t>23%</w:t>
      </w:r>
      <w:r>
        <w:rPr>
          <w:color w:val="000000"/>
        </w:rPr>
        <w:t xml:space="preserve"> badanych </w:t>
      </w:r>
      <w:r>
        <w:rPr>
          <w:b/>
          <w:bCs/>
          <w:color w:val="000000"/>
        </w:rPr>
        <w:t>przyznaje, że ich posiłki nie są odpowiednio zbilansowane</w:t>
      </w:r>
      <w:r>
        <w:rPr>
          <w:color w:val="000000"/>
        </w:rPr>
        <w:t xml:space="preserve">, </w:t>
      </w:r>
    </w:p>
    <w:p w14:paraId="0B10056E" w14:textId="77777777" w:rsidR="003C4077" w:rsidRDefault="006947C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bCs/>
          <w:color w:val="000000"/>
        </w:rPr>
        <w:t>22%</w:t>
      </w:r>
      <w:r>
        <w:rPr>
          <w:color w:val="000000"/>
        </w:rPr>
        <w:t xml:space="preserve"> nie potrafi ocenić, czy dostarczają one wszystkich niezbędnych składników odżywczych </w:t>
      </w:r>
    </w:p>
    <w:p w14:paraId="00ACFBB8" w14:textId="77777777" w:rsidR="003C4077" w:rsidRDefault="006947C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około połowa Polaków uważa swoją dietę za jakościowo prawidłową. </w:t>
      </w:r>
    </w:p>
    <w:p w14:paraId="07418283" w14:textId="77777777" w:rsidR="003C4077" w:rsidRDefault="003C4077">
      <w:pPr>
        <w:jc w:val="both"/>
      </w:pPr>
    </w:p>
    <w:p w14:paraId="773885B3" w14:textId="77777777" w:rsidR="003C4077" w:rsidRDefault="006947C0">
      <w:pPr>
        <w:jc w:val="both"/>
        <w:rPr>
          <w:b/>
          <w:bCs/>
        </w:rPr>
      </w:pPr>
      <w:r>
        <w:rPr>
          <w:b/>
          <w:bCs/>
        </w:rPr>
        <w:t>Brak bezpieczeństwa żywnościowego w najbliższym otoczeniu</w:t>
      </w:r>
    </w:p>
    <w:p w14:paraId="4E6E0C84" w14:textId="77777777" w:rsidR="003C4077" w:rsidRDefault="003C4077">
      <w:pPr>
        <w:jc w:val="both"/>
        <w:rPr>
          <w:b/>
          <w:bCs/>
        </w:rPr>
      </w:pPr>
    </w:p>
    <w:p w14:paraId="6EE2F626" w14:textId="77777777" w:rsidR="003C4077" w:rsidRDefault="006947C0">
      <w:pPr>
        <w:jc w:val="both"/>
      </w:pPr>
      <w:r>
        <w:t>Brak bezpieczeństwa żywnościowego, choć często postrzegany jako zjawisko odległe i mało widoczne, okazuje się obecny również w najbliższym otoczeniu wielu Polaków. Wyniki badania wskazują, że niemal co czwarta osoba (</w:t>
      </w:r>
      <w:r>
        <w:rPr>
          <w:b/>
          <w:bCs/>
        </w:rPr>
        <w:t>24%</w:t>
      </w:r>
      <w:r>
        <w:t xml:space="preserve">) uważa, iż </w:t>
      </w:r>
      <w:r>
        <w:rPr>
          <w:b/>
          <w:bCs/>
        </w:rPr>
        <w:t>zna kogoś, kto regularnie zmaga się z trudnościami w zakupie wystarczającej ilości żywności</w:t>
      </w:r>
      <w:r>
        <w:t>:</w:t>
      </w:r>
    </w:p>
    <w:p w14:paraId="717968D7" w14:textId="77777777" w:rsidR="004F7664" w:rsidRDefault="004F7664">
      <w:pPr>
        <w:jc w:val="both"/>
      </w:pPr>
    </w:p>
    <w:p w14:paraId="1409F39D" w14:textId="77777777" w:rsidR="003C4077" w:rsidRDefault="006947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wśród nich </w:t>
      </w:r>
      <w:r>
        <w:rPr>
          <w:b/>
          <w:bCs/>
          <w:color w:val="000000"/>
        </w:rPr>
        <w:t>9%</w:t>
      </w:r>
      <w:r>
        <w:rPr>
          <w:color w:val="000000"/>
        </w:rPr>
        <w:t xml:space="preserve"> jest o tym całkowicie przekonanych, </w:t>
      </w:r>
    </w:p>
    <w:p w14:paraId="14358F48" w14:textId="534AAC61" w:rsidR="00B07DFF" w:rsidRDefault="006947C0" w:rsidP="00B07DF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natomiast </w:t>
      </w:r>
      <w:r>
        <w:rPr>
          <w:b/>
          <w:bCs/>
          <w:color w:val="000000"/>
        </w:rPr>
        <w:t>15%</w:t>
      </w:r>
      <w:r>
        <w:rPr>
          <w:color w:val="000000"/>
        </w:rPr>
        <w:t xml:space="preserve"> badanych jedynie podejrzewa, że taki problem może dotyczyć kogoś z ich bliskich.</w:t>
      </w:r>
    </w:p>
    <w:p w14:paraId="633A26EE" w14:textId="77777777" w:rsidR="00B07DFF" w:rsidRPr="00B07DFF" w:rsidRDefault="00B07DFF" w:rsidP="00B07D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72AB8A4" w14:textId="5E66436D" w:rsidR="00B07DFF" w:rsidRPr="00B07DFF" w:rsidRDefault="00B07DFF" w:rsidP="00B07D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07DFF">
        <w:lastRenderedPageBreak/>
        <w:t>Ponad połowa respondentów (</w:t>
      </w:r>
      <w:r w:rsidRPr="00B07DFF">
        <w:rPr>
          <w:b/>
          <w:bCs/>
        </w:rPr>
        <w:t>56%</w:t>
      </w:r>
      <w:r w:rsidRPr="00B07DFF">
        <w:t xml:space="preserve">) deklaruje, że </w:t>
      </w:r>
      <w:r w:rsidRPr="00B07DFF">
        <w:rPr>
          <w:b/>
          <w:bCs/>
        </w:rPr>
        <w:t>potrafiłaby rozpoznać, gdyby ktoś z ich otoczenia miał trudności z zaspokojeniem podstawowych potrzeb żywieniowych</w:t>
      </w:r>
      <w:r w:rsidRPr="00B07DFF">
        <w:t>.</w:t>
      </w:r>
    </w:p>
    <w:p w14:paraId="6A1D557B" w14:textId="77777777" w:rsidR="003C4077" w:rsidRDefault="003C4077">
      <w:pPr>
        <w:jc w:val="both"/>
      </w:pPr>
    </w:p>
    <w:p w14:paraId="02653152" w14:textId="77777777" w:rsidR="003C4077" w:rsidRDefault="006947C0">
      <w:pPr>
        <w:jc w:val="both"/>
        <w:rPr>
          <w:b/>
          <w:bCs/>
        </w:rPr>
      </w:pPr>
      <w:r>
        <w:rPr>
          <w:b/>
          <w:bCs/>
        </w:rPr>
        <w:t>Oznaki braku bezpieczeństwa żywnościowego</w:t>
      </w:r>
    </w:p>
    <w:p w14:paraId="7F21BDE6" w14:textId="77777777" w:rsidR="003C4077" w:rsidRDefault="003C4077">
      <w:pPr>
        <w:jc w:val="both"/>
        <w:rPr>
          <w:b/>
          <w:bCs/>
        </w:rPr>
      </w:pPr>
    </w:p>
    <w:p w14:paraId="1C097215" w14:textId="64E7FD79" w:rsidR="001D5BAB" w:rsidRDefault="006947C0">
      <w:pPr>
        <w:jc w:val="both"/>
      </w:pPr>
      <w:r>
        <w:t>Oznaki braku bezpieczeństwa żywnościowego mogą przyjmować różnorodne formy. Zgodnie z definicją oraz percepcją respondentów, należą do nich m.in.:</w:t>
      </w:r>
    </w:p>
    <w:p w14:paraId="430A674F" w14:textId="77777777" w:rsidR="003C4077" w:rsidRDefault="006947C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pomijanie posiłków, </w:t>
      </w:r>
    </w:p>
    <w:p w14:paraId="012A15C6" w14:textId="77777777" w:rsidR="003C4077" w:rsidRDefault="006947C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spożywanie porcji mniejszych niż potrzebne do prawidłowego funkcjonowania, </w:t>
      </w:r>
    </w:p>
    <w:p w14:paraId="4691F8C3" w14:textId="77777777" w:rsidR="003C4077" w:rsidRDefault="006947C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konieczność kupowania tańszej i mniej wartościowej żywności, </w:t>
      </w:r>
    </w:p>
    <w:p w14:paraId="690134A5" w14:textId="77777777" w:rsidR="003C4077" w:rsidRDefault="006947C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proszenie innych o pomoc w zdobyciu jedzenia, </w:t>
      </w:r>
    </w:p>
    <w:p w14:paraId="6E4D8125" w14:textId="77777777" w:rsidR="003C4077" w:rsidRDefault="006947C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korzystanie ze wsparcia organizacji charytatywnych.</w:t>
      </w:r>
    </w:p>
    <w:p w14:paraId="2E60552A" w14:textId="77777777" w:rsidR="003C4077" w:rsidRDefault="003C4077">
      <w:pPr>
        <w:jc w:val="both"/>
      </w:pPr>
    </w:p>
    <w:p w14:paraId="578E5299" w14:textId="7A915F6A" w:rsidR="001D5BAB" w:rsidRDefault="006947C0">
      <w:pPr>
        <w:jc w:val="both"/>
      </w:pPr>
      <w:r>
        <w:t xml:space="preserve">Choć większość Polaków deklaruje, że potrafiłaby rozpoznać u kogoś tego typu trudności, wyniki badania sugerują, że umiejętności te są często przeszacowane. </w:t>
      </w:r>
      <w:r>
        <w:rPr>
          <w:b/>
          <w:bCs/>
        </w:rPr>
        <w:t>Wyraźnie wyższą zdolność identyfikowania oznak braku bezpieczeństwa żywnościowego wykazują osoby</w:t>
      </w:r>
      <w:r>
        <w:t>:</w:t>
      </w:r>
    </w:p>
    <w:p w14:paraId="3962DBB9" w14:textId="77777777" w:rsidR="003C4077" w:rsidRDefault="006947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które same zmagają się z tym problemem, </w:t>
      </w:r>
    </w:p>
    <w:p w14:paraId="209423FF" w14:textId="77777777" w:rsidR="003C4077" w:rsidRDefault="006947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znają kogoś w podobnej sytuacji </w:t>
      </w:r>
    </w:p>
    <w:p w14:paraId="6E35B4AB" w14:textId="77777777" w:rsidR="003C4077" w:rsidRDefault="006947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są bardziej otwarte na rozmowę o trudnych tematach.</w:t>
      </w:r>
    </w:p>
    <w:p w14:paraId="1D60E575" w14:textId="77777777" w:rsidR="003C4077" w:rsidRDefault="003C4077">
      <w:pPr>
        <w:jc w:val="both"/>
      </w:pPr>
    </w:p>
    <w:p w14:paraId="294F6B2F" w14:textId="77777777" w:rsidR="003C4077" w:rsidRDefault="006947C0">
      <w:pPr>
        <w:jc w:val="both"/>
      </w:pPr>
      <w:r>
        <w:t xml:space="preserve">Badanie ujawnia również silny wymiar emocjonalny związany z tym zjawiskiem. </w:t>
      </w:r>
      <w:r>
        <w:rPr>
          <w:b/>
          <w:bCs/>
        </w:rPr>
        <w:t>Aż 61%</w:t>
      </w:r>
      <w:r>
        <w:t xml:space="preserve"> osób </w:t>
      </w:r>
      <w:r>
        <w:rPr>
          <w:b/>
          <w:bCs/>
        </w:rPr>
        <w:t>deklaruje, że o swoich trudnościach powiedziałoby wyłącznie najbliższym</w:t>
      </w:r>
      <w:r>
        <w:t xml:space="preserve">, a </w:t>
      </w:r>
      <w:r>
        <w:rPr>
          <w:b/>
          <w:bCs/>
        </w:rPr>
        <w:t>28% nie zwierzyłoby się nikomu</w:t>
      </w:r>
      <w:r>
        <w:t>. Te dane wskazują, że wstyd oraz obawa przed oceną społeczną pozostają ważnymi barierami utrudniającymi rozmowę o problemach z dostępem do żywności i poszukiwanie wsparcia.</w:t>
      </w:r>
    </w:p>
    <w:p w14:paraId="66CFADF5" w14:textId="77777777" w:rsidR="003C4077" w:rsidRDefault="003C4077">
      <w:pPr>
        <w:jc w:val="both"/>
      </w:pPr>
    </w:p>
    <w:p w14:paraId="48517F92" w14:textId="77777777" w:rsidR="003C4077" w:rsidRDefault="006947C0">
      <w:pPr>
        <w:jc w:val="both"/>
        <w:rPr>
          <w:b/>
          <w:bCs/>
        </w:rPr>
      </w:pPr>
      <w:r>
        <w:rPr>
          <w:b/>
          <w:bCs/>
        </w:rPr>
        <w:t>Pomoc i solidarność społeczna</w:t>
      </w:r>
    </w:p>
    <w:p w14:paraId="7997EFA2" w14:textId="77777777" w:rsidR="003C4077" w:rsidRDefault="003C4077">
      <w:pPr>
        <w:jc w:val="both"/>
        <w:rPr>
          <w:b/>
          <w:bCs/>
        </w:rPr>
      </w:pPr>
    </w:p>
    <w:p w14:paraId="54D113C2" w14:textId="77777777" w:rsidR="003C4077" w:rsidRDefault="006947C0">
      <w:pPr>
        <w:jc w:val="both"/>
      </w:pPr>
      <w:r>
        <w:t xml:space="preserve">Pomoc i solidarność społeczna w obszarze dostępu do żywności stanowią w Polsce zjawisko zarówno powszechne, jak i silnie zakorzenione. Wyniki badania pokazują, że </w:t>
      </w:r>
      <w:r>
        <w:rPr>
          <w:b/>
          <w:bCs/>
        </w:rPr>
        <w:t>w ciągu ostatnich 12 miesięcy niemal połowa Polaków (48%) udzieliła wsparcia osobie mającej trudności z zakupem wystarczającej ilości jedzenia</w:t>
      </w:r>
      <w:r>
        <w:t>.</w:t>
      </w:r>
    </w:p>
    <w:p w14:paraId="73EFE7B1" w14:textId="77777777" w:rsidR="003C4077" w:rsidRDefault="003C4077">
      <w:pPr>
        <w:jc w:val="both"/>
      </w:pPr>
    </w:p>
    <w:p w14:paraId="559878EC" w14:textId="77777777" w:rsidR="003C4077" w:rsidRDefault="006947C0">
      <w:pPr>
        <w:jc w:val="both"/>
        <w:rPr>
          <w:b/>
          <w:bCs/>
        </w:rPr>
      </w:pPr>
      <w:r>
        <w:rPr>
          <w:b/>
          <w:bCs/>
        </w:rPr>
        <w:t>Forma udzielonej pomocy:</w:t>
      </w:r>
    </w:p>
    <w:p w14:paraId="5563C6E1" w14:textId="77777777" w:rsidR="003C4077" w:rsidRDefault="006947C0">
      <w:pPr>
        <w:jc w:val="both"/>
      </w:pPr>
      <w:r>
        <w:rPr>
          <w:noProof/>
        </w:rPr>
        <w:drawing>
          <wp:inline distT="0" distB="0" distL="0" distR="0" wp14:anchorId="3C7C8DE2" wp14:editId="115BEF25">
            <wp:extent cx="5734050" cy="1715073"/>
            <wp:effectExtent l="0" t="0" r="0" b="0"/>
            <wp:docPr id="1086748627" name="Wykres 10867486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FD19B13" w14:textId="77777777" w:rsidR="003C4077" w:rsidRDefault="003C4077">
      <w:pPr>
        <w:jc w:val="both"/>
      </w:pPr>
    </w:p>
    <w:p w14:paraId="573712F9" w14:textId="77777777" w:rsidR="003C4077" w:rsidRDefault="006947C0">
      <w:pPr>
        <w:jc w:val="both"/>
      </w:pPr>
      <w:r>
        <w:t xml:space="preserve">Tak wysoki poziom zaangażowania potwierdza, że problem braku bezpieczeństwa żywnościowego nie pozostaje społecznie obojętny. </w:t>
      </w:r>
    </w:p>
    <w:p w14:paraId="76DFCA06" w14:textId="77777777" w:rsidR="003C4077" w:rsidRDefault="003C4077">
      <w:pPr>
        <w:jc w:val="both"/>
      </w:pPr>
    </w:p>
    <w:p w14:paraId="025633C8" w14:textId="3D9A8636" w:rsidR="003C4077" w:rsidRPr="00A574D3" w:rsidRDefault="006947C0">
      <w:pPr>
        <w:jc w:val="both"/>
        <w:rPr>
          <w:i/>
          <w:iCs/>
        </w:rPr>
      </w:pPr>
      <w:r>
        <w:rPr>
          <w:i/>
          <w:iCs/>
        </w:rPr>
        <w:t>„Zjawisko braku bezpieczeństwa żywnościowego w Polsce jest znacznie bardziej złożone, niż mogłoby się wydawać. Choć według badań dotyka ono 3,5</w:t>
      </w:r>
      <w:r w:rsidR="00A574D3">
        <w:rPr>
          <w:i/>
          <w:iCs/>
        </w:rPr>
        <w:t>-</w:t>
      </w:r>
      <w:r>
        <w:rPr>
          <w:i/>
          <w:iCs/>
        </w:rPr>
        <w:t>6,5% społeczeństwa, jego konsekwencje są odczuwalne znacznie szerzej – zarówno w codziennych doświadczeniach</w:t>
      </w:r>
      <w:r w:rsidR="00A574D3">
        <w:rPr>
          <w:i/>
          <w:iCs/>
        </w:rPr>
        <w:t xml:space="preserve"> </w:t>
      </w:r>
      <w:r>
        <w:rPr>
          <w:i/>
          <w:iCs/>
        </w:rPr>
        <w:t>wielu osób, jak i w sytuacjach obserwowanych w najbliższym otoczeniu. W Glovo doskonale wiemy, że kluczowe znaczenie ma nie tylko ilościowy, lecz także jakościowy dostęp do żywności. Właśnie dlatego tworzymy i rozwijamy The Access Alliance, które umożliwia wspólne działanie partnerów biznesowych, instytucji społecznych i organizacji pozarządowych na rzecz poprawy dostępu do jedzenia. Wierzymy, że technologia – odpowiednio wykorzystana – może realnie wspierać walkę z brakiem bezpieczeństwa żywnościowego: uła</w:t>
      </w:r>
      <w:r>
        <w:rPr>
          <w:i/>
          <w:iCs/>
        </w:rPr>
        <w:t xml:space="preserve">twiać dostęp do żywności, ograniczać marnowanie zasobów oraz kierować nadwyżki tam, gdzie są najbardziej potrzebne.” </w:t>
      </w:r>
      <w:r>
        <w:t xml:space="preserve">– mówi </w:t>
      </w:r>
      <w:r>
        <w:rPr>
          <w:b/>
          <w:bCs/>
        </w:rPr>
        <w:t>Małgorzata Żurowska</w:t>
      </w:r>
      <w:r w:rsidR="00680995">
        <w:rPr>
          <w:b/>
          <w:bCs/>
        </w:rPr>
        <w:t>,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Impact</w:t>
      </w:r>
      <w:proofErr w:type="spellEnd"/>
      <w:r>
        <w:rPr>
          <w:b/>
          <w:bCs/>
        </w:rPr>
        <w:t xml:space="preserve"> &amp; </w:t>
      </w:r>
      <w:proofErr w:type="spellStart"/>
      <w:r>
        <w:rPr>
          <w:b/>
          <w:bCs/>
        </w:rPr>
        <w:t>Sustainability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Lead</w:t>
      </w:r>
      <w:proofErr w:type="spellEnd"/>
      <w:r>
        <w:rPr>
          <w:b/>
          <w:bCs/>
        </w:rPr>
        <w:t xml:space="preserve"> w Glovo</w:t>
      </w:r>
      <w:r w:rsidR="00680995">
        <w:rPr>
          <w:b/>
          <w:bCs/>
        </w:rPr>
        <w:t>.</w:t>
      </w:r>
    </w:p>
    <w:p w14:paraId="400D2CD7" w14:textId="77777777" w:rsidR="003C4077" w:rsidRDefault="003C4077">
      <w:pPr>
        <w:jc w:val="both"/>
        <w:rPr>
          <w:b/>
          <w:bCs/>
        </w:rPr>
      </w:pPr>
    </w:p>
    <w:p w14:paraId="547DFBE3" w14:textId="77777777" w:rsidR="003C4077" w:rsidRDefault="006947C0">
      <w:pPr>
        <w:jc w:val="both"/>
      </w:pPr>
      <w:r>
        <w:t>Glovo zachęca organizacje pozarządowe, firmy oraz samorządy lokalne do włączenia się w program The Access Alliance – inicjatywę, która łączy partnerów wokół wspólnego celu: poprawy dostępu do żywności i ograniczenia jej marnowania. Wierzymy, że współpraca oparta na rzetelnych danych oraz realnych potrzebach społeczności pozwala skuteczniej przeciwdziałać zjawisku braku bezpieczeństwa żywnościowego, które w 2025 roku przybiera coraz bardziej złożone formy.</w:t>
      </w:r>
    </w:p>
    <w:p w14:paraId="003524C3" w14:textId="77777777" w:rsidR="003C4077" w:rsidRDefault="003C4077">
      <w:pPr>
        <w:jc w:val="both"/>
      </w:pPr>
    </w:p>
    <w:p w14:paraId="11CFF288" w14:textId="77777777" w:rsidR="003C4077" w:rsidRDefault="006947C0">
      <w:pPr>
        <w:jc w:val="both"/>
      </w:pPr>
      <w:r>
        <w:t>Przystępując do The Access Alliance, partnerzy stają się częścią szerokiej koalicji pracującej nad trwałymi, praktycznymi rozwiązaniami – od lepszego zarządzania zasobami, po działania projektowane wspólnie z lokalnymi społecznościami. Dołączenie do koalicji oznacza realne zaangażowanie w inicjatywy takie jak przekierowywanie nadwyżek jedzenia do potrzebujących, tworzenie lokalnych punktów wsparcia żywnościowego czy wdrażanie technologii ułatwiających szybkie reagowanie na deficyty żywności. Razem możemy bu</w:t>
      </w:r>
      <w:r>
        <w:t>dować system, który skutecznie odpowiada na potrzeby osób najbardziej narażonych na brak dostępu do żywności.</w:t>
      </w:r>
    </w:p>
    <w:p w14:paraId="71980CE4" w14:textId="77777777" w:rsidR="003C4077" w:rsidRDefault="003C4077">
      <w:pPr>
        <w:jc w:val="both"/>
        <w:rPr>
          <w:b/>
          <w:bCs/>
        </w:rPr>
      </w:pPr>
    </w:p>
    <w:p w14:paraId="71338BF4" w14:textId="77777777" w:rsidR="003C4077" w:rsidRDefault="003C4077">
      <w:pPr>
        <w:jc w:val="both"/>
        <w:rPr>
          <w:sz w:val="20"/>
          <w:szCs w:val="20"/>
        </w:rPr>
      </w:pPr>
    </w:p>
    <w:p w14:paraId="533B842F" w14:textId="77777777" w:rsidR="006947C0" w:rsidRDefault="006947C0">
      <w:pPr>
        <w:jc w:val="both"/>
        <w:rPr>
          <w:sz w:val="20"/>
          <w:szCs w:val="20"/>
        </w:rPr>
      </w:pPr>
    </w:p>
    <w:p w14:paraId="618D0F18" w14:textId="77777777" w:rsidR="003C4077" w:rsidRDefault="006947C0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 Access Alliance</w:t>
      </w:r>
    </w:p>
    <w:p w14:paraId="7B88E481" w14:textId="77777777" w:rsidR="003C4077" w:rsidRDefault="003C4077">
      <w:pPr>
        <w:jc w:val="both"/>
        <w:rPr>
          <w:b/>
          <w:bCs/>
          <w:sz w:val="20"/>
          <w:szCs w:val="20"/>
        </w:rPr>
      </w:pPr>
    </w:p>
    <w:p w14:paraId="4DB3326E" w14:textId="77777777" w:rsidR="003C4077" w:rsidRDefault="006947C0">
      <w:pPr>
        <w:jc w:val="both"/>
        <w:rPr>
          <w:sz w:val="20"/>
          <w:szCs w:val="20"/>
        </w:rPr>
      </w:pPr>
      <w:r>
        <w:rPr>
          <w:sz w:val="20"/>
          <w:szCs w:val="20"/>
        </w:rPr>
        <w:t>Access Alliance to koalicja firm, organizacji pozarządowych, przedsiębiorstw społecznych i samorządów lokalnych, stworzona z inicjatywy Glovo. Łączy nas wspólny cel: zmniejszenie nierówności w dostępie do żywności i realna walka z brakiem bezpieczeństwa żywnościowego wszędzie tam, gdzie działamy.</w:t>
      </w:r>
    </w:p>
    <w:p w14:paraId="6EA292AE" w14:textId="77777777" w:rsidR="003C4077" w:rsidRDefault="003C4077">
      <w:pPr>
        <w:jc w:val="both"/>
        <w:rPr>
          <w:sz w:val="20"/>
          <w:szCs w:val="20"/>
        </w:rPr>
      </w:pPr>
    </w:p>
    <w:p w14:paraId="6DE20C8D" w14:textId="77777777" w:rsidR="003C4077" w:rsidRDefault="006947C0">
      <w:pPr>
        <w:jc w:val="both"/>
        <w:rPr>
          <w:sz w:val="20"/>
          <w:szCs w:val="20"/>
        </w:rPr>
      </w:pPr>
      <w:r>
        <w:rPr>
          <w:sz w:val="20"/>
          <w:szCs w:val="20"/>
        </w:rPr>
        <w:t>Łącząc technologię, logistykę i współpracę różnych sektorów, zapewniamy osobom doświadczającym brak bezpieczeństwa żywnościowego dostęp do pełnowartościowych posiłków, jednocześnie ograniczając marnowanie jedzenia. Razem pokazujemy, że źródłem problemu jest przede wszystkim logistyka, a nie brak żywności. Wierzymy, że wspólnymi siłami możemy trwale go przezwyciężyć.</w:t>
      </w:r>
    </w:p>
    <w:p w14:paraId="14087A6E" w14:textId="77777777" w:rsidR="003C4077" w:rsidRDefault="003C4077">
      <w:pPr>
        <w:jc w:val="both"/>
        <w:rPr>
          <w:sz w:val="20"/>
          <w:szCs w:val="20"/>
        </w:rPr>
      </w:pPr>
    </w:p>
    <w:p w14:paraId="244D9585" w14:textId="77777777" w:rsidR="003C4077" w:rsidRDefault="006947C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Więcej informacji o Access Alliance można znaleźć na stronie: </w:t>
      </w:r>
      <w:hyperlink r:id="rId9">
        <w:r w:rsidR="003C4077">
          <w:rPr>
            <w:color w:val="1155CC"/>
            <w:sz w:val="20"/>
            <w:szCs w:val="20"/>
            <w:u w:val="single"/>
          </w:rPr>
          <w:t>https://theaccessalliance.tech/pl/</w:t>
        </w:r>
      </w:hyperlink>
      <w:r>
        <w:rPr>
          <w:sz w:val="20"/>
          <w:szCs w:val="20"/>
        </w:rPr>
        <w:t xml:space="preserve"> </w:t>
      </w:r>
    </w:p>
    <w:p w14:paraId="4F6DD4B3" w14:textId="77777777" w:rsidR="003C4077" w:rsidRDefault="003C4077">
      <w:pPr>
        <w:jc w:val="both"/>
        <w:rPr>
          <w:sz w:val="20"/>
          <w:szCs w:val="20"/>
        </w:rPr>
      </w:pPr>
    </w:p>
    <w:p w14:paraId="4385B882" w14:textId="77777777" w:rsidR="003C4077" w:rsidRDefault="006947C0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 Glovo</w:t>
      </w:r>
    </w:p>
    <w:p w14:paraId="7C043920" w14:textId="77777777" w:rsidR="003C4077" w:rsidRDefault="003C4077">
      <w:pPr>
        <w:jc w:val="both"/>
        <w:rPr>
          <w:sz w:val="20"/>
          <w:szCs w:val="20"/>
        </w:rPr>
      </w:pPr>
    </w:p>
    <w:p w14:paraId="49108207" w14:textId="77777777" w:rsidR="003C4077" w:rsidRDefault="006947C0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Glovo to wiodąca platforma technologiczna łącząca klientów, firmy i kurierów. Działa w modelu </w:t>
      </w:r>
      <w:proofErr w:type="spellStart"/>
      <w:r>
        <w:rPr>
          <w:sz w:val="20"/>
          <w:szCs w:val="20"/>
        </w:rPr>
        <w:t>multicategory</w:t>
      </w:r>
      <w:proofErr w:type="spellEnd"/>
      <w:r>
        <w:rPr>
          <w:sz w:val="20"/>
          <w:szCs w:val="20"/>
        </w:rPr>
        <w:t xml:space="preserve">, oferując szybki dostęp do wielu kategorii usług lokalnych restauracji, sklepów i supermarketów. Glovo to lider </w:t>
      </w:r>
      <w:proofErr w:type="spellStart"/>
      <w:r>
        <w:rPr>
          <w:sz w:val="20"/>
          <w:szCs w:val="20"/>
        </w:rPr>
        <w:t>Quick</w:t>
      </w:r>
      <w:proofErr w:type="spellEnd"/>
      <w:r>
        <w:rPr>
          <w:sz w:val="20"/>
          <w:szCs w:val="20"/>
        </w:rPr>
        <w:t xml:space="preserve"> Commerce – nowej generacji e-commerce, którego misją jest zbudowanie największego internetowego rynku oferującego dostęp do dowolnego produktu w ciągu minut. Założona w 2015 roku, w Barcelonie, platforma działa w 22 krajach w Europy, Azji Środkowej i Afryki.</w:t>
      </w:r>
    </w:p>
    <w:p w14:paraId="195914B2" w14:textId="77777777" w:rsidR="003C4077" w:rsidRDefault="003C4077">
      <w:pPr>
        <w:jc w:val="both"/>
        <w:rPr>
          <w:sz w:val="20"/>
          <w:szCs w:val="20"/>
        </w:rPr>
      </w:pPr>
    </w:p>
    <w:p w14:paraId="097BB574" w14:textId="77777777" w:rsidR="003C4077" w:rsidRDefault="006947C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Więcej informacji o Glovo można znaleźć na stronie: </w:t>
      </w:r>
      <w:hyperlink r:id="rId10">
        <w:r w:rsidR="003C4077">
          <w:rPr>
            <w:color w:val="0000FF"/>
            <w:sz w:val="20"/>
            <w:szCs w:val="20"/>
            <w:u w:val="single"/>
          </w:rPr>
          <w:t>https://about.glovoapp.com/</w:t>
        </w:r>
      </w:hyperlink>
      <w:r>
        <w:rPr>
          <w:sz w:val="20"/>
          <w:szCs w:val="20"/>
        </w:rPr>
        <w:t xml:space="preserve"> </w:t>
      </w:r>
    </w:p>
    <w:p w14:paraId="69ECCCE0" w14:textId="77777777" w:rsidR="003C4077" w:rsidRDefault="003C4077"/>
    <w:sectPr w:rsidR="003C4077" w:rsidSect="00337990">
      <w:headerReference w:type="default" r:id="rId11"/>
      <w:footerReference w:type="default" r:id="rId12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D2C50" w14:textId="77777777" w:rsidR="004509EC" w:rsidRDefault="004509EC">
      <w:pPr>
        <w:spacing w:line="240" w:lineRule="auto"/>
      </w:pPr>
      <w:r>
        <w:separator/>
      </w:r>
    </w:p>
  </w:endnote>
  <w:endnote w:type="continuationSeparator" w:id="0">
    <w:p w14:paraId="3C9B2FA6" w14:textId="77777777" w:rsidR="004509EC" w:rsidRDefault="004509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ADA0DFA-8421-4A18-82A7-4DC8D43A647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589274F-512C-4341-BFD6-205F12FE9A3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B8680A92-CC65-4EE5-BB2D-94FD6AB0BA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E7BCD" w14:textId="77777777" w:rsidR="003C4077" w:rsidRDefault="006947C0">
    <w:pPr>
      <w:tabs>
        <w:tab w:val="center" w:pos="4536"/>
        <w:tab w:val="right" w:pos="9072"/>
      </w:tabs>
      <w:spacing w:line="240" w:lineRule="auto"/>
      <w:rPr>
        <w:b/>
        <w:bCs/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>Kontakt dla mediów:</w:t>
    </w:r>
  </w:p>
  <w:p w14:paraId="66001F24" w14:textId="77777777" w:rsidR="003C4077" w:rsidRDefault="006947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color w:val="000000"/>
        <w:sz w:val="16"/>
        <w:szCs w:val="16"/>
      </w:rPr>
      <w:t xml:space="preserve">Paulina Wróbel, </w:t>
    </w:r>
    <w:hyperlink r:id="rId1">
      <w:r w:rsidR="003C4077">
        <w:rPr>
          <w:color w:val="0000FF"/>
          <w:sz w:val="16"/>
          <w:szCs w:val="16"/>
          <w:u w:val="single"/>
        </w:rPr>
        <w:t>paulina.wrobel@38pr.pl</w:t>
      </w:r>
    </w:hyperlink>
    <w:r>
      <w:rPr>
        <w:color w:val="000000"/>
        <w:sz w:val="16"/>
        <w:szCs w:val="16"/>
      </w:rPr>
      <w:t>, tel. 502 457 549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2159A" w14:textId="77777777" w:rsidR="004509EC" w:rsidRDefault="004509EC">
      <w:pPr>
        <w:spacing w:line="240" w:lineRule="auto"/>
      </w:pPr>
      <w:r>
        <w:separator/>
      </w:r>
    </w:p>
  </w:footnote>
  <w:footnote w:type="continuationSeparator" w:id="0">
    <w:p w14:paraId="19584778" w14:textId="77777777" w:rsidR="004509EC" w:rsidRDefault="004509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58889" w14:textId="77777777" w:rsidR="003C4077" w:rsidRDefault="006947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C3625B4" wp14:editId="60B15689">
          <wp:simplePos x="0" y="0"/>
          <wp:positionH relativeFrom="margin">
            <wp:align>center</wp:align>
          </wp:positionH>
          <wp:positionV relativeFrom="paragraph">
            <wp:posOffset>-296545</wp:posOffset>
          </wp:positionV>
          <wp:extent cx="1394460" cy="617220"/>
          <wp:effectExtent l="0" t="0" r="0" b="0"/>
          <wp:wrapSquare wrapText="bothSides" distT="0" distB="0" distL="114300" distR="114300"/>
          <wp:docPr id="1086748628" name="image1.png" descr="Obraz zawierający Czcionka, logo, Grafika, design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raz zawierający Czcionka, logo, Grafika, design&#10;&#10;Zawartość wygenerowana przez AI może być niepoprawna."/>
                  <pic:cNvPicPr preferRelativeResize="0"/>
                </pic:nvPicPr>
                <pic:blipFill>
                  <a:blip r:embed="rId1"/>
                  <a:srcRect t="21656" r="2010" b="19108"/>
                  <a:stretch>
                    <a:fillRect/>
                  </a:stretch>
                </pic:blipFill>
                <pic:spPr>
                  <a:xfrm>
                    <a:off x="0" y="0"/>
                    <a:ext cx="1394460" cy="617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CD21AC"/>
    <w:multiLevelType w:val="multilevel"/>
    <w:tmpl w:val="031830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ECB5158"/>
    <w:multiLevelType w:val="multilevel"/>
    <w:tmpl w:val="ECC022E2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24E2263"/>
    <w:multiLevelType w:val="multilevel"/>
    <w:tmpl w:val="B5CAA664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A453844"/>
    <w:multiLevelType w:val="multilevel"/>
    <w:tmpl w:val="85301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04C653B"/>
    <w:multiLevelType w:val="multilevel"/>
    <w:tmpl w:val="BF0259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0F222E"/>
    <w:multiLevelType w:val="multilevel"/>
    <w:tmpl w:val="02B06776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E3620C1"/>
    <w:multiLevelType w:val="multilevel"/>
    <w:tmpl w:val="AB44E468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num w:numId="1" w16cid:durableId="516310990">
    <w:abstractNumId w:val="3"/>
  </w:num>
  <w:num w:numId="2" w16cid:durableId="1747610433">
    <w:abstractNumId w:val="1"/>
  </w:num>
  <w:num w:numId="3" w16cid:durableId="794249500">
    <w:abstractNumId w:val="2"/>
  </w:num>
  <w:num w:numId="4" w16cid:durableId="608969822">
    <w:abstractNumId w:val="6"/>
  </w:num>
  <w:num w:numId="5" w16cid:durableId="629477750">
    <w:abstractNumId w:val="0"/>
  </w:num>
  <w:num w:numId="6" w16cid:durableId="89738609">
    <w:abstractNumId w:val="4"/>
  </w:num>
  <w:num w:numId="7" w16cid:durableId="10631419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077"/>
    <w:rsid w:val="0006560F"/>
    <w:rsid w:val="001D5BAB"/>
    <w:rsid w:val="00337990"/>
    <w:rsid w:val="003C4077"/>
    <w:rsid w:val="004509EC"/>
    <w:rsid w:val="004F7664"/>
    <w:rsid w:val="00680995"/>
    <w:rsid w:val="006947C0"/>
    <w:rsid w:val="00793003"/>
    <w:rsid w:val="009A1FD7"/>
    <w:rsid w:val="00A574D3"/>
    <w:rsid w:val="00AB61C8"/>
    <w:rsid w:val="00B07DFF"/>
    <w:rsid w:val="00B82D7C"/>
    <w:rsid w:val="00CF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422A0"/>
  <w15:docId w15:val="{8C16A16A-1E18-499A-8DF7-06CF6AD8E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cze">
    <w:name w:val="Hyperlink"/>
    <w:rsid w:val="00F6513E"/>
    <w:rPr>
      <w:color w:val="0000FF"/>
      <w:u w:val="single"/>
    </w:rPr>
  </w:style>
  <w:style w:type="paragraph" w:styleId="Nagwek">
    <w:name w:val="header"/>
    <w:link w:val="NagwekZnak"/>
    <w:uiPriority w:val="99"/>
    <w:unhideWhenUsed/>
    <w:rsid w:val="00FB0A2B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0A2B"/>
  </w:style>
  <w:style w:type="paragraph" w:styleId="Stopka">
    <w:name w:val="footer"/>
    <w:link w:val="StopkaZnak"/>
    <w:uiPriority w:val="99"/>
    <w:unhideWhenUsed/>
    <w:rsid w:val="00FB0A2B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0A2B"/>
  </w:style>
  <w:style w:type="character" w:styleId="Nierozpoznanawzmianka">
    <w:name w:val="Unresolved Mention"/>
    <w:basedOn w:val="Domylnaczcionkaakapitu"/>
    <w:uiPriority w:val="99"/>
    <w:semiHidden/>
    <w:unhideWhenUsed/>
    <w:rsid w:val="0032113D"/>
    <w:rPr>
      <w:color w:val="605E5C"/>
      <w:shd w:val="clear" w:color="auto" w:fill="E1DFDD"/>
    </w:rPr>
  </w:style>
  <w:style w:type="paragraph" w:styleId="Akapitzlist">
    <w:name w:val="List Paragraph"/>
    <w:uiPriority w:val="34"/>
    <w:qFormat/>
    <w:rsid w:val="006D511B"/>
    <w:pPr>
      <w:ind w:left="720"/>
      <w:contextualSpacing/>
    </w:pPr>
  </w:style>
  <w:style w:type="paragraph" w:styleId="NormalnyWeb">
    <w:name w:val="Normal (Web)"/>
    <w:uiPriority w:val="99"/>
    <w:semiHidden/>
    <w:unhideWhenUsed/>
    <w:rsid w:val="00F94CCD"/>
    <w:rPr>
      <w:rFonts w:ascii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about.glovoapp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heaccessalliance.tech/pl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aulina.wrobel@38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5598162792648709"/>
          <c:y val="4.6603302527265557E-2"/>
          <c:w val="0.42366269477195984"/>
          <c:h val="0.9346063790845267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2B71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84A-4F75-B652-BDD8FE464ADC}"/>
              </c:ext>
            </c:extLst>
          </c:dPt>
          <c:dPt>
            <c:idx val="1"/>
            <c:invertIfNegative val="0"/>
            <c:bubble3D val="0"/>
            <c:spPr>
              <a:solidFill>
                <a:srgbClr val="F2B71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684A-4F75-B652-BDD8FE464ADC}"/>
              </c:ext>
            </c:extLst>
          </c:dPt>
          <c:dPt>
            <c:idx val="2"/>
            <c:invertIfNegative val="0"/>
            <c:bubble3D val="0"/>
            <c:spPr>
              <a:solidFill>
                <a:srgbClr val="F2B71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84A-4F75-B652-BDD8FE464ADC}"/>
              </c:ext>
            </c:extLst>
          </c:dPt>
          <c:dPt>
            <c:idx val="3"/>
            <c:invertIfNegative val="0"/>
            <c:bubble3D val="0"/>
            <c:spPr>
              <a:solidFill>
                <a:srgbClr val="F2B71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684A-4F75-B652-BDD8FE464ADC}"/>
              </c:ext>
            </c:extLst>
          </c:dPt>
          <c:dPt>
            <c:idx val="4"/>
            <c:invertIfNegative val="0"/>
            <c:bubble3D val="0"/>
            <c:spPr>
              <a:solidFill>
                <a:srgbClr val="F2B71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684A-4F75-B652-BDD8FE464ADC}"/>
              </c:ext>
            </c:extLst>
          </c:dPt>
          <c:dPt>
            <c:idx val="5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684A-4F75-B652-BDD8FE464ADC}"/>
              </c:ext>
            </c:extLst>
          </c:dPt>
          <c:dPt>
            <c:idx val="6"/>
            <c:invertIfNegative val="0"/>
            <c:bubble3D val="0"/>
            <c:spPr>
              <a:solidFill>
                <a:srgbClr val="F2B71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684A-4F75-B652-BDD8FE464ADC}"/>
              </c:ext>
            </c:extLst>
          </c:dPt>
          <c:dPt>
            <c:idx val="7"/>
            <c:invertIfNegative val="0"/>
            <c:bubble3D val="0"/>
            <c:spPr>
              <a:solidFill>
                <a:srgbClr val="F2B71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A-684A-4F75-B652-BDD8FE464ADC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84A-4F75-B652-BDD8FE464AD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97" b="0" i="0" u="none" strike="noStrike" kern="1200" baseline="0">
                    <a:solidFill>
                      <a:schemeClr val="tx1"/>
                    </a:solidFill>
                    <a:latin typeface="+mj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Arkusz1!$A$2:$A$10</c:f>
              <c:strCache>
                <c:ptCount val="9"/>
                <c:pt idx="0">
                  <c:v>Tak, podzieliłam/em się swoim jedzeniem, które miałam/em w domu</c:v>
                </c:pt>
                <c:pt idx="1">
                  <c:v>Tak, zapłaciłam/em za drobne rzeczy do jedzenia, gdy byliśmy razem (np. kupiłem kawę lub przekąskę)</c:v>
                </c:pt>
                <c:pt idx="2">
                  <c:v>Tak, zapłaciłam/em za posiłek poza domem</c:v>
                </c:pt>
                <c:pt idx="3">
                  <c:v>Tak, zaprosiłam/em tę osobę do siebie na posiłek</c:v>
                </c:pt>
                <c:pt idx="4">
                  <c:v>Tak, przekazałam/em pieniądze na ten cel</c:v>
                </c:pt>
                <c:pt idx="5">
                  <c:v>Tak, „zapomniałam/em” poprosić o zwrot pieniędzy za wspólne jedzenie</c:v>
                </c:pt>
                <c:pt idx="6">
                  <c:v>Tak, zapłaciłam/em więcej niż moja część za posiłek poza domem</c:v>
                </c:pt>
                <c:pt idx="7">
                  <c:v>Tak, wysłałam/em anonimowo jedzenie</c:v>
                </c:pt>
                <c:pt idx="8">
                  <c:v>Nie</c:v>
                </c:pt>
              </c:strCache>
            </c:strRef>
          </c:cat>
          <c:val>
            <c:numRef>
              <c:f>Arkusz1!$B$2:$B$10</c:f>
              <c:numCache>
                <c:formatCode>0%</c:formatCode>
                <c:ptCount val="9"/>
                <c:pt idx="0">
                  <c:v>0.17</c:v>
                </c:pt>
                <c:pt idx="1">
                  <c:v>0.14000000000000001</c:v>
                </c:pt>
                <c:pt idx="2">
                  <c:v>0.14000000000000001</c:v>
                </c:pt>
                <c:pt idx="3">
                  <c:v>0.12</c:v>
                </c:pt>
                <c:pt idx="4">
                  <c:v>0.1</c:v>
                </c:pt>
                <c:pt idx="5">
                  <c:v>0.06</c:v>
                </c:pt>
                <c:pt idx="6">
                  <c:v>0.06</c:v>
                </c:pt>
                <c:pt idx="7">
                  <c:v>0.03</c:v>
                </c:pt>
                <c:pt idx="8">
                  <c:v>0.52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4A-4F75-B652-BDD8FE464A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562940415"/>
        <c:axId val="1352657183"/>
      </c:barChart>
      <c:catAx>
        <c:axId val="1562940415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j-lt"/>
                <a:ea typeface="+mn-ea"/>
                <a:cs typeface="+mn-cs"/>
              </a:defRPr>
            </a:pPr>
            <a:endParaRPr lang="pl-PL"/>
          </a:p>
        </c:txPr>
        <c:crossAx val="1352657183"/>
        <c:crosses val="autoZero"/>
        <c:auto val="1"/>
        <c:lblAlgn val="ctr"/>
        <c:lblOffset val="100"/>
        <c:noMultiLvlLbl val="0"/>
      </c:catAx>
      <c:valAx>
        <c:axId val="1352657183"/>
        <c:scaling>
          <c:orientation val="minMax"/>
          <c:max val="1"/>
        </c:scaling>
        <c:delete val="1"/>
        <c:axPos val="t"/>
        <c:numFmt formatCode="0%" sourceLinked="1"/>
        <c:majorTickMark val="out"/>
        <c:minorTickMark val="none"/>
        <c:tickLblPos val="nextTo"/>
        <c:crossAx val="15629404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+mj-lt"/>
        </a:defRPr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Zymetria 2021">
    <a:dk1>
      <a:srgbClr val="3F4B59"/>
    </a:dk1>
    <a:lt1>
      <a:srgbClr val="FFFFFF"/>
    </a:lt1>
    <a:dk2>
      <a:srgbClr val="F2D231"/>
    </a:dk2>
    <a:lt2>
      <a:srgbClr val="DFE2E6"/>
    </a:lt2>
    <a:accent1>
      <a:srgbClr val="259357"/>
    </a:accent1>
    <a:accent2>
      <a:srgbClr val="0B89B0"/>
    </a:accent2>
    <a:accent3>
      <a:srgbClr val="0B495C"/>
    </a:accent3>
    <a:accent4>
      <a:srgbClr val="E58426"/>
    </a:accent4>
    <a:accent5>
      <a:srgbClr val="BD3029"/>
    </a:accent5>
    <a:accent6>
      <a:srgbClr val="8C325C"/>
    </a:accent6>
    <a:hlink>
      <a:srgbClr val="E58426"/>
    </a:hlink>
    <a:folHlink>
      <a:srgbClr val="ABB6C3"/>
    </a:folHlink>
  </a:clrScheme>
  <a:fontScheme name="Zymetria 2020">
    <a:majorFont>
      <a:latin typeface="Roboto Condensed"/>
      <a:ea typeface=""/>
      <a:cs typeface=""/>
    </a:majorFont>
    <a:minorFont>
      <a:latin typeface="Roboto Light"/>
      <a:ea typeface=""/>
      <a:cs typeface=""/>
    </a:minorFont>
  </a:fontScheme>
  <a:fmtScheme name="Subtelne kształty">
    <a:fillStyleLst>
      <a:solidFill>
        <a:schemeClr val="phClr"/>
      </a:solidFill>
      <a:solidFill>
        <a:schemeClr val="phClr">
          <a:tint val="65000"/>
        </a:schemeClr>
      </a:solidFill>
      <a:solidFill>
        <a:schemeClr val="phClr">
          <a:shade val="80000"/>
          <a:satMod val="150000"/>
        </a:schemeClr>
      </a:solidFill>
    </a:fillStyleLst>
    <a:lnStyleLst>
      <a:ln w="9525" cap="flat" cmpd="sng" algn="ctr">
        <a:solidFill>
          <a:schemeClr val="phClr"/>
        </a:solidFill>
        <a:prstDash val="solid"/>
      </a:ln>
      <a:ln w="10795" cap="flat" cmpd="sng" algn="ctr">
        <a:solidFill>
          <a:schemeClr val="phClr"/>
        </a:solidFill>
        <a:prstDash val="solid"/>
      </a:ln>
      <a:ln w="17145" cap="flat" cmpd="sng" algn="ctr">
        <a:solidFill>
          <a:schemeClr val="phClr">
            <a:shade val="95000"/>
            <a:alpha val="50000"/>
            <a:satMod val="150000"/>
          </a:schemeClr>
        </a:solidFill>
        <a:prstDash val="solid"/>
      </a:ln>
    </a:lnStyleLst>
    <a:effectStyleLst>
      <a:effectStyle>
        <a:effectLst/>
      </a:effectStyle>
      <a:effectStyle>
        <a:effectLst/>
      </a:effectStyle>
      <a:effectStyle>
        <a:effectLst>
          <a:outerShdw blurRad="44450" dist="13970" dir="5400000" algn="ctr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twoPt" dir="tl"/>
        </a:scene3d>
        <a:sp3d prstMaterial="flat">
          <a:bevelT w="12700" h="25400" prst="coolSlant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aYzYGS3edNQh9bt97ECxRzES9g==">CgMxLjA4AHIhMWVvNlcxempabUVXd1VJelR0R1JXaS1USXZZVjRRYTZK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1360</Words>
  <Characters>8163</Characters>
  <Application>Microsoft Office Word</Application>
  <DocSecurity>0</DocSecurity>
  <Lines>68</Lines>
  <Paragraphs>19</Paragraphs>
  <ScaleCrop>false</ScaleCrop>
  <Company/>
  <LinksUpToDate>false</LinksUpToDate>
  <CharactersWithSpaces>9504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 Głażewska</dc:creator>
  <cp:lastModifiedBy>Wróbel, Paulina</cp:lastModifiedBy>
  <cp:revision>13</cp:revision>
  <dcterms:created xsi:type="dcterms:W3CDTF">2025-12-02T17:15:00Z</dcterms:created>
  <dcterms:modified xsi:type="dcterms:W3CDTF">2025-12-04T10:30:00Z</dcterms:modified>
</cp:coreProperties>
</file>