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FBF51" w14:textId="733B4297" w:rsidR="00487836" w:rsidRDefault="00487836" w:rsidP="00487836">
      <w:pPr>
        <w:jc w:val="center"/>
        <w:rPr>
          <w:b/>
          <w:bCs/>
          <w:sz w:val="20"/>
          <w:szCs w:val="20"/>
        </w:rPr>
      </w:pPr>
      <w:r>
        <w:rPr>
          <w:b/>
          <w:bCs/>
          <w:sz w:val="20"/>
          <w:szCs w:val="20"/>
        </w:rPr>
        <w:t>Rekordowy ruch turystyczny i silne ożywienie rynku hotelowego w Polsce</w:t>
      </w:r>
    </w:p>
    <w:p w14:paraId="577CFE1B" w14:textId="61A4D3D7" w:rsidR="00487836" w:rsidRPr="00487836" w:rsidRDefault="00487836" w:rsidP="00487836">
      <w:pPr>
        <w:jc w:val="center"/>
        <w:rPr>
          <w:sz w:val="20"/>
          <w:szCs w:val="20"/>
        </w:rPr>
      </w:pPr>
      <w:r w:rsidRPr="00487836">
        <w:rPr>
          <w:i/>
          <w:iCs/>
          <w:sz w:val="20"/>
          <w:szCs w:val="20"/>
        </w:rPr>
        <w:t>Nowe inwestycje, zmieniające się modele podróży i dynamiczny rozwój infrastruktury wspierają wzrost sektora hotelowego</w:t>
      </w:r>
    </w:p>
    <w:p w14:paraId="6A93E932" w14:textId="2C87F133" w:rsidR="00CB221A" w:rsidRPr="00487836" w:rsidRDefault="00CB221A" w:rsidP="00AE44C9">
      <w:pPr>
        <w:spacing w:line="240" w:lineRule="auto"/>
        <w:jc w:val="both"/>
        <w:rPr>
          <w:b/>
          <w:bCs/>
          <w:sz w:val="20"/>
          <w:szCs w:val="20"/>
        </w:rPr>
      </w:pPr>
      <w:r w:rsidRPr="00CB221A">
        <w:rPr>
          <w:b/>
          <w:bCs/>
          <w:sz w:val="20"/>
          <w:szCs w:val="20"/>
        </w:rPr>
        <w:t>Według najnowszego raportu „</w:t>
      </w:r>
      <w:proofErr w:type="spellStart"/>
      <w:r w:rsidRPr="00CB221A">
        <w:rPr>
          <w:b/>
          <w:bCs/>
          <w:sz w:val="20"/>
          <w:szCs w:val="20"/>
        </w:rPr>
        <w:t>Trends</w:t>
      </w:r>
      <w:proofErr w:type="spellEnd"/>
      <w:r w:rsidRPr="00CB221A">
        <w:rPr>
          <w:b/>
          <w:bCs/>
          <w:sz w:val="20"/>
          <w:szCs w:val="20"/>
        </w:rPr>
        <w:t xml:space="preserve"> Radar” </w:t>
      </w:r>
      <w:r>
        <w:rPr>
          <w:b/>
          <w:bCs/>
          <w:sz w:val="20"/>
          <w:szCs w:val="20"/>
        </w:rPr>
        <w:t xml:space="preserve">międzynarodowej agencji doradczej </w:t>
      </w:r>
      <w:r w:rsidRPr="00CB221A">
        <w:rPr>
          <w:b/>
          <w:bCs/>
          <w:sz w:val="20"/>
          <w:szCs w:val="20"/>
        </w:rPr>
        <w:t>Cushman &amp; Wakefield,</w:t>
      </w:r>
      <w:r>
        <w:rPr>
          <w:b/>
          <w:bCs/>
          <w:sz w:val="20"/>
          <w:szCs w:val="20"/>
        </w:rPr>
        <w:t xml:space="preserve"> polski</w:t>
      </w:r>
      <w:r w:rsidRPr="00CB221A">
        <w:rPr>
          <w:b/>
          <w:bCs/>
          <w:sz w:val="20"/>
          <w:szCs w:val="20"/>
        </w:rPr>
        <w:t xml:space="preserve"> sektor hotelowy wchodzi w fazę bardziej dojrzałego, zrównoważonego i odpornego wzrostu. Tylko w pierwszej połowie 2025 roku z bazy noclegowej w Polsce skorzystało 18,2 mln turystów</w:t>
      </w:r>
      <w:r>
        <w:rPr>
          <w:b/>
          <w:bCs/>
          <w:sz w:val="20"/>
          <w:szCs w:val="20"/>
        </w:rPr>
        <w:t xml:space="preserve">, </w:t>
      </w:r>
      <w:r w:rsidRPr="00CB221A">
        <w:rPr>
          <w:b/>
          <w:bCs/>
          <w:sz w:val="20"/>
          <w:szCs w:val="20"/>
        </w:rPr>
        <w:t xml:space="preserve">a liczba noclegów turystów zagranicznych przebiła poziomy sprzed pandemii. </w:t>
      </w:r>
      <w:r>
        <w:rPr>
          <w:b/>
          <w:bCs/>
          <w:sz w:val="20"/>
          <w:szCs w:val="20"/>
        </w:rPr>
        <w:t xml:space="preserve">Tę pozytywną tendencję dobrze ilustrują </w:t>
      </w:r>
      <w:r w:rsidRPr="00CB221A">
        <w:rPr>
          <w:b/>
          <w:bCs/>
          <w:sz w:val="20"/>
          <w:szCs w:val="20"/>
        </w:rPr>
        <w:t>dane z Warszawy – jak wynika z raportu „</w:t>
      </w:r>
      <w:proofErr w:type="spellStart"/>
      <w:r w:rsidRPr="00CB221A">
        <w:rPr>
          <w:b/>
          <w:bCs/>
          <w:sz w:val="20"/>
          <w:szCs w:val="20"/>
        </w:rPr>
        <w:t>Warsaw</w:t>
      </w:r>
      <w:proofErr w:type="spellEnd"/>
      <w:r w:rsidRPr="00CB221A">
        <w:rPr>
          <w:b/>
          <w:bCs/>
          <w:sz w:val="20"/>
          <w:szCs w:val="20"/>
        </w:rPr>
        <w:t xml:space="preserve"> </w:t>
      </w:r>
      <w:proofErr w:type="spellStart"/>
      <w:r w:rsidRPr="00CB221A">
        <w:rPr>
          <w:b/>
          <w:bCs/>
          <w:sz w:val="20"/>
          <w:szCs w:val="20"/>
        </w:rPr>
        <w:t>Tourism</w:t>
      </w:r>
      <w:proofErr w:type="spellEnd"/>
      <w:r w:rsidRPr="00CB221A">
        <w:rPr>
          <w:b/>
          <w:bCs/>
          <w:sz w:val="20"/>
          <w:szCs w:val="20"/>
        </w:rPr>
        <w:t xml:space="preserve"> Market </w:t>
      </w:r>
      <w:proofErr w:type="spellStart"/>
      <w:r w:rsidRPr="00CB221A">
        <w:rPr>
          <w:b/>
          <w:bCs/>
          <w:sz w:val="20"/>
          <w:szCs w:val="20"/>
        </w:rPr>
        <w:t>Insights</w:t>
      </w:r>
      <w:proofErr w:type="spellEnd"/>
      <w:r w:rsidRPr="00CB221A">
        <w:rPr>
          <w:b/>
          <w:bCs/>
          <w:sz w:val="20"/>
          <w:szCs w:val="20"/>
        </w:rPr>
        <w:t>”, w 2024 roku stolicę odwiedziło ponad 12,2 mln osób, a goście z zagranicy odpowiadają już za ponad 2</w:t>
      </w:r>
      <w:r>
        <w:rPr>
          <w:b/>
          <w:bCs/>
          <w:sz w:val="20"/>
          <w:szCs w:val="20"/>
        </w:rPr>
        <w:t>0</w:t>
      </w:r>
      <w:r w:rsidRPr="00CB221A">
        <w:rPr>
          <w:b/>
          <w:bCs/>
          <w:sz w:val="20"/>
          <w:szCs w:val="20"/>
        </w:rPr>
        <w:t>% obrotów detalicznych w centrum miasta.</w:t>
      </w:r>
    </w:p>
    <w:p w14:paraId="6BBB9EFF" w14:textId="77777777" w:rsidR="00487836" w:rsidRPr="00487836" w:rsidRDefault="00487836" w:rsidP="00AE44C9">
      <w:pPr>
        <w:spacing w:line="240" w:lineRule="auto"/>
        <w:jc w:val="both"/>
        <w:rPr>
          <w:b/>
          <w:bCs/>
          <w:sz w:val="20"/>
          <w:szCs w:val="20"/>
        </w:rPr>
      </w:pPr>
      <w:r w:rsidRPr="00487836">
        <w:rPr>
          <w:b/>
          <w:bCs/>
          <w:sz w:val="20"/>
          <w:szCs w:val="20"/>
        </w:rPr>
        <w:t>Rynek hotelowy w Polsce: odbudowa, wzrost i transformacja</w:t>
      </w:r>
    </w:p>
    <w:p w14:paraId="17CF8D42" w14:textId="717B5EE4" w:rsidR="00487836" w:rsidRPr="00487836" w:rsidRDefault="00ED4F97" w:rsidP="00AE44C9">
      <w:pPr>
        <w:spacing w:line="240" w:lineRule="auto"/>
        <w:jc w:val="both"/>
        <w:rPr>
          <w:sz w:val="20"/>
          <w:szCs w:val="20"/>
        </w:rPr>
      </w:pPr>
      <w:r>
        <w:rPr>
          <w:sz w:val="20"/>
          <w:szCs w:val="20"/>
        </w:rPr>
        <w:t>Jak podsumowuje raport „</w:t>
      </w:r>
      <w:proofErr w:type="spellStart"/>
      <w:r>
        <w:rPr>
          <w:sz w:val="20"/>
          <w:szCs w:val="20"/>
        </w:rPr>
        <w:t>Trends</w:t>
      </w:r>
      <w:proofErr w:type="spellEnd"/>
      <w:r>
        <w:rPr>
          <w:sz w:val="20"/>
          <w:szCs w:val="20"/>
        </w:rPr>
        <w:t xml:space="preserve"> Radar”, r</w:t>
      </w:r>
      <w:r w:rsidR="00487836" w:rsidRPr="00487836">
        <w:rPr>
          <w:sz w:val="20"/>
          <w:szCs w:val="20"/>
        </w:rPr>
        <w:t>ok 2025 przyniósł kontynuację odbudowy popytu i bardzo dobre wyniki operacyjne. W I połowie roku z bazy noclegowej w Polsce skorzystało 18,2 mln turystów, generując 44,9 mln noclegów (+8,5% r/r). Segment zagraniczny nie tylko wrócił do formy, ale przebił poziomy z 2019 roku – liczba noclegów udzielonych turystom spoza Polski sięgnęła 3,8 mln.</w:t>
      </w:r>
    </w:p>
    <w:p w14:paraId="41AD307F" w14:textId="7C2D2160" w:rsidR="00B108D2" w:rsidRDefault="00487836" w:rsidP="00AE44C9">
      <w:pPr>
        <w:spacing w:line="240" w:lineRule="auto"/>
        <w:jc w:val="both"/>
        <w:rPr>
          <w:sz w:val="20"/>
          <w:szCs w:val="20"/>
        </w:rPr>
      </w:pPr>
      <w:r w:rsidRPr="00487836">
        <w:rPr>
          <w:sz w:val="20"/>
          <w:szCs w:val="20"/>
        </w:rPr>
        <w:t xml:space="preserve">Wskaźnik obłożenia hoteli do sierpnia 2025 </w:t>
      </w:r>
      <w:r w:rsidR="007E6E12">
        <w:rPr>
          <w:sz w:val="20"/>
          <w:szCs w:val="20"/>
        </w:rPr>
        <w:t xml:space="preserve">roku </w:t>
      </w:r>
      <w:r w:rsidRPr="00487836">
        <w:rPr>
          <w:sz w:val="20"/>
          <w:szCs w:val="20"/>
        </w:rPr>
        <w:t xml:space="preserve">wyniósł około 70%, a kluczowe wskaźniki finansowe – ADR i </w:t>
      </w:r>
      <w:proofErr w:type="spellStart"/>
      <w:r w:rsidRPr="00487836">
        <w:rPr>
          <w:sz w:val="20"/>
          <w:szCs w:val="20"/>
        </w:rPr>
        <w:t>RevPAR</w:t>
      </w:r>
      <w:proofErr w:type="spellEnd"/>
      <w:r w:rsidRPr="00487836">
        <w:rPr>
          <w:sz w:val="20"/>
          <w:szCs w:val="20"/>
        </w:rPr>
        <w:t xml:space="preserve"> – wzrosły o 5</w:t>
      </w:r>
      <w:r w:rsidR="007E6E12">
        <w:rPr>
          <w:sz w:val="20"/>
          <w:szCs w:val="20"/>
        </w:rPr>
        <w:t>-</w:t>
      </w:r>
      <w:r w:rsidRPr="00487836">
        <w:rPr>
          <w:sz w:val="20"/>
          <w:szCs w:val="20"/>
        </w:rPr>
        <w:t>7% r/r, przekraczając poziomy z 2019 r</w:t>
      </w:r>
      <w:r w:rsidR="00ED4F97">
        <w:rPr>
          <w:sz w:val="20"/>
          <w:szCs w:val="20"/>
        </w:rPr>
        <w:t>oku.</w:t>
      </w:r>
      <w:r w:rsidRPr="00487836">
        <w:rPr>
          <w:sz w:val="20"/>
          <w:szCs w:val="20"/>
        </w:rPr>
        <w:t xml:space="preserve"> Już od </w:t>
      </w:r>
      <w:r w:rsidR="00ED4F97">
        <w:rPr>
          <w:sz w:val="20"/>
          <w:szCs w:val="20"/>
        </w:rPr>
        <w:t>dwóch lat</w:t>
      </w:r>
      <w:r w:rsidRPr="00487836">
        <w:rPr>
          <w:sz w:val="20"/>
          <w:szCs w:val="20"/>
        </w:rPr>
        <w:t xml:space="preserve"> to właśnie ADR – czyli średnia stawka dzienna – pozostaje głównym motorem wzrostu przy stabilizującym się obłożeniu</w:t>
      </w:r>
      <w:r w:rsidR="004D25BB">
        <w:rPr>
          <w:sz w:val="20"/>
          <w:szCs w:val="20"/>
        </w:rPr>
        <w:t xml:space="preserve">. </w:t>
      </w:r>
    </w:p>
    <w:p w14:paraId="193D8384" w14:textId="51074952" w:rsidR="00487836" w:rsidRPr="00B108D2" w:rsidRDefault="00B108D2" w:rsidP="00AE44C9">
      <w:pPr>
        <w:spacing w:line="240" w:lineRule="auto"/>
        <w:jc w:val="both"/>
        <w:rPr>
          <w:b/>
          <w:bCs/>
          <w:sz w:val="20"/>
          <w:szCs w:val="20"/>
        </w:rPr>
      </w:pPr>
      <w:r w:rsidRPr="00487836">
        <w:rPr>
          <w:sz w:val="20"/>
          <w:szCs w:val="20"/>
        </w:rPr>
        <w:t>–</w:t>
      </w:r>
      <w:r>
        <w:rPr>
          <w:sz w:val="20"/>
          <w:szCs w:val="20"/>
        </w:rPr>
        <w:t xml:space="preserve"> </w:t>
      </w:r>
      <w:r w:rsidRPr="004D25BB">
        <w:rPr>
          <w:i/>
          <w:iCs/>
          <w:sz w:val="20"/>
          <w:szCs w:val="20"/>
        </w:rPr>
        <w:t xml:space="preserve">Polski rynek hotelowy nadal odnotowuje bardzo dobre wyniki – poziomy </w:t>
      </w:r>
      <w:proofErr w:type="spellStart"/>
      <w:r w:rsidRPr="004D25BB">
        <w:rPr>
          <w:i/>
          <w:iCs/>
          <w:sz w:val="20"/>
          <w:szCs w:val="20"/>
        </w:rPr>
        <w:t>RevPAR</w:t>
      </w:r>
      <w:proofErr w:type="spellEnd"/>
      <w:r w:rsidRPr="004D25BB">
        <w:rPr>
          <w:i/>
          <w:iCs/>
          <w:sz w:val="20"/>
          <w:szCs w:val="20"/>
        </w:rPr>
        <w:t xml:space="preserve"> w głównych destynacjach w kraju wyraźnie przekraczają wartości z 2019 roku. Z kolei po stronie transakcyjnej obserwujemy zmniejszającą się różnicę między oczekiwaniami kupujących i sprzedających, co powinno dodatkowo pobudzić aktywność rynkową. Rosnące zaangażowanie finansowe ze strony lokalnych i regionalnych banków również pozytywnie wpływa na perspektywy inwestycyjne i tworzy sprzyjające warunki dla dalszego zainteresowania inwestorów</w:t>
      </w:r>
      <w:r w:rsidRPr="00B108D2">
        <w:rPr>
          <w:sz w:val="20"/>
          <w:szCs w:val="20"/>
        </w:rPr>
        <w:t xml:space="preserve"> </w:t>
      </w:r>
      <w:r w:rsidR="00487836" w:rsidRPr="00B108D2">
        <w:rPr>
          <w:sz w:val="20"/>
          <w:szCs w:val="20"/>
        </w:rPr>
        <w:t xml:space="preserve">– komentuje </w:t>
      </w:r>
      <w:r w:rsidR="001E6096" w:rsidRPr="00B108D2">
        <w:rPr>
          <w:b/>
          <w:bCs/>
          <w:sz w:val="20"/>
          <w:szCs w:val="20"/>
        </w:rPr>
        <w:t xml:space="preserve">Nicolas </w:t>
      </w:r>
      <w:proofErr w:type="spellStart"/>
      <w:r w:rsidR="001E6096" w:rsidRPr="00B108D2">
        <w:rPr>
          <w:b/>
          <w:bCs/>
          <w:sz w:val="20"/>
          <w:szCs w:val="20"/>
        </w:rPr>
        <w:t>Horky</w:t>
      </w:r>
      <w:proofErr w:type="spellEnd"/>
      <w:r w:rsidR="00487836" w:rsidRPr="00B108D2">
        <w:rPr>
          <w:b/>
          <w:bCs/>
          <w:sz w:val="20"/>
          <w:szCs w:val="20"/>
        </w:rPr>
        <w:t>,</w:t>
      </w:r>
      <w:r w:rsidR="00ED4F97" w:rsidRPr="00B108D2">
        <w:rPr>
          <w:b/>
          <w:bCs/>
          <w:sz w:val="20"/>
          <w:szCs w:val="20"/>
        </w:rPr>
        <w:t xml:space="preserve"> </w:t>
      </w:r>
      <w:proofErr w:type="spellStart"/>
      <w:r w:rsidR="0046665F" w:rsidRPr="00B108D2">
        <w:rPr>
          <w:b/>
          <w:bCs/>
          <w:sz w:val="20"/>
          <w:szCs w:val="20"/>
        </w:rPr>
        <w:t>Head</w:t>
      </w:r>
      <w:proofErr w:type="spellEnd"/>
      <w:r w:rsidR="0046665F" w:rsidRPr="00B108D2">
        <w:rPr>
          <w:b/>
          <w:bCs/>
          <w:sz w:val="20"/>
          <w:szCs w:val="20"/>
        </w:rPr>
        <w:t xml:space="preserve"> of Hotel </w:t>
      </w:r>
      <w:proofErr w:type="spellStart"/>
      <w:r w:rsidR="0046665F" w:rsidRPr="00B108D2">
        <w:rPr>
          <w:b/>
          <w:bCs/>
          <w:sz w:val="20"/>
          <w:szCs w:val="20"/>
        </w:rPr>
        <w:t>Transactions</w:t>
      </w:r>
      <w:proofErr w:type="spellEnd"/>
      <w:r w:rsidR="0046665F" w:rsidRPr="00B108D2">
        <w:rPr>
          <w:b/>
          <w:bCs/>
          <w:sz w:val="20"/>
          <w:szCs w:val="20"/>
        </w:rPr>
        <w:t xml:space="preserve"> CEE &amp; SEE, Czech Republic,</w:t>
      </w:r>
      <w:r w:rsidR="00ED4F97" w:rsidRPr="00B108D2">
        <w:rPr>
          <w:b/>
          <w:bCs/>
          <w:sz w:val="20"/>
          <w:szCs w:val="20"/>
        </w:rPr>
        <w:t xml:space="preserve"> </w:t>
      </w:r>
      <w:r w:rsidR="00487836" w:rsidRPr="00B108D2">
        <w:rPr>
          <w:b/>
          <w:bCs/>
          <w:sz w:val="20"/>
          <w:szCs w:val="20"/>
        </w:rPr>
        <w:t>Cushman &amp; Wakefield</w:t>
      </w:r>
      <w:r w:rsidR="00ED4F97" w:rsidRPr="00B108D2">
        <w:rPr>
          <w:b/>
          <w:bCs/>
          <w:sz w:val="20"/>
          <w:szCs w:val="20"/>
        </w:rPr>
        <w:t>.</w:t>
      </w:r>
    </w:p>
    <w:p w14:paraId="331E800F" w14:textId="23DB4717" w:rsidR="00930A5C" w:rsidRPr="00930A5C" w:rsidRDefault="00930A5C" w:rsidP="00AE44C9">
      <w:pPr>
        <w:spacing w:line="240" w:lineRule="auto"/>
        <w:jc w:val="both"/>
        <w:rPr>
          <w:sz w:val="20"/>
          <w:szCs w:val="20"/>
        </w:rPr>
      </w:pPr>
      <w:r w:rsidRPr="00930A5C">
        <w:rPr>
          <w:sz w:val="20"/>
          <w:szCs w:val="20"/>
        </w:rPr>
        <w:t>Co istotne, według prognoz, w latach 2025</w:t>
      </w:r>
      <w:r w:rsidR="0046665F">
        <w:rPr>
          <w:sz w:val="20"/>
          <w:szCs w:val="20"/>
        </w:rPr>
        <w:t>-</w:t>
      </w:r>
      <w:r w:rsidRPr="00930A5C">
        <w:rPr>
          <w:sz w:val="20"/>
          <w:szCs w:val="20"/>
        </w:rPr>
        <w:t>2029 liczba noclegów krajowych w hotelach będzie rosła średniorocznie (CAGR) o 2,4%, natomiast liczba noclegów turystów międzynarodowych zwiększy się aż o 5,3% rocznie – co potwierdza rosnącą rolę Polski jako destynacji na europejskiej mapie turystycznej.</w:t>
      </w:r>
    </w:p>
    <w:p w14:paraId="173419C1" w14:textId="77777777" w:rsidR="00053298" w:rsidRPr="00053298" w:rsidRDefault="00053298" w:rsidP="00053298">
      <w:pPr>
        <w:spacing w:line="240" w:lineRule="auto"/>
        <w:jc w:val="both"/>
        <w:rPr>
          <w:b/>
          <w:bCs/>
          <w:sz w:val="20"/>
          <w:szCs w:val="20"/>
        </w:rPr>
      </w:pPr>
      <w:r w:rsidRPr="00053298">
        <w:rPr>
          <w:b/>
          <w:bCs/>
          <w:sz w:val="20"/>
          <w:szCs w:val="20"/>
        </w:rPr>
        <w:t>Warszawa – dynamiczne centrum turystyki miejskiej</w:t>
      </w:r>
    </w:p>
    <w:p w14:paraId="44CCBB08" w14:textId="77777777" w:rsidR="00053298" w:rsidRPr="00053298" w:rsidRDefault="00053298" w:rsidP="00053298">
      <w:pPr>
        <w:spacing w:line="240" w:lineRule="auto"/>
        <w:jc w:val="both"/>
        <w:rPr>
          <w:sz w:val="20"/>
          <w:szCs w:val="20"/>
        </w:rPr>
      </w:pPr>
      <w:r w:rsidRPr="00053298">
        <w:rPr>
          <w:sz w:val="20"/>
          <w:szCs w:val="20"/>
        </w:rPr>
        <w:t>Warszawa niezmiennie pozostaje liderem rynku hotelowego w Polsce. Na Mazowszu funkcjonuje ponad 240 hoteli, z czego aż 40% znajduje się właśnie w stolicy. Co istotne, to tutaj skoncentrowana jest niemal cała oferta najwyższej klasy – 15 z 16 pięciogwiazdkowych obiektów w regionie zlokalizowanych jest właśnie w Warszawie. Choć największą popularnością wśród odwiedzających cieszą się hotele czterogwiazdkowe, to segment luksusowy odpowiada już za blisko połowę wszystkich rezerwacji wśród gości zagranicznych.</w:t>
      </w:r>
    </w:p>
    <w:p w14:paraId="7D300B67" w14:textId="7A80766E" w:rsidR="00053298" w:rsidRPr="00053298" w:rsidRDefault="00053298" w:rsidP="00053298">
      <w:pPr>
        <w:spacing w:line="240" w:lineRule="auto"/>
        <w:jc w:val="both"/>
        <w:rPr>
          <w:sz w:val="20"/>
          <w:szCs w:val="20"/>
        </w:rPr>
      </w:pPr>
      <w:r w:rsidRPr="00053298">
        <w:rPr>
          <w:sz w:val="20"/>
          <w:szCs w:val="20"/>
        </w:rPr>
        <w:lastRenderedPageBreak/>
        <w:t>Rok 2024 przyniósł wyraźne ożywienie turystyczne – Warszawę odwiedziło ponad 12,2 mln osób, czyli o 10% więcej niż rok wcześniej. Liczba udzielonych noclegów wzrosła o 7,5%, a z warszawskiej bazy noclegowej skorzystało ponad 5 mln turystów, generując przeszło 8 mln noclegów. Turyści krajowi stanowili 68% odwiedzających, natomiast 32% przyjechało z zagranicy. Najliczniejsi byli goście z Ukrainy</w:t>
      </w:r>
      <w:r w:rsidR="00FB6F47">
        <w:rPr>
          <w:sz w:val="20"/>
          <w:szCs w:val="20"/>
        </w:rPr>
        <w:t xml:space="preserve"> </w:t>
      </w:r>
      <w:r w:rsidR="00FB6F47" w:rsidRPr="00FB6F47">
        <w:rPr>
          <w:sz w:val="20"/>
          <w:szCs w:val="20"/>
        </w:rPr>
        <w:t>(15,6%</w:t>
      </w:r>
      <w:r w:rsidR="00FB6F47">
        <w:rPr>
          <w:sz w:val="20"/>
          <w:szCs w:val="20"/>
        </w:rPr>
        <w:t>)</w:t>
      </w:r>
      <w:r w:rsidRPr="00053298">
        <w:rPr>
          <w:sz w:val="20"/>
          <w:szCs w:val="20"/>
        </w:rPr>
        <w:t xml:space="preserve">, </w:t>
      </w:r>
      <w:r w:rsidR="00FB6F47">
        <w:rPr>
          <w:sz w:val="20"/>
          <w:szCs w:val="20"/>
        </w:rPr>
        <w:t>USA (</w:t>
      </w:r>
      <w:r w:rsidR="00FB6F47" w:rsidRPr="00FB6F47">
        <w:rPr>
          <w:sz w:val="20"/>
          <w:szCs w:val="20"/>
        </w:rPr>
        <w:t>12,3%</w:t>
      </w:r>
      <w:r w:rsidR="00FB6F47">
        <w:rPr>
          <w:sz w:val="20"/>
          <w:szCs w:val="20"/>
        </w:rPr>
        <w:t xml:space="preserve">), </w:t>
      </w:r>
      <w:r w:rsidRPr="00053298">
        <w:rPr>
          <w:sz w:val="20"/>
          <w:szCs w:val="20"/>
        </w:rPr>
        <w:t>Niemiec</w:t>
      </w:r>
      <w:r w:rsidR="00FB6F47">
        <w:rPr>
          <w:sz w:val="20"/>
          <w:szCs w:val="20"/>
        </w:rPr>
        <w:t xml:space="preserve"> (</w:t>
      </w:r>
      <w:r w:rsidR="00FB6F47" w:rsidRPr="00FB6F47">
        <w:rPr>
          <w:sz w:val="20"/>
          <w:szCs w:val="20"/>
        </w:rPr>
        <w:t>8,7%</w:t>
      </w:r>
      <w:r w:rsidR="00FB6F47">
        <w:rPr>
          <w:sz w:val="20"/>
          <w:szCs w:val="20"/>
        </w:rPr>
        <w:t>)</w:t>
      </w:r>
      <w:r w:rsidRPr="00053298">
        <w:rPr>
          <w:sz w:val="20"/>
          <w:szCs w:val="20"/>
        </w:rPr>
        <w:t xml:space="preserve"> i Wielkiej Brytanii</w:t>
      </w:r>
      <w:r w:rsidR="00FB6F47">
        <w:rPr>
          <w:sz w:val="20"/>
          <w:szCs w:val="20"/>
        </w:rPr>
        <w:t xml:space="preserve"> </w:t>
      </w:r>
      <w:r w:rsidR="00FB6F47" w:rsidRPr="00FB6F47">
        <w:rPr>
          <w:sz w:val="20"/>
          <w:szCs w:val="20"/>
        </w:rPr>
        <w:t>(7,9%)</w:t>
      </w:r>
      <w:r w:rsidRPr="00053298">
        <w:rPr>
          <w:sz w:val="20"/>
          <w:szCs w:val="20"/>
        </w:rPr>
        <w:t>. Krótkie wyjazdy wypoczynkowe stanowiły ponad połowę wszystkich wizyt, ale znaczący udział miały również podróże służbowe (31%) oraz wizyty rodzinno-towarzyskie (15%).</w:t>
      </w:r>
    </w:p>
    <w:p w14:paraId="37326508" w14:textId="77777777" w:rsidR="00053298" w:rsidRPr="00053298" w:rsidRDefault="00053298" w:rsidP="00053298">
      <w:pPr>
        <w:spacing w:line="240" w:lineRule="auto"/>
        <w:jc w:val="both"/>
        <w:rPr>
          <w:sz w:val="20"/>
          <w:szCs w:val="20"/>
        </w:rPr>
      </w:pPr>
      <w:r w:rsidRPr="00053298">
        <w:rPr>
          <w:sz w:val="20"/>
          <w:szCs w:val="20"/>
        </w:rPr>
        <w:t>Silny wzrost ruchu turystycznego ma bezpośrednie przełożenie na sektor handlowy – zwłaszcza w centralnych dzielnicach miasta. Szacuje się, że turyści zagraniczni odpowiadają już za 22–25% całkowitego obrotu detalicznego w śródmieściu Warszawy. Najwięcej wydają na modę i akcesoria, gastronomię, dobra luksusowe oraz rozrywkę. To z kolei zwiększa atrakcyjność lokalizacji handlowych – zarówno dla międzynarodowych marek, jak i inwestorów.</w:t>
      </w:r>
    </w:p>
    <w:p w14:paraId="235AAC10" w14:textId="77777777" w:rsidR="00053298" w:rsidRPr="00053298" w:rsidRDefault="00053298" w:rsidP="00053298">
      <w:pPr>
        <w:spacing w:line="240" w:lineRule="auto"/>
        <w:jc w:val="both"/>
        <w:rPr>
          <w:sz w:val="20"/>
          <w:szCs w:val="20"/>
        </w:rPr>
      </w:pPr>
      <w:r w:rsidRPr="00053298">
        <w:rPr>
          <w:sz w:val="20"/>
          <w:szCs w:val="20"/>
        </w:rPr>
        <w:t xml:space="preserve">Wysoka dynamika przyjazdów do stolicy wiąże się także z rosnącą aktywnością segmentu MICE. Warszawa skutecznie przyciąga gości biznesowych dzięki rozwiniętej infrastrukturze konferencyjnej, bogatej ofercie wydarzeń branżowych oraz coraz większej dostępności połączeń lotniczych. Fakt, że niemal jedna trzecia turystów zagranicznych odwiedza miasto w celach służbowych, podkreśla potencjał stolicy jako regionalnego </w:t>
      </w:r>
      <w:proofErr w:type="spellStart"/>
      <w:r w:rsidRPr="00053298">
        <w:rPr>
          <w:sz w:val="20"/>
          <w:szCs w:val="20"/>
        </w:rPr>
        <w:t>hubu</w:t>
      </w:r>
      <w:proofErr w:type="spellEnd"/>
      <w:r w:rsidRPr="00053298">
        <w:rPr>
          <w:sz w:val="20"/>
          <w:szCs w:val="20"/>
        </w:rPr>
        <w:t xml:space="preserve"> dla sektora spotkań i konferencji.</w:t>
      </w:r>
    </w:p>
    <w:p w14:paraId="6887B894" w14:textId="77777777" w:rsidR="00053298" w:rsidRPr="00053298" w:rsidRDefault="00053298" w:rsidP="00053298">
      <w:pPr>
        <w:spacing w:line="240" w:lineRule="auto"/>
        <w:jc w:val="both"/>
        <w:rPr>
          <w:sz w:val="20"/>
          <w:szCs w:val="20"/>
        </w:rPr>
      </w:pPr>
      <w:r w:rsidRPr="00053298">
        <w:rPr>
          <w:sz w:val="20"/>
          <w:szCs w:val="20"/>
        </w:rPr>
        <w:t>Istotnym czynnikiem przewagi konkurencyjnej Warszawy na tle innych europejskich stolic jest także jakość infrastruktury miejskiej i jej ciągła modernizacja. Śródmieście, a zwłaszcza rejony wokół stacji metra Centrum i Świętokrzyska, to dziś najintensywniej uczęszczane przestrzenie piesze w Polsce – przykładem może być ulica Chmielna, którą odwiedza rocznie nawet 20 milionów osób. Miasto aktywnie inwestuje w poprawę jakości przestrzeni publicznej: zmodernizowano już Plac Pięciu Rogów, Plac Trzech Krzyży oraz Centralny Plac, a w planach są kolejne – m.in. Plac Teatralny, Plac Bankowy czy Hala Gwardii.</w:t>
      </w:r>
    </w:p>
    <w:p w14:paraId="39C0ECA5" w14:textId="77777777" w:rsidR="00053298" w:rsidRPr="00053298" w:rsidRDefault="00053298" w:rsidP="00053298">
      <w:pPr>
        <w:spacing w:line="240" w:lineRule="auto"/>
        <w:jc w:val="both"/>
        <w:rPr>
          <w:sz w:val="20"/>
          <w:szCs w:val="20"/>
        </w:rPr>
      </w:pPr>
      <w:r w:rsidRPr="00053298">
        <w:rPr>
          <w:i/>
          <w:iCs/>
          <w:sz w:val="20"/>
          <w:szCs w:val="20"/>
        </w:rPr>
        <w:t xml:space="preserve">– Warszawa nie tylko nadrabia straty z okresu pandemii – ona buduje nową jakość miejskiego doświadczenia. Inwestycje w przestrzenie publiczne, nowe projekty </w:t>
      </w:r>
      <w:proofErr w:type="spellStart"/>
      <w:r w:rsidRPr="00053298">
        <w:rPr>
          <w:i/>
          <w:iCs/>
          <w:sz w:val="20"/>
          <w:szCs w:val="20"/>
        </w:rPr>
        <w:t>placemakingowe</w:t>
      </w:r>
      <w:proofErr w:type="spellEnd"/>
      <w:r w:rsidRPr="00053298">
        <w:rPr>
          <w:i/>
          <w:iCs/>
          <w:sz w:val="20"/>
          <w:szCs w:val="20"/>
        </w:rPr>
        <w:t xml:space="preserve"> i rosnące znaczenie turystyki zakupowej to silne atuty, które będą wspierać sektor hotelowy także w kolejnych latach –</w:t>
      </w:r>
      <w:r w:rsidRPr="00053298">
        <w:rPr>
          <w:sz w:val="20"/>
          <w:szCs w:val="20"/>
        </w:rPr>
        <w:t xml:space="preserve"> komentuje </w:t>
      </w:r>
      <w:r w:rsidRPr="00053298">
        <w:rPr>
          <w:b/>
          <w:bCs/>
          <w:sz w:val="20"/>
          <w:szCs w:val="20"/>
        </w:rPr>
        <w:t xml:space="preserve">Michał </w:t>
      </w:r>
      <w:proofErr w:type="spellStart"/>
      <w:r w:rsidRPr="00053298">
        <w:rPr>
          <w:b/>
          <w:bCs/>
          <w:sz w:val="20"/>
          <w:szCs w:val="20"/>
        </w:rPr>
        <w:t>Masztakowski</w:t>
      </w:r>
      <w:proofErr w:type="spellEnd"/>
      <w:r w:rsidRPr="00053298">
        <w:rPr>
          <w:b/>
          <w:bCs/>
          <w:sz w:val="20"/>
          <w:szCs w:val="20"/>
        </w:rPr>
        <w:t xml:space="preserve">, </w:t>
      </w:r>
      <w:proofErr w:type="spellStart"/>
      <w:r w:rsidRPr="00053298">
        <w:rPr>
          <w:b/>
          <w:bCs/>
          <w:sz w:val="20"/>
          <w:szCs w:val="20"/>
        </w:rPr>
        <w:t>Head</w:t>
      </w:r>
      <w:proofErr w:type="spellEnd"/>
      <w:r w:rsidRPr="00053298">
        <w:rPr>
          <w:b/>
          <w:bCs/>
          <w:sz w:val="20"/>
          <w:szCs w:val="20"/>
        </w:rPr>
        <w:t xml:space="preserve"> of Retail </w:t>
      </w:r>
      <w:proofErr w:type="spellStart"/>
      <w:r w:rsidRPr="00053298">
        <w:rPr>
          <w:b/>
          <w:bCs/>
          <w:sz w:val="20"/>
          <w:szCs w:val="20"/>
        </w:rPr>
        <w:t>Agency</w:t>
      </w:r>
      <w:proofErr w:type="spellEnd"/>
      <w:r w:rsidRPr="00053298">
        <w:rPr>
          <w:b/>
          <w:bCs/>
          <w:sz w:val="20"/>
          <w:szCs w:val="20"/>
        </w:rPr>
        <w:t xml:space="preserve">, </w:t>
      </w:r>
      <w:proofErr w:type="spellStart"/>
      <w:r w:rsidRPr="00053298">
        <w:rPr>
          <w:b/>
          <w:bCs/>
          <w:sz w:val="20"/>
          <w:szCs w:val="20"/>
        </w:rPr>
        <w:t>Cushman</w:t>
      </w:r>
      <w:proofErr w:type="spellEnd"/>
      <w:r w:rsidRPr="00053298">
        <w:rPr>
          <w:b/>
          <w:bCs/>
          <w:sz w:val="20"/>
          <w:szCs w:val="20"/>
        </w:rPr>
        <w:t xml:space="preserve"> &amp; Wakefield</w:t>
      </w:r>
      <w:r w:rsidRPr="00053298">
        <w:rPr>
          <w:sz w:val="20"/>
          <w:szCs w:val="20"/>
        </w:rPr>
        <w:t>.</w:t>
      </w:r>
    </w:p>
    <w:p w14:paraId="1214EB0F" w14:textId="77777777" w:rsidR="00811347" w:rsidRPr="00487836" w:rsidRDefault="00811347" w:rsidP="00AE44C9">
      <w:pPr>
        <w:spacing w:line="240" w:lineRule="auto"/>
        <w:rPr>
          <w:b/>
          <w:bCs/>
          <w:sz w:val="20"/>
          <w:szCs w:val="20"/>
        </w:rPr>
      </w:pPr>
      <w:r w:rsidRPr="00487836">
        <w:rPr>
          <w:b/>
          <w:bCs/>
          <w:sz w:val="20"/>
          <w:szCs w:val="20"/>
        </w:rPr>
        <w:t>Trend "</w:t>
      </w:r>
      <w:proofErr w:type="spellStart"/>
      <w:r w:rsidRPr="00487836">
        <w:rPr>
          <w:b/>
          <w:bCs/>
          <w:sz w:val="20"/>
          <w:szCs w:val="20"/>
        </w:rPr>
        <w:t>Coolcation</w:t>
      </w:r>
      <w:proofErr w:type="spellEnd"/>
      <w:r w:rsidRPr="00487836">
        <w:rPr>
          <w:b/>
          <w:bCs/>
          <w:sz w:val="20"/>
          <w:szCs w:val="20"/>
        </w:rPr>
        <w:t>": Bałtyk alternatywą dla południa Europy</w:t>
      </w:r>
    </w:p>
    <w:p w14:paraId="478A5E10" w14:textId="38C87D1E" w:rsidR="00811347" w:rsidRPr="00487836" w:rsidRDefault="0046665F" w:rsidP="00AE44C9">
      <w:pPr>
        <w:spacing w:line="240" w:lineRule="auto"/>
        <w:jc w:val="both"/>
        <w:rPr>
          <w:sz w:val="20"/>
          <w:szCs w:val="20"/>
        </w:rPr>
      </w:pPr>
      <w:r>
        <w:rPr>
          <w:sz w:val="20"/>
          <w:szCs w:val="20"/>
        </w:rPr>
        <w:t>Jak podkreślają eksperci Cushman &amp; Wakefield w „</w:t>
      </w:r>
      <w:proofErr w:type="spellStart"/>
      <w:r>
        <w:rPr>
          <w:sz w:val="20"/>
          <w:szCs w:val="20"/>
        </w:rPr>
        <w:t>Trends</w:t>
      </w:r>
      <w:proofErr w:type="spellEnd"/>
      <w:r>
        <w:rPr>
          <w:sz w:val="20"/>
          <w:szCs w:val="20"/>
        </w:rPr>
        <w:t xml:space="preserve"> Radarze”, j</w:t>
      </w:r>
      <w:r w:rsidR="00811347" w:rsidRPr="00487836">
        <w:rPr>
          <w:sz w:val="20"/>
          <w:szCs w:val="20"/>
        </w:rPr>
        <w:t xml:space="preserve">ednym z wyraźnie widocznych trendów w sezonie letnim 2025 </w:t>
      </w:r>
      <w:r>
        <w:rPr>
          <w:sz w:val="20"/>
          <w:szCs w:val="20"/>
        </w:rPr>
        <w:t xml:space="preserve">roku </w:t>
      </w:r>
      <w:r w:rsidR="00811347" w:rsidRPr="00487836">
        <w:rPr>
          <w:sz w:val="20"/>
          <w:szCs w:val="20"/>
        </w:rPr>
        <w:t>jest zjawisko tzw. „</w:t>
      </w:r>
      <w:proofErr w:type="spellStart"/>
      <w:r w:rsidR="00811347" w:rsidRPr="00487836">
        <w:rPr>
          <w:sz w:val="20"/>
          <w:szCs w:val="20"/>
        </w:rPr>
        <w:t>coolcation</w:t>
      </w:r>
      <w:proofErr w:type="spellEnd"/>
      <w:r w:rsidR="00811347" w:rsidRPr="00487836">
        <w:rPr>
          <w:sz w:val="20"/>
          <w:szCs w:val="20"/>
        </w:rPr>
        <w:t>” – czyli świadomego wybierania chłodniejszych kierunków wakacyjnych w odpowiedzi na fale upałów w krajach południowej Europy.</w:t>
      </w:r>
    </w:p>
    <w:p w14:paraId="6E2810AF" w14:textId="7FDE721C" w:rsidR="00811347" w:rsidRDefault="00811347" w:rsidP="00AE44C9">
      <w:pPr>
        <w:spacing w:line="240" w:lineRule="auto"/>
        <w:jc w:val="both"/>
        <w:rPr>
          <w:b/>
          <w:bCs/>
          <w:sz w:val="20"/>
          <w:szCs w:val="20"/>
        </w:rPr>
      </w:pPr>
      <w:r w:rsidRPr="00487836">
        <w:rPr>
          <w:sz w:val="20"/>
          <w:szCs w:val="20"/>
        </w:rPr>
        <w:t>–</w:t>
      </w:r>
      <w:r>
        <w:rPr>
          <w:sz w:val="20"/>
          <w:szCs w:val="20"/>
        </w:rPr>
        <w:t xml:space="preserve"> </w:t>
      </w:r>
      <w:r w:rsidRPr="00487836">
        <w:rPr>
          <w:i/>
          <w:iCs/>
          <w:sz w:val="20"/>
          <w:szCs w:val="20"/>
        </w:rPr>
        <w:t>Wybrzeże Bałtyku, w tym Trójmiasto i mniejsze kurorty, odnotowało 30-procentowy wzrost liczby odwiedzających, a obłożenie hoteli powróciło do poziomów sprzed pandemii. Zjawisko to potwierdza rosnące znaczenie lokalnych destynacji wakacyjnych i zwiększone zainteresowanie</w:t>
      </w:r>
      <w:r w:rsidR="0046665F">
        <w:rPr>
          <w:i/>
          <w:iCs/>
          <w:sz w:val="20"/>
          <w:szCs w:val="20"/>
        </w:rPr>
        <w:t xml:space="preserve"> nie tylko ze strony gości zagranicznych, ale też i</w:t>
      </w:r>
      <w:r w:rsidRPr="00487836">
        <w:rPr>
          <w:i/>
          <w:iCs/>
          <w:sz w:val="20"/>
          <w:szCs w:val="20"/>
        </w:rPr>
        <w:t xml:space="preserve"> </w:t>
      </w:r>
      <w:r w:rsidR="0046665F">
        <w:rPr>
          <w:i/>
          <w:iCs/>
          <w:sz w:val="20"/>
          <w:szCs w:val="20"/>
        </w:rPr>
        <w:t>krajowych</w:t>
      </w:r>
      <w:r w:rsidRPr="00487836">
        <w:rPr>
          <w:i/>
          <w:iCs/>
          <w:sz w:val="20"/>
          <w:szCs w:val="20"/>
        </w:rPr>
        <w:t>, zwłaszcza rodzin i podróżujących z dziećmi</w:t>
      </w:r>
      <w:r>
        <w:rPr>
          <w:sz w:val="20"/>
          <w:szCs w:val="20"/>
        </w:rPr>
        <w:t xml:space="preserve"> </w:t>
      </w:r>
      <w:r w:rsidRPr="00487836">
        <w:rPr>
          <w:sz w:val="20"/>
          <w:szCs w:val="20"/>
        </w:rPr>
        <w:t>–</w:t>
      </w:r>
      <w:r>
        <w:rPr>
          <w:sz w:val="20"/>
          <w:szCs w:val="20"/>
        </w:rPr>
        <w:t xml:space="preserve"> dodaje </w:t>
      </w:r>
      <w:r w:rsidRPr="00811347">
        <w:rPr>
          <w:b/>
          <w:bCs/>
          <w:sz w:val="20"/>
          <w:szCs w:val="20"/>
        </w:rPr>
        <w:t>Ewa Derlatka-</w:t>
      </w:r>
      <w:proofErr w:type="spellStart"/>
      <w:r w:rsidRPr="00811347">
        <w:rPr>
          <w:b/>
          <w:bCs/>
          <w:sz w:val="20"/>
          <w:szCs w:val="20"/>
        </w:rPr>
        <w:t>Chilewicz</w:t>
      </w:r>
      <w:proofErr w:type="spellEnd"/>
      <w:r w:rsidR="007E6E12">
        <w:rPr>
          <w:b/>
          <w:bCs/>
          <w:sz w:val="20"/>
          <w:szCs w:val="20"/>
        </w:rPr>
        <w:t xml:space="preserve">, </w:t>
      </w:r>
      <w:proofErr w:type="spellStart"/>
      <w:r w:rsidR="007E6E12">
        <w:rPr>
          <w:b/>
          <w:bCs/>
          <w:sz w:val="20"/>
          <w:szCs w:val="20"/>
        </w:rPr>
        <w:t>Head</w:t>
      </w:r>
      <w:proofErr w:type="spellEnd"/>
      <w:r w:rsidR="007E6E12">
        <w:rPr>
          <w:b/>
          <w:bCs/>
          <w:sz w:val="20"/>
          <w:szCs w:val="20"/>
        </w:rPr>
        <w:t xml:space="preserve"> of </w:t>
      </w:r>
      <w:proofErr w:type="spellStart"/>
      <w:r w:rsidR="007E6E12">
        <w:rPr>
          <w:b/>
          <w:bCs/>
          <w:sz w:val="20"/>
          <w:szCs w:val="20"/>
        </w:rPr>
        <w:t>Research</w:t>
      </w:r>
      <w:proofErr w:type="spellEnd"/>
      <w:r w:rsidR="007E6E12">
        <w:rPr>
          <w:b/>
          <w:bCs/>
          <w:sz w:val="20"/>
          <w:szCs w:val="20"/>
        </w:rPr>
        <w:t xml:space="preserve">, </w:t>
      </w:r>
      <w:proofErr w:type="spellStart"/>
      <w:r w:rsidR="007E6E12" w:rsidRPr="00487836">
        <w:rPr>
          <w:b/>
          <w:bCs/>
          <w:sz w:val="20"/>
          <w:szCs w:val="20"/>
        </w:rPr>
        <w:t>Cushman</w:t>
      </w:r>
      <w:proofErr w:type="spellEnd"/>
      <w:r w:rsidR="007E6E12" w:rsidRPr="00487836">
        <w:rPr>
          <w:b/>
          <w:bCs/>
          <w:sz w:val="20"/>
          <w:szCs w:val="20"/>
        </w:rPr>
        <w:t xml:space="preserve"> &amp; Wakefield</w:t>
      </w:r>
      <w:r w:rsidRPr="00811347">
        <w:rPr>
          <w:b/>
          <w:bCs/>
          <w:sz w:val="20"/>
          <w:szCs w:val="20"/>
        </w:rPr>
        <w:t>.</w:t>
      </w:r>
    </w:p>
    <w:p w14:paraId="0414DBD0" w14:textId="77777777" w:rsidR="001E6096" w:rsidRDefault="001E6096" w:rsidP="00AE44C9">
      <w:pPr>
        <w:spacing w:line="240" w:lineRule="auto"/>
        <w:jc w:val="both"/>
        <w:rPr>
          <w:b/>
          <w:bCs/>
          <w:sz w:val="20"/>
          <w:szCs w:val="20"/>
        </w:rPr>
      </w:pPr>
    </w:p>
    <w:p w14:paraId="799AC4A9" w14:textId="77777777" w:rsidR="001E6096" w:rsidRPr="00487836" w:rsidRDefault="001E6096" w:rsidP="00AE44C9">
      <w:pPr>
        <w:spacing w:line="240" w:lineRule="auto"/>
        <w:jc w:val="both"/>
        <w:rPr>
          <w:b/>
          <w:bCs/>
          <w:sz w:val="20"/>
          <w:szCs w:val="20"/>
        </w:rPr>
      </w:pPr>
    </w:p>
    <w:p w14:paraId="67EB2EC0" w14:textId="77777777" w:rsidR="00487836" w:rsidRPr="00487836" w:rsidRDefault="00487836" w:rsidP="00AE44C9">
      <w:pPr>
        <w:spacing w:line="240" w:lineRule="auto"/>
        <w:rPr>
          <w:b/>
          <w:bCs/>
          <w:sz w:val="20"/>
          <w:szCs w:val="20"/>
        </w:rPr>
      </w:pPr>
      <w:r w:rsidRPr="00487836">
        <w:rPr>
          <w:b/>
          <w:bCs/>
          <w:sz w:val="20"/>
          <w:szCs w:val="20"/>
        </w:rPr>
        <w:t>Perspektywy inwestycyjne: kapitał wraca do hoteli</w:t>
      </w:r>
    </w:p>
    <w:p w14:paraId="446D66BF" w14:textId="77777777" w:rsidR="00487836" w:rsidRPr="00487836" w:rsidRDefault="00487836" w:rsidP="00AE44C9">
      <w:pPr>
        <w:spacing w:line="240" w:lineRule="auto"/>
        <w:jc w:val="both"/>
        <w:rPr>
          <w:sz w:val="20"/>
          <w:szCs w:val="20"/>
        </w:rPr>
      </w:pPr>
      <w:r w:rsidRPr="00487836">
        <w:rPr>
          <w:sz w:val="20"/>
          <w:szCs w:val="20"/>
        </w:rPr>
        <w:t>W I połowie 2025 roku wolumen transakcyjny w segmencie hotelowym wyniósł ok. 80 mln EUR – dwukrotnie więcej niż w analogicznym okresie 2024 roku. Zwiększona aktywność inwestorów świadczy o odbudowie zaufania do rynku oraz oczekiwaniu na kompresję stóp kapitalizacji w kolejnych kwartałach.</w:t>
      </w:r>
    </w:p>
    <w:p w14:paraId="340B95EA" w14:textId="6DC50FF4" w:rsidR="00487836" w:rsidRPr="00487836" w:rsidRDefault="00487836" w:rsidP="00AE44C9">
      <w:pPr>
        <w:spacing w:line="240" w:lineRule="auto"/>
        <w:jc w:val="both"/>
        <w:rPr>
          <w:sz w:val="20"/>
          <w:szCs w:val="20"/>
        </w:rPr>
      </w:pPr>
      <w:r w:rsidRPr="00487836">
        <w:rPr>
          <w:sz w:val="20"/>
          <w:szCs w:val="20"/>
        </w:rPr>
        <w:t>Silnym katalizatorem dla</w:t>
      </w:r>
      <w:r w:rsidR="00ED4F97" w:rsidRPr="00ED4F97">
        <w:rPr>
          <w:sz w:val="20"/>
          <w:szCs w:val="20"/>
        </w:rPr>
        <w:t xml:space="preserve"> dalszych</w:t>
      </w:r>
      <w:r w:rsidRPr="00487836">
        <w:rPr>
          <w:sz w:val="20"/>
          <w:szCs w:val="20"/>
        </w:rPr>
        <w:t xml:space="preserve"> inwestycji </w:t>
      </w:r>
      <w:r w:rsidR="00ED4F97" w:rsidRPr="00ED4F97">
        <w:rPr>
          <w:sz w:val="20"/>
          <w:szCs w:val="20"/>
        </w:rPr>
        <w:t>będzie</w:t>
      </w:r>
      <w:r w:rsidRPr="00487836">
        <w:rPr>
          <w:sz w:val="20"/>
          <w:szCs w:val="20"/>
        </w:rPr>
        <w:t xml:space="preserve"> rozwój infrastruktury transportowej, w tym przede wszystkim budowa Centralnego Portu Komunikacyjnego (CPK). Projekt zakładający powstanie największego lotniska przesiadkowego w Europie Środkowo-Wschodniej, w połączeniu z siecią szybkich kolei, może istotnie przekształcić mapę turystyczną i hotelową Polski. Według prognoz CPK do 2035 roku port może obsługiwać nawet 40 mln pasażerów rocznie.</w:t>
      </w:r>
    </w:p>
    <w:p w14:paraId="3B82F465" w14:textId="2729ECF0" w:rsidR="00487836" w:rsidRPr="00487836" w:rsidRDefault="00ED4F97" w:rsidP="00AE44C9">
      <w:pPr>
        <w:spacing w:line="240" w:lineRule="auto"/>
        <w:jc w:val="both"/>
        <w:rPr>
          <w:sz w:val="20"/>
          <w:szCs w:val="20"/>
        </w:rPr>
      </w:pPr>
      <w:r w:rsidRPr="00487836">
        <w:rPr>
          <w:i/>
          <w:iCs/>
          <w:sz w:val="20"/>
          <w:szCs w:val="20"/>
        </w:rPr>
        <w:t>–</w:t>
      </w:r>
      <w:r w:rsidRPr="00ED4F97">
        <w:rPr>
          <w:i/>
          <w:iCs/>
          <w:sz w:val="20"/>
          <w:szCs w:val="20"/>
        </w:rPr>
        <w:t xml:space="preserve"> </w:t>
      </w:r>
      <w:r w:rsidR="00487836" w:rsidRPr="00487836">
        <w:rPr>
          <w:i/>
          <w:iCs/>
          <w:sz w:val="20"/>
          <w:szCs w:val="20"/>
        </w:rPr>
        <w:t>Realizacja CPK będzie miała długofalowy wpływ na rynek hotelowy – nie tylko w Warszawie, ale również w pasie centralnym kraju. To impuls do rozwoju nowych projektów hotelowych w lokalizacjach wcześniej nieoczywistych, zwiększenia inwestycji w segment business &amp; transit oraz rozbudowy zaplecza konferencyjnego</w:t>
      </w:r>
      <w:r w:rsidR="00487836" w:rsidRPr="00487836">
        <w:rPr>
          <w:sz w:val="20"/>
          <w:szCs w:val="20"/>
        </w:rPr>
        <w:t xml:space="preserve"> – komentuje </w:t>
      </w:r>
      <w:r>
        <w:rPr>
          <w:b/>
          <w:bCs/>
          <w:sz w:val="20"/>
          <w:szCs w:val="20"/>
        </w:rPr>
        <w:t xml:space="preserve">Marcin </w:t>
      </w:r>
      <w:proofErr w:type="spellStart"/>
      <w:r>
        <w:rPr>
          <w:b/>
          <w:bCs/>
          <w:sz w:val="20"/>
          <w:szCs w:val="20"/>
        </w:rPr>
        <w:t>Kocerba</w:t>
      </w:r>
      <w:proofErr w:type="spellEnd"/>
      <w:r>
        <w:rPr>
          <w:b/>
          <w:bCs/>
          <w:sz w:val="20"/>
          <w:szCs w:val="20"/>
        </w:rPr>
        <w:t xml:space="preserve">, Partner, Capital </w:t>
      </w:r>
      <w:proofErr w:type="spellStart"/>
      <w:r>
        <w:rPr>
          <w:b/>
          <w:bCs/>
          <w:sz w:val="20"/>
          <w:szCs w:val="20"/>
        </w:rPr>
        <w:t>Markets</w:t>
      </w:r>
      <w:proofErr w:type="spellEnd"/>
      <w:r>
        <w:rPr>
          <w:b/>
          <w:bCs/>
          <w:sz w:val="20"/>
          <w:szCs w:val="20"/>
        </w:rPr>
        <w:t>, Cushman &amp; Wakefield</w:t>
      </w:r>
      <w:r>
        <w:rPr>
          <w:sz w:val="20"/>
          <w:szCs w:val="20"/>
        </w:rPr>
        <w:t>.</w:t>
      </w:r>
    </w:p>
    <w:p w14:paraId="0F47977A" w14:textId="0983F847" w:rsidR="00487836" w:rsidRDefault="00487836" w:rsidP="00AE44C9">
      <w:pPr>
        <w:spacing w:line="240" w:lineRule="auto"/>
        <w:jc w:val="both"/>
        <w:rPr>
          <w:sz w:val="20"/>
          <w:szCs w:val="20"/>
        </w:rPr>
      </w:pPr>
      <w:r w:rsidRPr="00487836">
        <w:rPr>
          <w:sz w:val="20"/>
          <w:szCs w:val="20"/>
        </w:rPr>
        <w:t>Dodatkowo, aż 56 nowych połączeń lotniczych uruchomionych w 2025 roku (w tym rejsy długodystansowe) oraz zapowiedź kolejnych 30 w 2026 roku budują trwałe podstawy dla rosnącego popytu turystycznego i hotelowego – zarówno w Warszawie, jak i w miastach regionalnych.</w:t>
      </w:r>
    </w:p>
    <w:p w14:paraId="2E690A5A" w14:textId="0E2A0AAA" w:rsidR="00930A5C" w:rsidRPr="00930A5C" w:rsidRDefault="00930A5C" w:rsidP="00930A5C">
      <w:pPr>
        <w:spacing w:line="240" w:lineRule="auto"/>
        <w:jc w:val="both"/>
        <w:rPr>
          <w:sz w:val="20"/>
          <w:szCs w:val="20"/>
        </w:rPr>
      </w:pPr>
      <w:r w:rsidRPr="00930A5C">
        <w:rPr>
          <w:b/>
          <w:bCs/>
          <w:sz w:val="20"/>
          <w:szCs w:val="20"/>
        </w:rPr>
        <w:t xml:space="preserve">Trendy długoterminowe: </w:t>
      </w:r>
      <w:proofErr w:type="spellStart"/>
      <w:r w:rsidR="0046665F">
        <w:rPr>
          <w:b/>
          <w:bCs/>
          <w:sz w:val="20"/>
          <w:szCs w:val="20"/>
        </w:rPr>
        <w:t>bleisure</w:t>
      </w:r>
      <w:proofErr w:type="spellEnd"/>
      <w:r w:rsidR="0046665F">
        <w:rPr>
          <w:b/>
          <w:bCs/>
          <w:sz w:val="20"/>
          <w:szCs w:val="20"/>
        </w:rPr>
        <w:t xml:space="preserve">, </w:t>
      </w:r>
      <w:r w:rsidRPr="00930A5C">
        <w:rPr>
          <w:b/>
          <w:bCs/>
          <w:sz w:val="20"/>
          <w:szCs w:val="20"/>
        </w:rPr>
        <w:t>elastyczność, odpowiedzialność i hybrydyzacja</w:t>
      </w:r>
    </w:p>
    <w:p w14:paraId="42A88F2A" w14:textId="77777777" w:rsidR="00930A5C" w:rsidRDefault="00930A5C" w:rsidP="00930A5C">
      <w:pPr>
        <w:spacing w:line="240" w:lineRule="auto"/>
        <w:jc w:val="both"/>
        <w:rPr>
          <w:sz w:val="20"/>
          <w:szCs w:val="20"/>
        </w:rPr>
      </w:pPr>
      <w:r w:rsidRPr="00930A5C">
        <w:rPr>
          <w:sz w:val="20"/>
          <w:szCs w:val="20"/>
        </w:rPr>
        <w:t xml:space="preserve">Podróżowanie w Europie wchodzi w nową erę świadomych wyborów. Według raportu </w:t>
      </w:r>
      <w:proofErr w:type="spellStart"/>
      <w:r w:rsidRPr="00930A5C">
        <w:rPr>
          <w:sz w:val="20"/>
          <w:szCs w:val="20"/>
        </w:rPr>
        <w:t>European</w:t>
      </w:r>
      <w:proofErr w:type="spellEnd"/>
      <w:r w:rsidRPr="00930A5C">
        <w:rPr>
          <w:sz w:val="20"/>
          <w:szCs w:val="20"/>
        </w:rPr>
        <w:t xml:space="preserve"> Travel </w:t>
      </w:r>
      <w:proofErr w:type="spellStart"/>
      <w:r w:rsidRPr="00930A5C">
        <w:rPr>
          <w:sz w:val="20"/>
          <w:szCs w:val="20"/>
        </w:rPr>
        <w:t>Commission</w:t>
      </w:r>
      <w:proofErr w:type="spellEnd"/>
      <w:r w:rsidRPr="00930A5C">
        <w:rPr>
          <w:sz w:val="20"/>
          <w:szCs w:val="20"/>
        </w:rPr>
        <w:t xml:space="preserve">, rok 2025 zdominują dłuższe pobyty, wyższe budżety oraz klimatycznie odpowiedzialne decyzje. Aż 81% Europejczyków deklaruje, że bierze pod uwagę wpływ swoich podróży na środowisko. </w:t>
      </w:r>
    </w:p>
    <w:p w14:paraId="258AD81E" w14:textId="6310FEF1" w:rsidR="000E64A9" w:rsidRPr="000E64A9" w:rsidRDefault="000E64A9" w:rsidP="000E64A9">
      <w:pPr>
        <w:spacing w:line="240" w:lineRule="auto"/>
        <w:jc w:val="both"/>
        <w:rPr>
          <w:sz w:val="20"/>
          <w:szCs w:val="20"/>
        </w:rPr>
      </w:pPr>
      <w:r w:rsidRPr="000E64A9">
        <w:rPr>
          <w:sz w:val="20"/>
          <w:szCs w:val="20"/>
        </w:rPr>
        <w:t xml:space="preserve">Hotele należą do najbardziej energochłonnych obiektów, a koszty energii stanowią jedną z najwyższych pozycji w ich strukturze wydatków. Zgodnie z indeksem ESG </w:t>
      </w:r>
      <w:proofErr w:type="spellStart"/>
      <w:r w:rsidRPr="000E64A9">
        <w:rPr>
          <w:sz w:val="20"/>
          <w:szCs w:val="20"/>
        </w:rPr>
        <w:t>Deepki</w:t>
      </w:r>
      <w:proofErr w:type="spellEnd"/>
      <w:r w:rsidRPr="000E64A9">
        <w:rPr>
          <w:sz w:val="20"/>
          <w:szCs w:val="20"/>
        </w:rPr>
        <w:t xml:space="preserve">, sektor hotelowy odnotowuje najwyższe średnie zużycie energii w porównaniu z innymi segmentami rynku nieruchomości komercyjnych w Europie. W obliczu rosnących cen energii oraz presji związanej z przeciwdziałaniem zmianom klimatycznym, coraz więcej hoteli poszukuje sposobów na ograniczenie zużycia energii i emisji. Dodatkowym wyzwaniem jest wysokie zużycie wody, które stanowi istotny koszt operacyjny i problem środowiskowy, szczególnie w kontekście rosnącego ryzyka występowania suszy w wielu regionach Europy. Według badań opublikowanych w </w:t>
      </w:r>
      <w:proofErr w:type="spellStart"/>
      <w:r w:rsidRPr="000E64A9">
        <w:rPr>
          <w:sz w:val="20"/>
          <w:szCs w:val="20"/>
        </w:rPr>
        <w:t>Tourism</w:t>
      </w:r>
      <w:proofErr w:type="spellEnd"/>
      <w:r w:rsidRPr="000E64A9">
        <w:rPr>
          <w:sz w:val="20"/>
          <w:szCs w:val="20"/>
        </w:rPr>
        <w:t xml:space="preserve"> Management, w europejskiej branży hotelarskiej zużycie wody wynosi średnio około 300 litrów na gościa na dobę, w zależności od standardu obiektu. To wartość znacząco przewyższająca przeciętne zużycie wody przez lokalnego mieszkańca, które wynosi około 144 litrów dziennie.</w:t>
      </w:r>
    </w:p>
    <w:p w14:paraId="0EBEFAA3" w14:textId="15AE8B0F" w:rsidR="00930A5C" w:rsidRPr="000E64A9" w:rsidRDefault="000E64A9" w:rsidP="00930A5C">
      <w:pPr>
        <w:spacing w:line="240" w:lineRule="auto"/>
        <w:jc w:val="both"/>
        <w:rPr>
          <w:i/>
          <w:iCs/>
          <w:sz w:val="20"/>
          <w:szCs w:val="20"/>
        </w:rPr>
      </w:pPr>
      <w:r w:rsidRPr="000E64A9">
        <w:rPr>
          <w:i/>
          <w:iCs/>
          <w:sz w:val="20"/>
          <w:szCs w:val="20"/>
        </w:rPr>
        <w:t>“</w:t>
      </w:r>
      <w:r w:rsidRPr="000E64A9">
        <w:rPr>
          <w:i/>
          <w:iCs/>
          <w:sz w:val="20"/>
          <w:szCs w:val="20"/>
        </w:rPr>
        <w:t xml:space="preserve">Jednym z kluczowych narzędzi wspierających redukcję zużycia energii i wody oraz ograniczenie wpływu na środowisko są certyfikaty środowiskowe, takie jak BREEAM czy LEED. Branża hotelowa wykazuje trend wzrostowy w zakresie liczby certyfikacji w tych systemach, choć wciąż pozostaje daleko w tyle za segmentami logistyki czy biur. Warto podkreślić, że tylko w 2024 roku w Polsce liczba certyfikowanych obiektów </w:t>
      </w:r>
      <w:proofErr w:type="spellStart"/>
      <w:r w:rsidRPr="000E64A9">
        <w:rPr>
          <w:i/>
          <w:iCs/>
          <w:sz w:val="20"/>
          <w:szCs w:val="20"/>
        </w:rPr>
        <w:t>hospitality</w:t>
      </w:r>
      <w:proofErr w:type="spellEnd"/>
      <w:r w:rsidRPr="000E64A9">
        <w:rPr>
          <w:i/>
          <w:iCs/>
          <w:sz w:val="20"/>
          <w:szCs w:val="20"/>
        </w:rPr>
        <w:t xml:space="preserve"> wzrosła o 21%. Co więcej, Warszawa pozostaje liderem wśród sześciu stolic Europy Środkowo-Wschodniej pod względem liczby certyfikowanych hoteli, co potwierdza rosnące znaczenie ESG w strategiach rozwoju tego </w:t>
      </w:r>
      <w:r w:rsidRPr="000E64A9">
        <w:rPr>
          <w:i/>
          <w:iCs/>
          <w:sz w:val="20"/>
          <w:szCs w:val="20"/>
        </w:rPr>
        <w:lastRenderedPageBreak/>
        <w:t>sektora</w:t>
      </w:r>
      <w:r w:rsidRPr="000E64A9">
        <w:rPr>
          <w:i/>
          <w:iCs/>
          <w:sz w:val="20"/>
          <w:szCs w:val="20"/>
        </w:rPr>
        <w:t xml:space="preserve">” </w:t>
      </w:r>
      <w:r w:rsidR="00930A5C" w:rsidRPr="000E64A9">
        <w:rPr>
          <w:sz w:val="20"/>
          <w:szCs w:val="20"/>
        </w:rPr>
        <w:t xml:space="preserve">– tłumaczy </w:t>
      </w:r>
      <w:r w:rsidR="00930A5C" w:rsidRPr="000E64A9">
        <w:rPr>
          <w:b/>
          <w:bCs/>
          <w:sz w:val="20"/>
          <w:szCs w:val="20"/>
        </w:rPr>
        <w:t xml:space="preserve">Katarzyna Lipka, </w:t>
      </w:r>
      <w:proofErr w:type="spellStart"/>
      <w:r w:rsidR="00053298" w:rsidRPr="000E64A9">
        <w:rPr>
          <w:b/>
          <w:bCs/>
          <w:sz w:val="20"/>
          <w:szCs w:val="20"/>
        </w:rPr>
        <w:t>Head</w:t>
      </w:r>
      <w:proofErr w:type="spellEnd"/>
      <w:r w:rsidR="00053298" w:rsidRPr="000E64A9">
        <w:rPr>
          <w:b/>
          <w:bCs/>
          <w:sz w:val="20"/>
          <w:szCs w:val="20"/>
        </w:rPr>
        <w:t xml:space="preserve"> of Strategic Consulting and ESG </w:t>
      </w:r>
      <w:proofErr w:type="spellStart"/>
      <w:r w:rsidR="00053298" w:rsidRPr="000E64A9">
        <w:rPr>
          <w:b/>
          <w:bCs/>
          <w:sz w:val="20"/>
          <w:szCs w:val="20"/>
        </w:rPr>
        <w:t>Advisory</w:t>
      </w:r>
      <w:proofErr w:type="spellEnd"/>
      <w:r w:rsidR="00053298" w:rsidRPr="000E64A9">
        <w:rPr>
          <w:b/>
          <w:bCs/>
          <w:sz w:val="20"/>
          <w:szCs w:val="20"/>
        </w:rPr>
        <w:t xml:space="preserve">, </w:t>
      </w:r>
      <w:proofErr w:type="spellStart"/>
      <w:r w:rsidR="00053298" w:rsidRPr="000E64A9">
        <w:rPr>
          <w:b/>
          <w:bCs/>
          <w:sz w:val="20"/>
          <w:szCs w:val="20"/>
        </w:rPr>
        <w:t>Cushman</w:t>
      </w:r>
      <w:proofErr w:type="spellEnd"/>
      <w:r w:rsidR="00053298" w:rsidRPr="000E64A9">
        <w:rPr>
          <w:b/>
          <w:bCs/>
          <w:sz w:val="20"/>
          <w:szCs w:val="20"/>
        </w:rPr>
        <w:t xml:space="preserve"> &amp; Wakefield.</w:t>
      </w:r>
    </w:p>
    <w:p w14:paraId="4FA1EDD2" w14:textId="77777777" w:rsidR="00930A5C" w:rsidRPr="00930A5C" w:rsidRDefault="00930A5C" w:rsidP="00930A5C">
      <w:pPr>
        <w:spacing w:line="240" w:lineRule="auto"/>
        <w:jc w:val="both"/>
        <w:rPr>
          <w:sz w:val="20"/>
          <w:szCs w:val="20"/>
        </w:rPr>
      </w:pPr>
      <w:r w:rsidRPr="00930A5C">
        <w:rPr>
          <w:sz w:val="20"/>
          <w:szCs w:val="20"/>
        </w:rPr>
        <w:t xml:space="preserve">Kolejnym wyraźnym trendem jest </w:t>
      </w:r>
      <w:proofErr w:type="spellStart"/>
      <w:r w:rsidRPr="00930A5C">
        <w:rPr>
          <w:sz w:val="20"/>
          <w:szCs w:val="20"/>
        </w:rPr>
        <w:t>bleisure</w:t>
      </w:r>
      <w:proofErr w:type="spellEnd"/>
      <w:r w:rsidRPr="00930A5C">
        <w:rPr>
          <w:sz w:val="20"/>
          <w:szCs w:val="20"/>
        </w:rPr>
        <w:t>, czyli łączenie podróży służbowych z wypoczynkiem. Rozwój elastycznych modeli pracy i rosnąca troska firm o dobrostan pracowników sprawiają, że coraz więcej profesjonalistów decyduje się na przedłużenie delegacji o kilka dni odpoczynku. Taki model przynosi korzyści zarówno pracownikom – zwiększając ich zaangażowanie i redukując stres – jak i pracodawcom, wzmacniając ich wizerunek jako nowoczesnych i otwartych na potrzeby kadry. Dłuższe pobyty często nie generują dużych dodatkowych kosztów, co czyni ten model szczególnie atrakcyjnym z punktu widzenia firm.</w:t>
      </w:r>
    </w:p>
    <w:p w14:paraId="122D6A62" w14:textId="77777777" w:rsidR="00930A5C" w:rsidRPr="00930A5C" w:rsidRDefault="00930A5C" w:rsidP="00930A5C">
      <w:pPr>
        <w:spacing w:line="240" w:lineRule="auto"/>
        <w:jc w:val="both"/>
        <w:rPr>
          <w:sz w:val="20"/>
          <w:szCs w:val="20"/>
        </w:rPr>
      </w:pPr>
      <w:r w:rsidRPr="00930A5C">
        <w:rPr>
          <w:sz w:val="20"/>
          <w:szCs w:val="20"/>
        </w:rPr>
        <w:t xml:space="preserve">Równolegle zacierają się granice między hotelarstwem a najmem mieszkaniowym. Rosnącą popularność zdobywają apartamenty serwisowane oraz koncepty długiego pobytu, które oferują większą przestrzeń, prywatność i możliwość samodzielnego przygotowywania posiłków. Hotele miejskie coraz częściej odchodzą od tradycyjnego modelu zamkniętego kompleksu – współpracują z lokalnymi restauracjami, projektują przestrzenie coworkingowe i strefy społeczne, odpowiadając na potrzeby niezależnych podróżnych i obniżając koszty operacyjne. Inwestorzy odpowiadają na ten trend, rozwijając budynki typu </w:t>
      </w:r>
      <w:proofErr w:type="spellStart"/>
      <w:r w:rsidRPr="00930A5C">
        <w:rPr>
          <w:sz w:val="20"/>
          <w:szCs w:val="20"/>
        </w:rPr>
        <w:t>mixed-use</w:t>
      </w:r>
      <w:proofErr w:type="spellEnd"/>
      <w:r w:rsidRPr="00930A5C">
        <w:rPr>
          <w:sz w:val="20"/>
          <w:szCs w:val="20"/>
        </w:rPr>
        <w:t>, które łączą funkcje hotelowe, mieszkaniowe i serwisowane, tworząc elastyczne, zintegrowane przestrzenie.</w:t>
      </w:r>
    </w:p>
    <w:p w14:paraId="7356E3F3" w14:textId="77777777" w:rsidR="00930A5C" w:rsidRDefault="00930A5C" w:rsidP="00930A5C">
      <w:pPr>
        <w:spacing w:line="240" w:lineRule="auto"/>
        <w:jc w:val="both"/>
        <w:rPr>
          <w:sz w:val="20"/>
          <w:szCs w:val="20"/>
        </w:rPr>
      </w:pPr>
      <w:r w:rsidRPr="00930A5C">
        <w:rPr>
          <w:sz w:val="20"/>
          <w:szCs w:val="20"/>
        </w:rPr>
        <w:t xml:space="preserve">Na polskim rynku te zmiany już są widoczne. We Wrocławiu Marriott otworzył obiekt Element by </w:t>
      </w:r>
      <w:proofErr w:type="spellStart"/>
      <w:r w:rsidRPr="00930A5C">
        <w:rPr>
          <w:sz w:val="20"/>
          <w:szCs w:val="20"/>
        </w:rPr>
        <w:t>Westin</w:t>
      </w:r>
      <w:proofErr w:type="spellEnd"/>
      <w:r w:rsidRPr="00930A5C">
        <w:rPr>
          <w:sz w:val="20"/>
          <w:szCs w:val="20"/>
        </w:rPr>
        <w:t xml:space="preserve"> – </w:t>
      </w:r>
      <w:proofErr w:type="spellStart"/>
      <w:r w:rsidRPr="00930A5C">
        <w:rPr>
          <w:sz w:val="20"/>
          <w:szCs w:val="20"/>
        </w:rPr>
        <w:t>aparthotel</w:t>
      </w:r>
      <w:proofErr w:type="spellEnd"/>
      <w:r w:rsidRPr="00930A5C">
        <w:rPr>
          <w:sz w:val="20"/>
          <w:szCs w:val="20"/>
        </w:rPr>
        <w:t xml:space="preserve"> z 115 studiami wyposażonymi w pełne kuchnie, zaprojektowany z myślą o dłuższych, niezależnych pobytach. W Warszawie </w:t>
      </w:r>
      <w:proofErr w:type="spellStart"/>
      <w:r w:rsidRPr="00930A5C">
        <w:rPr>
          <w:sz w:val="20"/>
          <w:szCs w:val="20"/>
        </w:rPr>
        <w:t>Staycity</w:t>
      </w:r>
      <w:proofErr w:type="spellEnd"/>
      <w:r w:rsidRPr="00930A5C">
        <w:rPr>
          <w:sz w:val="20"/>
          <w:szCs w:val="20"/>
        </w:rPr>
        <w:t xml:space="preserve"> </w:t>
      </w:r>
      <w:proofErr w:type="spellStart"/>
      <w:r w:rsidRPr="00930A5C">
        <w:rPr>
          <w:sz w:val="20"/>
          <w:szCs w:val="20"/>
        </w:rPr>
        <w:t>Group</w:t>
      </w:r>
      <w:proofErr w:type="spellEnd"/>
      <w:r w:rsidRPr="00930A5C">
        <w:rPr>
          <w:sz w:val="20"/>
          <w:szCs w:val="20"/>
        </w:rPr>
        <w:t xml:space="preserve"> adaptuje dawny biurowiec na </w:t>
      </w:r>
      <w:proofErr w:type="spellStart"/>
      <w:r w:rsidRPr="00930A5C">
        <w:rPr>
          <w:sz w:val="20"/>
          <w:szCs w:val="20"/>
        </w:rPr>
        <w:t>aparthotel</w:t>
      </w:r>
      <w:proofErr w:type="spellEnd"/>
      <w:r w:rsidRPr="00930A5C">
        <w:rPr>
          <w:sz w:val="20"/>
          <w:szCs w:val="20"/>
        </w:rPr>
        <w:t xml:space="preserve"> z 268 jednostkami, przestrzeniami coworkingowymi, kawiarnią, siłownią i barem – otwarcie planowane jest na koniec 2026 roku. Z kolei IHG przygotowuje się do wprowadzenia na rynek europejski marki </w:t>
      </w:r>
      <w:proofErr w:type="spellStart"/>
      <w:r w:rsidRPr="00930A5C">
        <w:rPr>
          <w:sz w:val="20"/>
          <w:szCs w:val="20"/>
        </w:rPr>
        <w:t>Candlewood</w:t>
      </w:r>
      <w:proofErr w:type="spellEnd"/>
      <w:r w:rsidRPr="00930A5C">
        <w:rPr>
          <w:sz w:val="20"/>
          <w:szCs w:val="20"/>
        </w:rPr>
        <w:t xml:space="preserve"> </w:t>
      </w:r>
      <w:proofErr w:type="spellStart"/>
      <w:r w:rsidRPr="00930A5C">
        <w:rPr>
          <w:sz w:val="20"/>
          <w:szCs w:val="20"/>
        </w:rPr>
        <w:t>Suites</w:t>
      </w:r>
      <w:proofErr w:type="spellEnd"/>
      <w:r w:rsidRPr="00930A5C">
        <w:rPr>
          <w:sz w:val="20"/>
          <w:szCs w:val="20"/>
        </w:rPr>
        <w:t>, z planami ekspansji obejmującymi także Polskę.</w:t>
      </w:r>
    </w:p>
    <w:p w14:paraId="6F53D265" w14:textId="4A940187" w:rsidR="00053298" w:rsidRPr="00930A5C" w:rsidRDefault="00053298" w:rsidP="00930A5C">
      <w:pPr>
        <w:spacing w:line="240" w:lineRule="auto"/>
        <w:jc w:val="both"/>
        <w:rPr>
          <w:b/>
          <w:bCs/>
          <w:sz w:val="20"/>
          <w:szCs w:val="20"/>
        </w:rPr>
      </w:pPr>
      <w:r>
        <w:rPr>
          <w:sz w:val="20"/>
          <w:szCs w:val="20"/>
        </w:rPr>
        <w:t xml:space="preserve">– </w:t>
      </w:r>
      <w:r w:rsidRPr="00053298">
        <w:rPr>
          <w:i/>
          <w:iCs/>
          <w:sz w:val="20"/>
          <w:szCs w:val="20"/>
        </w:rPr>
        <w:t>Polski rynek hotelowy wchodzi w nowy etap rozwoju – oparty na jakości, elastyczności i zrównoważonym podejściu. Wzrost popytu zagranicznego, powrót turystyki miejskiej, rosnąca rola ESG oraz zmiana modeli właścicielskich sprawiają, że sektor staje się coraz bardziej atrakcyjny zarówno dla inwestorów, jak i gości. W najbliższych latach to właśnie współpraca, odporność i innowacyjność będą decydować o sile konkurencyjnej polskich hoteli</w:t>
      </w:r>
      <w:r>
        <w:rPr>
          <w:sz w:val="20"/>
          <w:szCs w:val="20"/>
        </w:rPr>
        <w:t xml:space="preserve"> – podsumowuje </w:t>
      </w:r>
      <w:r w:rsidRPr="00053298">
        <w:rPr>
          <w:b/>
          <w:bCs/>
          <w:sz w:val="20"/>
          <w:szCs w:val="20"/>
        </w:rPr>
        <w:t xml:space="preserve">Ewa Derlatka-Chilewicz. </w:t>
      </w:r>
    </w:p>
    <w:p w14:paraId="50AD9ED0" w14:textId="77777777" w:rsidR="00930A5C" w:rsidRPr="00487836" w:rsidRDefault="00930A5C" w:rsidP="00AE44C9">
      <w:pPr>
        <w:spacing w:line="240" w:lineRule="auto"/>
        <w:jc w:val="both"/>
        <w:rPr>
          <w:sz w:val="20"/>
          <w:szCs w:val="20"/>
        </w:rPr>
      </w:pPr>
    </w:p>
    <w:p w14:paraId="64A83442" w14:textId="5673BE97" w:rsidR="00BC2537" w:rsidRPr="00811347" w:rsidRDefault="00BC2537" w:rsidP="00AE44C9">
      <w:pPr>
        <w:spacing w:line="240" w:lineRule="auto"/>
        <w:jc w:val="both"/>
        <w:rPr>
          <w:sz w:val="16"/>
          <w:szCs w:val="16"/>
        </w:rPr>
      </w:pPr>
    </w:p>
    <w:sectPr w:rsidR="00BC2537" w:rsidRPr="00811347">
      <w:headerReference w:type="default" r:id="rId11"/>
      <w:footerReference w:type="default" r:id="rId12"/>
      <w:headerReference w:type="first" r:id="rId13"/>
      <w:footerReference w:type="first" r:id="rId14"/>
      <w:pgSz w:w="11907" w:h="16839"/>
      <w:pgMar w:top="3600" w:right="1008" w:bottom="2880" w:left="1224" w:header="1800" w:footer="43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B780D" w14:textId="77777777" w:rsidR="00317916" w:rsidRDefault="00317916">
      <w:pPr>
        <w:spacing w:after="0" w:line="240" w:lineRule="auto"/>
      </w:pPr>
      <w:r>
        <w:separator/>
      </w:r>
    </w:p>
  </w:endnote>
  <w:endnote w:type="continuationSeparator" w:id="0">
    <w:p w14:paraId="41E392E0" w14:textId="77777777" w:rsidR="00317916" w:rsidRDefault="00317916">
      <w:pPr>
        <w:spacing w:after="0" w:line="240" w:lineRule="auto"/>
      </w:pPr>
      <w:r>
        <w:continuationSeparator/>
      </w:r>
    </w:p>
  </w:endnote>
  <w:endnote w:type="continuationNotice" w:id="1">
    <w:p w14:paraId="0C3D05CB" w14:textId="77777777" w:rsidR="00317916" w:rsidRDefault="00317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00" w:type="dxa"/>
      <w:tblLayout w:type="fixed"/>
      <w:tblCellMar>
        <w:left w:w="0" w:type="dxa"/>
        <w:right w:w="0" w:type="dxa"/>
      </w:tblCellMar>
      <w:tblLook w:val="04A0" w:firstRow="1" w:lastRow="0" w:firstColumn="1" w:lastColumn="0" w:noHBand="0" w:noVBand="1"/>
    </w:tblPr>
    <w:tblGrid>
      <w:gridCol w:w="9000"/>
    </w:tblGrid>
    <w:tr w:rsidR="00C8277A" w:rsidRPr="005B2397" w14:paraId="2AD926AD" w14:textId="77777777" w:rsidTr="00B924E3">
      <w:trPr>
        <w:trHeight w:val="630"/>
      </w:trPr>
      <w:tc>
        <w:tcPr>
          <w:tcW w:w="8931" w:type="dxa"/>
          <w:vAlign w:val="bottom"/>
        </w:tcPr>
        <w:p w14:paraId="46F11C58" w14:textId="77777777" w:rsidR="00025C81" w:rsidRPr="00C8277A" w:rsidRDefault="001A4929" w:rsidP="00B924E3">
          <w:pPr>
            <w:pStyle w:val="Heading2"/>
            <w:rPr>
              <w:rFonts w:ascii="Arial" w:hAnsi="Arial" w:cs="Arial"/>
              <w:color w:val="000000" w:themeColor="text1"/>
            </w:rPr>
          </w:pPr>
          <w:r w:rsidRPr="00C8277A">
            <w:rPr>
              <w:rFonts w:ascii="Arial" w:hAnsi="Arial" w:cs="Arial"/>
              <w:color w:val="000000" w:themeColor="text1"/>
            </w:rPr>
            <w:t>Dodatkowe informacje:</w:t>
          </w:r>
        </w:p>
      </w:tc>
    </w:tr>
    <w:tr w:rsidR="00C8277A" w:rsidRPr="000E64A9" w14:paraId="2F690183" w14:textId="77777777" w:rsidTr="00B924E3">
      <w:trPr>
        <w:trHeight w:val="1260"/>
      </w:trPr>
      <w:tc>
        <w:tcPr>
          <w:tcW w:w="8931" w:type="dxa"/>
        </w:tcPr>
        <w:tbl>
          <w:tblPr>
            <w:tblStyle w:val="PlainTable41"/>
            <w:tblW w:w="8582" w:type="dxa"/>
            <w:tblLayout w:type="fixed"/>
            <w:tblLook w:val="04A0" w:firstRow="1" w:lastRow="0" w:firstColumn="1" w:lastColumn="0" w:noHBand="0" w:noVBand="1"/>
          </w:tblPr>
          <w:tblGrid>
            <w:gridCol w:w="8560"/>
            <w:gridCol w:w="220"/>
            <w:gridCol w:w="220"/>
          </w:tblGrid>
          <w:tr w:rsidR="003E5A4E" w:rsidRPr="000E64A9" w14:paraId="73319B5E" w14:textId="77777777" w:rsidTr="003E5A4E">
            <w:trPr>
              <w:cnfStyle w:val="100000000000" w:firstRow="1" w:lastRow="0" w:firstColumn="0" w:lastColumn="0" w:oddVBand="0" w:evenVBand="0" w:oddHBand="0"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4253" w:type="dxa"/>
              </w:tcPr>
              <w:tbl>
                <w:tblPr>
                  <w:tblStyle w:val="TableGrid"/>
                  <w:tblW w:w="12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86"/>
                  <w:gridCol w:w="6086"/>
                </w:tblGrid>
                <w:tr w:rsidR="003E5A4E" w:rsidRPr="000E64A9" w14:paraId="32B5F073" w14:textId="77777777" w:rsidTr="003E5A4E">
                  <w:trPr>
                    <w:trHeight w:val="738"/>
                  </w:trPr>
                  <w:tc>
                    <w:tcPr>
                      <w:tcW w:w="6086" w:type="dxa"/>
                    </w:tcPr>
                    <w:p w14:paraId="67AD71FE" w14:textId="02F68497" w:rsidR="003E5A4E" w:rsidRPr="009D1ABC" w:rsidRDefault="003E5A4E" w:rsidP="00B924E3">
                      <w:pPr>
                        <w:pStyle w:val="ContactName"/>
                        <w:spacing w:line="240" w:lineRule="auto"/>
                        <w:rPr>
                          <w:color w:val="696B6B"/>
                          <w:szCs w:val="18"/>
                          <w:u w:color="696B6B"/>
                          <w:lang w:val="en-US"/>
                        </w:rPr>
                      </w:pPr>
                      <w:r>
                        <w:rPr>
                          <w:color w:val="696B6B"/>
                          <w:szCs w:val="18"/>
                          <w:u w:color="696B6B"/>
                          <w:lang w:val="en-US"/>
                        </w:rPr>
                        <w:t xml:space="preserve">Karolina </w:t>
                      </w:r>
                      <w:proofErr w:type="spellStart"/>
                      <w:r>
                        <w:rPr>
                          <w:color w:val="696B6B"/>
                          <w:szCs w:val="18"/>
                          <w:u w:color="696B6B"/>
                          <w:lang w:val="en-US"/>
                        </w:rPr>
                        <w:t>Samczyńska-Fiślak</w:t>
                      </w:r>
                      <w:proofErr w:type="spellEnd"/>
                    </w:p>
                    <w:p w14:paraId="03FB117E" w14:textId="77777777" w:rsidR="003E5A4E" w:rsidRPr="009D1ABC" w:rsidRDefault="003E5A4E" w:rsidP="00B924E3">
                      <w:pPr>
                        <w:pStyle w:val="ContactName"/>
                        <w:spacing w:line="240" w:lineRule="auto"/>
                        <w:rPr>
                          <w:b w:val="0"/>
                          <w:bCs w:val="0"/>
                          <w:color w:val="696B6B"/>
                          <w:szCs w:val="18"/>
                          <w:u w:color="696B6B"/>
                          <w:lang w:val="en-US"/>
                        </w:rPr>
                      </w:pPr>
                      <w:r w:rsidRPr="009D1ABC">
                        <w:rPr>
                          <w:b w:val="0"/>
                          <w:bCs w:val="0"/>
                          <w:color w:val="696B6B"/>
                          <w:szCs w:val="18"/>
                          <w:u w:color="696B6B"/>
                          <w:lang w:val="en-US"/>
                        </w:rPr>
                        <w:t xml:space="preserve">Cushman &amp; Wakefield </w:t>
                      </w:r>
                    </w:p>
                    <w:p w14:paraId="51DAB7AF" w14:textId="799868C8" w:rsidR="003E5A4E" w:rsidRPr="009D1ABC" w:rsidRDefault="003E5A4E" w:rsidP="00B924E3">
                      <w:pPr>
                        <w:rPr>
                          <w:rFonts w:ascii="Calibri" w:eastAsia="Times New Roman" w:hAnsi="Calibri"/>
                          <w:sz w:val="18"/>
                          <w:szCs w:val="18"/>
                        </w:rPr>
                      </w:pPr>
                      <w:r w:rsidRPr="009D1ABC">
                        <w:rPr>
                          <w:rFonts w:ascii="Calibri" w:hAnsi="Calibri"/>
                          <w:color w:val="696B6B"/>
                          <w:sz w:val="18"/>
                          <w:szCs w:val="18"/>
                          <w:u w:color="696B6B"/>
                        </w:rPr>
                        <w:t xml:space="preserve">Tel: + 48 22 820 20 20; </w:t>
                      </w:r>
                      <w:r w:rsidRPr="00AF11EE">
                        <w:rPr>
                          <w:rFonts w:ascii="Calibri" w:hAnsi="Calibri"/>
                          <w:color w:val="696B6B"/>
                          <w:sz w:val="18"/>
                          <w:szCs w:val="18"/>
                          <w:u w:color="696B6B"/>
                        </w:rPr>
                        <w:t>691</w:t>
                      </w:r>
                      <w:r>
                        <w:rPr>
                          <w:rFonts w:ascii="Calibri" w:hAnsi="Calibri"/>
                          <w:color w:val="696B6B"/>
                          <w:sz w:val="18"/>
                          <w:szCs w:val="18"/>
                          <w:u w:color="696B6B"/>
                        </w:rPr>
                        <w:t> </w:t>
                      </w:r>
                      <w:r w:rsidRPr="00AF11EE">
                        <w:rPr>
                          <w:rFonts w:ascii="Calibri" w:hAnsi="Calibri"/>
                          <w:color w:val="696B6B"/>
                          <w:sz w:val="18"/>
                          <w:szCs w:val="18"/>
                          <w:u w:color="696B6B"/>
                        </w:rPr>
                        <w:t>060</w:t>
                      </w:r>
                      <w:r>
                        <w:rPr>
                          <w:rFonts w:ascii="Calibri" w:hAnsi="Calibri"/>
                          <w:color w:val="696B6B"/>
                          <w:sz w:val="18"/>
                          <w:szCs w:val="18"/>
                          <w:u w:color="696B6B"/>
                        </w:rPr>
                        <w:t xml:space="preserve"> </w:t>
                      </w:r>
                      <w:r w:rsidRPr="00AF11EE">
                        <w:rPr>
                          <w:rFonts w:ascii="Calibri" w:hAnsi="Calibri"/>
                          <w:color w:val="696B6B"/>
                          <w:sz w:val="18"/>
                          <w:szCs w:val="18"/>
                          <w:u w:color="696B6B"/>
                        </w:rPr>
                        <w:t>202</w:t>
                      </w:r>
                    </w:p>
                    <w:p w14:paraId="4EC59528" w14:textId="747EA004" w:rsidR="003E5A4E" w:rsidRPr="009D1ABC" w:rsidRDefault="003E5A4E" w:rsidP="00B924E3">
                      <w:pPr>
                        <w:pStyle w:val="ContactName"/>
                        <w:tabs>
                          <w:tab w:val="right" w:pos="4688"/>
                        </w:tabs>
                        <w:spacing w:line="240" w:lineRule="auto"/>
                        <w:rPr>
                          <w:color w:val="696B6B"/>
                          <w:u w:color="696B6B"/>
                          <w:lang w:val="de-DE"/>
                        </w:rPr>
                      </w:pPr>
                      <w:proofErr w:type="spellStart"/>
                      <w:r w:rsidRPr="009D1ABC">
                        <w:rPr>
                          <w:color w:val="696B6B"/>
                          <w:u w:color="696B6B"/>
                          <w:lang w:val="de-DE"/>
                        </w:rPr>
                        <w:t>e-mail</w:t>
                      </w:r>
                      <w:proofErr w:type="spellEnd"/>
                      <w:r w:rsidRPr="009D1ABC">
                        <w:rPr>
                          <w:color w:val="696B6B"/>
                          <w:u w:color="696B6B"/>
                          <w:lang w:val="de-DE"/>
                        </w:rPr>
                        <w:t xml:space="preserve">: </w:t>
                      </w:r>
                      <w:hyperlink r:id="rId1" w:history="1">
                        <w:r w:rsidRPr="00B37771">
                          <w:rPr>
                            <w:rStyle w:val="Hyperlink"/>
                            <w:lang w:val="de-AT"/>
                          </w:rPr>
                          <w:t>karolina.samczynska@cushwake.pl</w:t>
                        </w:r>
                      </w:hyperlink>
                    </w:p>
                  </w:tc>
                  <w:tc>
                    <w:tcPr>
                      <w:tcW w:w="6086" w:type="dxa"/>
                    </w:tcPr>
                    <w:p w14:paraId="4668A659" w14:textId="77777777" w:rsidR="003E5A4E" w:rsidRPr="00675B1B" w:rsidRDefault="003E5A4E" w:rsidP="003E5A4E">
                      <w:pPr>
                        <w:pStyle w:val="ContactName"/>
                        <w:spacing w:line="240" w:lineRule="auto"/>
                        <w:rPr>
                          <w:rStyle w:val="Brak"/>
                          <w:b w:val="0"/>
                          <w:color w:val="696B6B"/>
                          <w:u w:color="696B6B"/>
                          <w:lang w:val="pl-PL"/>
                        </w:rPr>
                      </w:pPr>
                      <w:r w:rsidRPr="00675B1B">
                        <w:rPr>
                          <w:rStyle w:val="Brak"/>
                          <w:color w:val="696B6B"/>
                          <w:u w:color="696B6B"/>
                          <w:lang w:val="pl-PL"/>
                        </w:rPr>
                        <w:t>Magdalena Znyk-Ossowska</w:t>
                      </w:r>
                    </w:p>
                    <w:p w14:paraId="37C27841" w14:textId="77777777" w:rsidR="003E5A4E" w:rsidRPr="00675B1B" w:rsidRDefault="003E5A4E" w:rsidP="003E5A4E">
                      <w:pPr>
                        <w:pStyle w:val="ContactName"/>
                        <w:spacing w:line="240" w:lineRule="auto"/>
                        <w:rPr>
                          <w:rStyle w:val="Brak"/>
                          <w:color w:val="696B6B"/>
                          <w:u w:color="696B6B"/>
                          <w:lang w:val="pl-PL"/>
                        </w:rPr>
                      </w:pPr>
                      <w:r w:rsidRPr="00675B1B">
                        <w:rPr>
                          <w:rStyle w:val="Brak"/>
                          <w:color w:val="696B6B"/>
                          <w:u w:color="696B6B"/>
                          <w:lang w:val="pl-PL"/>
                        </w:rPr>
                        <w:t>Linkleaders</w:t>
                      </w:r>
                    </w:p>
                    <w:p w14:paraId="3A8C19E0" w14:textId="77777777" w:rsidR="003E5A4E" w:rsidRPr="00675B1B" w:rsidRDefault="003E5A4E" w:rsidP="003E5A4E">
                      <w:pPr>
                        <w:pStyle w:val="ContactName"/>
                        <w:spacing w:line="240" w:lineRule="auto"/>
                        <w:rPr>
                          <w:rStyle w:val="Brak"/>
                          <w:b w:val="0"/>
                          <w:bCs w:val="0"/>
                          <w:color w:val="696B6B"/>
                          <w:u w:color="696B6B"/>
                          <w:lang w:val="pl-PL"/>
                        </w:rPr>
                      </w:pPr>
                      <w:r w:rsidRPr="00675B1B">
                        <w:rPr>
                          <w:rStyle w:val="Brak"/>
                          <w:color w:val="696B6B"/>
                          <w:u w:color="696B6B"/>
                          <w:lang w:val="pl-PL"/>
                        </w:rPr>
                        <w:t>Tel: +48 </w:t>
                      </w:r>
                      <w:r w:rsidRPr="00675B1B">
                        <w:rPr>
                          <w:rFonts w:eastAsia="Arial" w:cs="Arial"/>
                          <w:color w:val="696B6B"/>
                          <w:szCs w:val="18"/>
                          <w:lang w:val="pl-PL" w:eastAsia="pl-PL"/>
                        </w:rPr>
                        <w:t>502 556 846</w:t>
                      </w:r>
                    </w:p>
                    <w:p w14:paraId="2BC96C0F" w14:textId="77777777" w:rsidR="003E5A4E" w:rsidRPr="00675B1B" w:rsidRDefault="003E5A4E" w:rsidP="003E5A4E">
                      <w:pPr>
                        <w:pStyle w:val="ContactName"/>
                        <w:spacing w:line="240" w:lineRule="auto"/>
                        <w:rPr>
                          <w:rStyle w:val="Brak"/>
                          <w:color w:val="696B6B"/>
                          <w:u w:color="696B6B"/>
                          <w:lang w:val="pl-PL"/>
                        </w:rPr>
                      </w:pPr>
                    </w:p>
                    <w:p w14:paraId="69435270" w14:textId="77777777" w:rsidR="003E5A4E" w:rsidRPr="007B2741" w:rsidRDefault="003E5A4E" w:rsidP="003E5A4E">
                      <w:pPr>
                        <w:pStyle w:val="ContactDetail"/>
                        <w:spacing w:line="240" w:lineRule="auto"/>
                        <w:rPr>
                          <w:lang w:val="en-US"/>
                        </w:rPr>
                      </w:pPr>
                      <w:r w:rsidRPr="007B2741">
                        <w:rPr>
                          <w:rStyle w:val="Brak"/>
                          <w:color w:val="696B6B"/>
                          <w:u w:color="696B6B"/>
                          <w:lang w:val="en-US"/>
                        </w:rPr>
                        <w:t xml:space="preserve">e-mail: </w:t>
                      </w:r>
                      <w:r>
                        <w:rPr>
                          <w:rStyle w:val="Hyperlink0"/>
                          <w:color w:val="008B98"/>
                          <w:lang w:val="en-US"/>
                        </w:rPr>
                        <w:t>Magdalena.ossowska@linkleaders.pl</w:t>
                      </w:r>
                    </w:p>
                    <w:p w14:paraId="397E05EC" w14:textId="77777777" w:rsidR="003E5A4E" w:rsidRPr="00167436" w:rsidRDefault="003E5A4E" w:rsidP="00B924E3">
                      <w:pPr>
                        <w:pStyle w:val="ContactName"/>
                        <w:spacing w:line="240" w:lineRule="auto"/>
                        <w:rPr>
                          <w:rStyle w:val="Brak"/>
                          <w:color w:val="696B6B"/>
                          <w:u w:color="696B6B"/>
                          <w:lang w:val="de-DE"/>
                        </w:rPr>
                      </w:pPr>
                    </w:p>
                  </w:tc>
                </w:tr>
              </w:tbl>
              <w:p w14:paraId="08D62AB9" w14:textId="77777777" w:rsidR="00025C81" w:rsidRPr="009D1ABC" w:rsidRDefault="00025C81" w:rsidP="00B924E3">
                <w:pPr>
                  <w:pStyle w:val="ContactDetail"/>
                  <w:rPr>
                    <w:rFonts w:asciiTheme="minorHAnsi" w:hAnsiTheme="minorHAnsi" w:cstheme="minorHAnsi"/>
                    <w:color w:val="000000" w:themeColor="text1"/>
                    <w:lang w:val="es-ES_tradnl"/>
                  </w:rPr>
                </w:pPr>
              </w:p>
            </w:tc>
            <w:tc>
              <w:tcPr>
                <w:tcW w:w="4111" w:type="dxa"/>
              </w:tcPr>
              <w:p w14:paraId="4ED69CDE" w14:textId="77777777" w:rsidR="00025C81" w:rsidRPr="003E5A4E" w:rsidRDefault="00025C81" w:rsidP="003E5A4E">
                <w:pPr>
                  <w:pStyle w:val="ContactDetail"/>
                  <w:spacing w:line="240" w:lineRule="auto"/>
                  <w:cnfStyle w:val="100000000000" w:firstRow="1" w:lastRow="0" w:firstColumn="0" w:lastColumn="0" w:oddVBand="0" w:evenVBand="0" w:oddHBand="0" w:evenHBand="0" w:firstRowFirstColumn="0" w:firstRowLastColumn="0" w:lastRowFirstColumn="0" w:lastRowLastColumn="0"/>
                  <w:rPr>
                    <w:rStyle w:val="Brak"/>
                    <w:color w:val="696B6B"/>
                    <w:u w:color="696B6B"/>
                    <w:lang w:val="es-ES_tradnl"/>
                  </w:rPr>
                </w:pPr>
              </w:p>
            </w:tc>
            <w:tc>
              <w:tcPr>
                <w:tcW w:w="218" w:type="dxa"/>
              </w:tcPr>
              <w:p w14:paraId="1A4CBD3A" w14:textId="77777777" w:rsidR="00025C81" w:rsidRPr="007B2741" w:rsidRDefault="00025C81" w:rsidP="00B924E3">
                <w:pPr>
                  <w:pStyle w:val="ContactDetail"/>
                  <w:spacing w:line="240" w:lineRule="auto"/>
                  <w:cnfStyle w:val="100000000000" w:firstRow="1" w:lastRow="0" w:firstColumn="0" w:lastColumn="0" w:oddVBand="0" w:evenVBand="0" w:oddHBand="0" w:evenHBand="0" w:firstRowFirstColumn="0" w:firstRowLastColumn="0" w:lastRowFirstColumn="0" w:lastRowLastColumn="0"/>
                  <w:rPr>
                    <w:lang w:val="en-US"/>
                  </w:rPr>
                </w:pPr>
              </w:p>
              <w:p w14:paraId="0D0425FA" w14:textId="77777777" w:rsidR="00025C81" w:rsidRPr="007B2741" w:rsidRDefault="00025C81" w:rsidP="00B924E3">
                <w:pPr>
                  <w:pStyle w:val="ContactDetai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US"/>
                  </w:rPr>
                </w:pPr>
              </w:p>
            </w:tc>
          </w:tr>
        </w:tbl>
        <w:p w14:paraId="51226427" w14:textId="794B06BC" w:rsidR="00025C81" w:rsidRPr="007B2741" w:rsidRDefault="00025C81" w:rsidP="00B924E3">
          <w:pPr>
            <w:pStyle w:val="ContactDetail"/>
            <w:rPr>
              <w:rFonts w:asciiTheme="minorHAnsi" w:hAnsiTheme="minorHAnsi" w:cstheme="minorHAnsi"/>
              <w:color w:val="000000" w:themeColor="text1"/>
              <w:lang w:val="en-US"/>
            </w:rPr>
          </w:pPr>
        </w:p>
      </w:tc>
    </w:tr>
  </w:tbl>
  <w:p w14:paraId="6A6BD428" w14:textId="77777777" w:rsidR="00025C81" w:rsidRPr="007B2741" w:rsidRDefault="00025C81">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44E79" w14:textId="77777777" w:rsidR="00025C81" w:rsidRDefault="00025C81">
    <w:pPr>
      <w:widowControl w:val="0"/>
      <w:pBdr>
        <w:top w:val="nil"/>
        <w:left w:val="nil"/>
        <w:bottom w:val="nil"/>
        <w:right w:val="nil"/>
        <w:between w:val="nil"/>
      </w:pBdr>
      <w:spacing w:after="0"/>
      <w:rPr>
        <w:color w:val="000000"/>
      </w:rPr>
    </w:pPr>
  </w:p>
  <w:tbl>
    <w:tblPr>
      <w:tblW w:w="9000" w:type="dxa"/>
      <w:tblLayout w:type="fixed"/>
      <w:tblLook w:val="0400" w:firstRow="0" w:lastRow="0" w:firstColumn="0" w:lastColumn="0" w:noHBand="0" w:noVBand="1"/>
    </w:tblPr>
    <w:tblGrid>
      <w:gridCol w:w="5670"/>
      <w:gridCol w:w="3330"/>
    </w:tblGrid>
    <w:tr w:rsidR="00F67554" w14:paraId="57A23F18" w14:textId="77777777">
      <w:trPr>
        <w:trHeight w:val="630"/>
      </w:trPr>
      <w:tc>
        <w:tcPr>
          <w:tcW w:w="5670" w:type="dxa"/>
          <w:vAlign w:val="bottom"/>
        </w:tcPr>
        <w:p w14:paraId="00233554" w14:textId="77777777" w:rsidR="00025C81" w:rsidRDefault="001A4929">
          <w:pPr>
            <w:pStyle w:val="Heading2"/>
            <w:rPr>
              <w:rFonts w:ascii="Arial" w:eastAsia="Arial" w:hAnsi="Arial" w:cs="Arial"/>
              <w:color w:val="696B6B"/>
            </w:rPr>
          </w:pPr>
          <w:r>
            <w:rPr>
              <w:rFonts w:ascii="Arial" w:eastAsia="Arial" w:hAnsi="Arial" w:cs="Arial"/>
              <w:color w:val="696B6B"/>
            </w:rPr>
            <w:t>Media Contact:</w:t>
          </w:r>
        </w:p>
      </w:tc>
      <w:tc>
        <w:tcPr>
          <w:tcW w:w="3330" w:type="dxa"/>
          <w:vAlign w:val="bottom"/>
        </w:tcPr>
        <w:p w14:paraId="61C181ED" w14:textId="77777777" w:rsidR="00025C81" w:rsidRDefault="00025C81">
          <w:pPr>
            <w:spacing w:after="100" w:line="240" w:lineRule="auto"/>
            <w:rPr>
              <w:b/>
              <w:color w:val="696B6B"/>
              <w:sz w:val="18"/>
              <w:szCs w:val="18"/>
            </w:rPr>
          </w:pPr>
        </w:p>
      </w:tc>
    </w:tr>
    <w:tr w:rsidR="00F67554" w:rsidRPr="000E64A9" w14:paraId="17458FA5" w14:textId="77777777">
      <w:trPr>
        <w:trHeight w:val="1260"/>
      </w:trPr>
      <w:tc>
        <w:tcPr>
          <w:tcW w:w="5670" w:type="dxa"/>
          <w:vAlign w:val="bottom"/>
        </w:tcPr>
        <w:p w14:paraId="065B4F91" w14:textId="77777777" w:rsidR="00025C81" w:rsidRPr="00C8277A" w:rsidRDefault="001A4929">
          <w:pPr>
            <w:keepNext/>
            <w:keepLines/>
            <w:pBdr>
              <w:top w:val="nil"/>
              <w:left w:val="nil"/>
              <w:bottom w:val="nil"/>
              <w:right w:val="nil"/>
              <w:between w:val="nil"/>
            </w:pBdr>
            <w:spacing w:after="0"/>
            <w:rPr>
              <w:b/>
              <w:color w:val="696B6B"/>
              <w:sz w:val="18"/>
              <w:szCs w:val="18"/>
              <w:lang w:val="en-GB"/>
            </w:rPr>
          </w:pPr>
          <w:r w:rsidRPr="00C8277A">
            <w:rPr>
              <w:b/>
              <w:color w:val="696B6B"/>
              <w:sz w:val="18"/>
              <w:szCs w:val="18"/>
              <w:lang w:val="en-GB"/>
            </w:rPr>
            <w:t>Name</w:t>
          </w:r>
        </w:p>
        <w:p w14:paraId="78082AF7" w14:textId="77777777" w:rsidR="00025C81" w:rsidRPr="00C8277A" w:rsidRDefault="001A4929">
          <w:pPr>
            <w:pBdr>
              <w:top w:val="nil"/>
              <w:left w:val="nil"/>
              <w:bottom w:val="nil"/>
              <w:right w:val="nil"/>
              <w:between w:val="nil"/>
            </w:pBdr>
            <w:spacing w:after="0"/>
            <w:rPr>
              <w:color w:val="696B6B"/>
              <w:sz w:val="18"/>
              <w:szCs w:val="18"/>
              <w:lang w:val="en-GB"/>
            </w:rPr>
          </w:pPr>
          <w:r w:rsidRPr="00C8277A">
            <w:rPr>
              <w:color w:val="696B6B"/>
              <w:sz w:val="18"/>
              <w:szCs w:val="18"/>
              <w:lang w:val="en-GB"/>
            </w:rPr>
            <w:t>Title</w:t>
          </w:r>
        </w:p>
        <w:p w14:paraId="6C6535E5" w14:textId="77777777" w:rsidR="00025C81" w:rsidRPr="00C8277A" w:rsidRDefault="001A4929">
          <w:pPr>
            <w:pBdr>
              <w:top w:val="nil"/>
              <w:left w:val="nil"/>
              <w:bottom w:val="nil"/>
              <w:right w:val="nil"/>
              <w:between w:val="nil"/>
            </w:pBdr>
            <w:spacing w:after="0"/>
            <w:rPr>
              <w:color w:val="696B6B"/>
              <w:sz w:val="18"/>
              <w:szCs w:val="18"/>
              <w:lang w:val="en-GB"/>
            </w:rPr>
          </w:pPr>
          <w:r w:rsidRPr="00C8277A">
            <w:rPr>
              <w:color w:val="696B6B"/>
              <w:sz w:val="18"/>
              <w:szCs w:val="18"/>
              <w:lang w:val="en-GB"/>
            </w:rPr>
            <w:t>+1 000 000 0000</w:t>
          </w:r>
        </w:p>
        <w:p w14:paraId="01D18F40" w14:textId="7E1FEC25" w:rsidR="00025C81" w:rsidRPr="00C8277A" w:rsidRDefault="00B77D91">
          <w:pPr>
            <w:pBdr>
              <w:top w:val="nil"/>
              <w:left w:val="nil"/>
              <w:bottom w:val="nil"/>
              <w:right w:val="nil"/>
              <w:between w:val="nil"/>
            </w:pBdr>
            <w:spacing w:after="0"/>
            <w:rPr>
              <w:color w:val="696B6B"/>
              <w:sz w:val="18"/>
              <w:szCs w:val="18"/>
              <w:lang w:val="en-GB"/>
            </w:rPr>
          </w:pPr>
          <w:r>
            <w:fldChar w:fldCharType="begin"/>
          </w:r>
          <w:r w:rsidRPr="000E64A9">
            <w:rPr>
              <w:lang w:val="en-US"/>
            </w:rPr>
            <w:instrText>HYPERLINK "mailto:first.last@cushwake.com"</w:instrText>
          </w:r>
          <w:r>
            <w:fldChar w:fldCharType="separate"/>
          </w:r>
          <w:r w:rsidRPr="00D4241D">
            <w:rPr>
              <w:rStyle w:val="Hyperlink"/>
              <w:sz w:val="18"/>
              <w:szCs w:val="18"/>
              <w:lang w:val="en-GB"/>
            </w:rPr>
            <w:t>first.last@cushwake.com</w:t>
          </w:r>
          <w:r>
            <w:rPr>
              <w:rStyle w:val="Hyperlink"/>
              <w:sz w:val="18"/>
              <w:szCs w:val="18"/>
              <w:lang w:val="en-GB"/>
            </w:rPr>
            <w:fldChar w:fldCharType="end"/>
          </w:r>
          <w:r w:rsidR="001A4929" w:rsidRPr="00C8277A">
            <w:rPr>
              <w:color w:val="696B6B"/>
              <w:sz w:val="18"/>
              <w:szCs w:val="18"/>
              <w:lang w:val="en-GB"/>
            </w:rPr>
            <w:t xml:space="preserve"> </w:t>
          </w:r>
        </w:p>
      </w:tc>
      <w:tc>
        <w:tcPr>
          <w:tcW w:w="3330" w:type="dxa"/>
          <w:vAlign w:val="bottom"/>
        </w:tcPr>
        <w:p w14:paraId="5F7143DE" w14:textId="77777777" w:rsidR="00025C81" w:rsidRPr="00C8277A" w:rsidRDefault="00025C81">
          <w:pPr>
            <w:pBdr>
              <w:top w:val="nil"/>
              <w:left w:val="nil"/>
              <w:bottom w:val="nil"/>
              <w:right w:val="nil"/>
              <w:between w:val="nil"/>
            </w:pBdr>
            <w:spacing w:after="0"/>
            <w:rPr>
              <w:color w:val="696B6B"/>
              <w:sz w:val="18"/>
              <w:szCs w:val="18"/>
              <w:lang w:val="en-GB"/>
            </w:rPr>
          </w:pPr>
        </w:p>
      </w:tc>
    </w:tr>
  </w:tbl>
  <w:p w14:paraId="62A457F3" w14:textId="77777777" w:rsidR="00025C81" w:rsidRPr="00C8277A" w:rsidRDefault="00025C81">
    <w:pPr>
      <w:pBdr>
        <w:top w:val="nil"/>
        <w:left w:val="nil"/>
        <w:bottom w:val="nil"/>
        <w:right w:val="nil"/>
        <w:between w:val="nil"/>
      </w:pBdr>
      <w:tabs>
        <w:tab w:val="center" w:pos="4680"/>
        <w:tab w:val="right" w:pos="9360"/>
      </w:tabs>
      <w:spacing w:after="0" w:line="240" w:lineRule="auto"/>
      <w:rPr>
        <w:color w:val="00000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B9562" w14:textId="77777777" w:rsidR="00317916" w:rsidRDefault="00317916">
      <w:pPr>
        <w:spacing w:after="0" w:line="240" w:lineRule="auto"/>
      </w:pPr>
      <w:r>
        <w:separator/>
      </w:r>
    </w:p>
  </w:footnote>
  <w:footnote w:type="continuationSeparator" w:id="0">
    <w:p w14:paraId="704D3801" w14:textId="77777777" w:rsidR="00317916" w:rsidRDefault="00317916">
      <w:pPr>
        <w:spacing w:after="0" w:line="240" w:lineRule="auto"/>
      </w:pPr>
      <w:r>
        <w:continuationSeparator/>
      </w:r>
    </w:p>
  </w:footnote>
  <w:footnote w:type="continuationNotice" w:id="1">
    <w:p w14:paraId="5530C457" w14:textId="77777777" w:rsidR="00317916" w:rsidRDefault="003179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7E98D" w14:textId="77777777" w:rsidR="00025C81" w:rsidRDefault="001A492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9264" behindDoc="0" locked="0" layoutInCell="1" hidden="0" allowOverlap="1" wp14:anchorId="36384EC7" wp14:editId="2933026F">
          <wp:simplePos x="0" y="0"/>
          <wp:positionH relativeFrom="column">
            <wp:posOffset>43133</wp:posOffset>
          </wp:positionH>
          <wp:positionV relativeFrom="paragraph">
            <wp:posOffset>-154975</wp:posOffset>
          </wp:positionV>
          <wp:extent cx="1933575" cy="4076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076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F1D7A" w14:textId="77777777" w:rsidR="00025C81" w:rsidRDefault="001A492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0288" behindDoc="0" locked="0" layoutInCell="1" hidden="0" allowOverlap="1" wp14:anchorId="24F12382" wp14:editId="51EBFB22">
          <wp:simplePos x="0" y="0"/>
          <wp:positionH relativeFrom="column">
            <wp:posOffset>3811</wp:posOffset>
          </wp:positionH>
          <wp:positionV relativeFrom="paragraph">
            <wp:posOffset>-201294</wp:posOffset>
          </wp:positionV>
          <wp:extent cx="1933575" cy="40767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076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7968"/>
    <w:multiLevelType w:val="hybridMultilevel"/>
    <w:tmpl w:val="C66CC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14EDF"/>
    <w:multiLevelType w:val="hybridMultilevel"/>
    <w:tmpl w:val="FA1236A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C52DF3"/>
    <w:multiLevelType w:val="multilevel"/>
    <w:tmpl w:val="18E2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9734B"/>
    <w:multiLevelType w:val="multilevel"/>
    <w:tmpl w:val="B4107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261DE"/>
    <w:multiLevelType w:val="multilevel"/>
    <w:tmpl w:val="BE5C7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E5EBA"/>
    <w:multiLevelType w:val="multilevel"/>
    <w:tmpl w:val="9F04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05BF3"/>
    <w:multiLevelType w:val="multilevel"/>
    <w:tmpl w:val="9672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922B5"/>
    <w:multiLevelType w:val="hybridMultilevel"/>
    <w:tmpl w:val="EEF01F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A974D6"/>
    <w:multiLevelType w:val="hybridMultilevel"/>
    <w:tmpl w:val="4D4E3E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BA4689"/>
    <w:multiLevelType w:val="multilevel"/>
    <w:tmpl w:val="7B74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4C2128"/>
    <w:multiLevelType w:val="multilevel"/>
    <w:tmpl w:val="42F2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E0A75"/>
    <w:multiLevelType w:val="multilevel"/>
    <w:tmpl w:val="A0602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358402">
    <w:abstractNumId w:val="8"/>
  </w:num>
  <w:num w:numId="2" w16cid:durableId="922646369">
    <w:abstractNumId w:val="0"/>
  </w:num>
  <w:num w:numId="3" w16cid:durableId="1309627044">
    <w:abstractNumId w:val="7"/>
  </w:num>
  <w:num w:numId="4" w16cid:durableId="1038896537">
    <w:abstractNumId w:val="1"/>
  </w:num>
  <w:num w:numId="5" w16cid:durableId="97453972">
    <w:abstractNumId w:val="10"/>
  </w:num>
  <w:num w:numId="6" w16cid:durableId="93325563">
    <w:abstractNumId w:val="5"/>
  </w:num>
  <w:num w:numId="7" w16cid:durableId="1992445834">
    <w:abstractNumId w:val="6"/>
  </w:num>
  <w:num w:numId="8" w16cid:durableId="1593077740">
    <w:abstractNumId w:val="3"/>
  </w:num>
  <w:num w:numId="9" w16cid:durableId="937451116">
    <w:abstractNumId w:val="11"/>
  </w:num>
  <w:num w:numId="10" w16cid:durableId="1632904673">
    <w:abstractNumId w:val="4"/>
  </w:num>
  <w:num w:numId="11" w16cid:durableId="525363473">
    <w:abstractNumId w:val="9"/>
  </w:num>
  <w:num w:numId="12" w16cid:durableId="1262184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2D"/>
    <w:rsid w:val="00001D62"/>
    <w:rsid w:val="00001DF4"/>
    <w:rsid w:val="00005FD5"/>
    <w:rsid w:val="000060A2"/>
    <w:rsid w:val="00007243"/>
    <w:rsid w:val="00013F59"/>
    <w:rsid w:val="00017267"/>
    <w:rsid w:val="000203A2"/>
    <w:rsid w:val="000251E4"/>
    <w:rsid w:val="00025C81"/>
    <w:rsid w:val="00027F57"/>
    <w:rsid w:val="0003245E"/>
    <w:rsid w:val="00044C5B"/>
    <w:rsid w:val="00051B59"/>
    <w:rsid w:val="00053298"/>
    <w:rsid w:val="00063FC7"/>
    <w:rsid w:val="00064A4E"/>
    <w:rsid w:val="00067FD0"/>
    <w:rsid w:val="000700E2"/>
    <w:rsid w:val="000720F5"/>
    <w:rsid w:val="0008371E"/>
    <w:rsid w:val="00083F43"/>
    <w:rsid w:val="000854D7"/>
    <w:rsid w:val="00086C80"/>
    <w:rsid w:val="0008772D"/>
    <w:rsid w:val="00092C27"/>
    <w:rsid w:val="00093540"/>
    <w:rsid w:val="00096548"/>
    <w:rsid w:val="000A52F1"/>
    <w:rsid w:val="000A54A7"/>
    <w:rsid w:val="000A622E"/>
    <w:rsid w:val="000B142D"/>
    <w:rsid w:val="000B29DE"/>
    <w:rsid w:val="000B4E80"/>
    <w:rsid w:val="000B57CB"/>
    <w:rsid w:val="000C30AD"/>
    <w:rsid w:val="000C4210"/>
    <w:rsid w:val="000C4294"/>
    <w:rsid w:val="000C585C"/>
    <w:rsid w:val="000D4656"/>
    <w:rsid w:val="000D5790"/>
    <w:rsid w:val="000D5FED"/>
    <w:rsid w:val="000D68FD"/>
    <w:rsid w:val="000D7839"/>
    <w:rsid w:val="000E64A9"/>
    <w:rsid w:val="000F64E0"/>
    <w:rsid w:val="000F6702"/>
    <w:rsid w:val="000F7964"/>
    <w:rsid w:val="001013AF"/>
    <w:rsid w:val="001062D1"/>
    <w:rsid w:val="001108EC"/>
    <w:rsid w:val="00111135"/>
    <w:rsid w:val="001129FD"/>
    <w:rsid w:val="001141D8"/>
    <w:rsid w:val="001146DD"/>
    <w:rsid w:val="00114AF8"/>
    <w:rsid w:val="0011559A"/>
    <w:rsid w:val="0012061A"/>
    <w:rsid w:val="00122668"/>
    <w:rsid w:val="001231BC"/>
    <w:rsid w:val="00132CB9"/>
    <w:rsid w:val="00132F07"/>
    <w:rsid w:val="00140D17"/>
    <w:rsid w:val="00140D8B"/>
    <w:rsid w:val="00150568"/>
    <w:rsid w:val="00150F3F"/>
    <w:rsid w:val="00156F9C"/>
    <w:rsid w:val="00160B7F"/>
    <w:rsid w:val="00160C7A"/>
    <w:rsid w:val="001635F6"/>
    <w:rsid w:val="001644DF"/>
    <w:rsid w:val="00165A96"/>
    <w:rsid w:val="00166861"/>
    <w:rsid w:val="00166F71"/>
    <w:rsid w:val="00167436"/>
    <w:rsid w:val="001674EE"/>
    <w:rsid w:val="001745E4"/>
    <w:rsid w:val="00174EBA"/>
    <w:rsid w:val="0017521E"/>
    <w:rsid w:val="00175FB4"/>
    <w:rsid w:val="001767FC"/>
    <w:rsid w:val="00182C4F"/>
    <w:rsid w:val="00185967"/>
    <w:rsid w:val="001866B5"/>
    <w:rsid w:val="0018688B"/>
    <w:rsid w:val="00190FB3"/>
    <w:rsid w:val="001945FB"/>
    <w:rsid w:val="001A4929"/>
    <w:rsid w:val="001A56D9"/>
    <w:rsid w:val="001A6367"/>
    <w:rsid w:val="001A7372"/>
    <w:rsid w:val="001B5F5F"/>
    <w:rsid w:val="001B5FA0"/>
    <w:rsid w:val="001B63B5"/>
    <w:rsid w:val="001B7AE3"/>
    <w:rsid w:val="001C0591"/>
    <w:rsid w:val="001C7005"/>
    <w:rsid w:val="001C70E4"/>
    <w:rsid w:val="001D08F3"/>
    <w:rsid w:val="001D401E"/>
    <w:rsid w:val="001D5EF0"/>
    <w:rsid w:val="001D617A"/>
    <w:rsid w:val="001E06FB"/>
    <w:rsid w:val="001E07D4"/>
    <w:rsid w:val="001E0E42"/>
    <w:rsid w:val="001E16E8"/>
    <w:rsid w:val="001E3C79"/>
    <w:rsid w:val="001E4E45"/>
    <w:rsid w:val="001E56EB"/>
    <w:rsid w:val="001E6096"/>
    <w:rsid w:val="001F1B34"/>
    <w:rsid w:val="001F406E"/>
    <w:rsid w:val="001F7E37"/>
    <w:rsid w:val="00206001"/>
    <w:rsid w:val="002117B9"/>
    <w:rsid w:val="002125FE"/>
    <w:rsid w:val="0021678E"/>
    <w:rsid w:val="00217BD6"/>
    <w:rsid w:val="002238C4"/>
    <w:rsid w:val="002240B1"/>
    <w:rsid w:val="00224AA7"/>
    <w:rsid w:val="00227EAC"/>
    <w:rsid w:val="00231BCD"/>
    <w:rsid w:val="00236B04"/>
    <w:rsid w:val="002426EF"/>
    <w:rsid w:val="0024400C"/>
    <w:rsid w:val="00246115"/>
    <w:rsid w:val="00250183"/>
    <w:rsid w:val="00251824"/>
    <w:rsid w:val="00251F00"/>
    <w:rsid w:val="00257ED3"/>
    <w:rsid w:val="0026004C"/>
    <w:rsid w:val="0026004F"/>
    <w:rsid w:val="00260C7D"/>
    <w:rsid w:val="00261AA0"/>
    <w:rsid w:val="00265C1D"/>
    <w:rsid w:val="00265F1D"/>
    <w:rsid w:val="0026615D"/>
    <w:rsid w:val="002730A2"/>
    <w:rsid w:val="00275982"/>
    <w:rsid w:val="00275F1E"/>
    <w:rsid w:val="00275FDC"/>
    <w:rsid w:val="0028046B"/>
    <w:rsid w:val="00281BFB"/>
    <w:rsid w:val="0028223D"/>
    <w:rsid w:val="00282FB7"/>
    <w:rsid w:val="00284E92"/>
    <w:rsid w:val="00285282"/>
    <w:rsid w:val="00286DC7"/>
    <w:rsid w:val="0029109F"/>
    <w:rsid w:val="00293086"/>
    <w:rsid w:val="00293E07"/>
    <w:rsid w:val="00293ED2"/>
    <w:rsid w:val="0029437C"/>
    <w:rsid w:val="002958EB"/>
    <w:rsid w:val="0029652C"/>
    <w:rsid w:val="002967FF"/>
    <w:rsid w:val="002A37FC"/>
    <w:rsid w:val="002B381B"/>
    <w:rsid w:val="002B4716"/>
    <w:rsid w:val="002B6B39"/>
    <w:rsid w:val="002C1DFF"/>
    <w:rsid w:val="002C480C"/>
    <w:rsid w:val="002C5852"/>
    <w:rsid w:val="002C5887"/>
    <w:rsid w:val="002D0B42"/>
    <w:rsid w:val="002D1D3A"/>
    <w:rsid w:val="002D4EC6"/>
    <w:rsid w:val="002D5829"/>
    <w:rsid w:val="002D7779"/>
    <w:rsid w:val="002E0BB0"/>
    <w:rsid w:val="002E1729"/>
    <w:rsid w:val="002E20D4"/>
    <w:rsid w:val="002E2D30"/>
    <w:rsid w:val="002E31B2"/>
    <w:rsid w:val="002F0186"/>
    <w:rsid w:val="002F0666"/>
    <w:rsid w:val="002F08E1"/>
    <w:rsid w:val="002F0F48"/>
    <w:rsid w:val="00300BC4"/>
    <w:rsid w:val="00302886"/>
    <w:rsid w:val="0030311F"/>
    <w:rsid w:val="003067E9"/>
    <w:rsid w:val="00306BFA"/>
    <w:rsid w:val="00307E44"/>
    <w:rsid w:val="00310AEF"/>
    <w:rsid w:val="00310D2A"/>
    <w:rsid w:val="003156DD"/>
    <w:rsid w:val="00317916"/>
    <w:rsid w:val="0032157F"/>
    <w:rsid w:val="0032389F"/>
    <w:rsid w:val="00342C1B"/>
    <w:rsid w:val="0034418D"/>
    <w:rsid w:val="00345D04"/>
    <w:rsid w:val="00345D09"/>
    <w:rsid w:val="0035396B"/>
    <w:rsid w:val="00356977"/>
    <w:rsid w:val="00361E86"/>
    <w:rsid w:val="00362CD6"/>
    <w:rsid w:val="00364117"/>
    <w:rsid w:val="00371AFD"/>
    <w:rsid w:val="00374DB8"/>
    <w:rsid w:val="00375278"/>
    <w:rsid w:val="00383926"/>
    <w:rsid w:val="00385CB8"/>
    <w:rsid w:val="0038604F"/>
    <w:rsid w:val="00387CAF"/>
    <w:rsid w:val="003936DF"/>
    <w:rsid w:val="003A24D4"/>
    <w:rsid w:val="003A693E"/>
    <w:rsid w:val="003A70E2"/>
    <w:rsid w:val="003B3560"/>
    <w:rsid w:val="003B78C7"/>
    <w:rsid w:val="003C1BBA"/>
    <w:rsid w:val="003C1E58"/>
    <w:rsid w:val="003C4DFD"/>
    <w:rsid w:val="003C5B29"/>
    <w:rsid w:val="003C791A"/>
    <w:rsid w:val="003D1A23"/>
    <w:rsid w:val="003E003A"/>
    <w:rsid w:val="003E0201"/>
    <w:rsid w:val="003E3F99"/>
    <w:rsid w:val="003E5A4E"/>
    <w:rsid w:val="003F4955"/>
    <w:rsid w:val="003F4AAD"/>
    <w:rsid w:val="003F60EA"/>
    <w:rsid w:val="004001BC"/>
    <w:rsid w:val="00403626"/>
    <w:rsid w:val="00410D62"/>
    <w:rsid w:val="004112C0"/>
    <w:rsid w:val="0042183C"/>
    <w:rsid w:val="00421DC1"/>
    <w:rsid w:val="00422760"/>
    <w:rsid w:val="004274A1"/>
    <w:rsid w:val="004329C4"/>
    <w:rsid w:val="00432ACA"/>
    <w:rsid w:val="00435D4F"/>
    <w:rsid w:val="00436CE4"/>
    <w:rsid w:val="0043767F"/>
    <w:rsid w:val="00440D65"/>
    <w:rsid w:val="00440EDE"/>
    <w:rsid w:val="00443EFE"/>
    <w:rsid w:val="00451C25"/>
    <w:rsid w:val="00452FD6"/>
    <w:rsid w:val="00454311"/>
    <w:rsid w:val="004557CD"/>
    <w:rsid w:val="00455DED"/>
    <w:rsid w:val="00456C2D"/>
    <w:rsid w:val="00457545"/>
    <w:rsid w:val="00461B2F"/>
    <w:rsid w:val="00462B62"/>
    <w:rsid w:val="00463B77"/>
    <w:rsid w:val="00464434"/>
    <w:rsid w:val="00464B72"/>
    <w:rsid w:val="00466300"/>
    <w:rsid w:val="0046665F"/>
    <w:rsid w:val="00466ABC"/>
    <w:rsid w:val="004678CA"/>
    <w:rsid w:val="004701AA"/>
    <w:rsid w:val="00471A22"/>
    <w:rsid w:val="00480925"/>
    <w:rsid w:val="00487836"/>
    <w:rsid w:val="004900F3"/>
    <w:rsid w:val="00490581"/>
    <w:rsid w:val="00491EA1"/>
    <w:rsid w:val="0049367E"/>
    <w:rsid w:val="004939D4"/>
    <w:rsid w:val="004972E1"/>
    <w:rsid w:val="00497908"/>
    <w:rsid w:val="004A01E8"/>
    <w:rsid w:val="004A5B66"/>
    <w:rsid w:val="004B083C"/>
    <w:rsid w:val="004B0979"/>
    <w:rsid w:val="004B3D1A"/>
    <w:rsid w:val="004B5A43"/>
    <w:rsid w:val="004C2C37"/>
    <w:rsid w:val="004C49CA"/>
    <w:rsid w:val="004D07CC"/>
    <w:rsid w:val="004D080E"/>
    <w:rsid w:val="004D16D5"/>
    <w:rsid w:val="004D25BB"/>
    <w:rsid w:val="004D68AD"/>
    <w:rsid w:val="004D6A3C"/>
    <w:rsid w:val="004D7C3B"/>
    <w:rsid w:val="004E0237"/>
    <w:rsid w:val="004E46E9"/>
    <w:rsid w:val="004E5A7E"/>
    <w:rsid w:val="004E7185"/>
    <w:rsid w:val="00502E72"/>
    <w:rsid w:val="0050412F"/>
    <w:rsid w:val="0050471F"/>
    <w:rsid w:val="00512047"/>
    <w:rsid w:val="00512ADF"/>
    <w:rsid w:val="0051329B"/>
    <w:rsid w:val="0051329D"/>
    <w:rsid w:val="005136A0"/>
    <w:rsid w:val="0051644B"/>
    <w:rsid w:val="00517B59"/>
    <w:rsid w:val="00520076"/>
    <w:rsid w:val="005229AB"/>
    <w:rsid w:val="00526757"/>
    <w:rsid w:val="00531CF4"/>
    <w:rsid w:val="00531D93"/>
    <w:rsid w:val="005323BE"/>
    <w:rsid w:val="005352C0"/>
    <w:rsid w:val="005369D7"/>
    <w:rsid w:val="00537747"/>
    <w:rsid w:val="00541459"/>
    <w:rsid w:val="00541D5B"/>
    <w:rsid w:val="00552477"/>
    <w:rsid w:val="00553B06"/>
    <w:rsid w:val="0055434C"/>
    <w:rsid w:val="00561829"/>
    <w:rsid w:val="005631C3"/>
    <w:rsid w:val="00566AB7"/>
    <w:rsid w:val="00577005"/>
    <w:rsid w:val="00580A25"/>
    <w:rsid w:val="0058421C"/>
    <w:rsid w:val="00584862"/>
    <w:rsid w:val="00585A4F"/>
    <w:rsid w:val="005864F4"/>
    <w:rsid w:val="00587724"/>
    <w:rsid w:val="005878DD"/>
    <w:rsid w:val="00591DBB"/>
    <w:rsid w:val="00592299"/>
    <w:rsid w:val="00593E4C"/>
    <w:rsid w:val="005A4560"/>
    <w:rsid w:val="005A703D"/>
    <w:rsid w:val="005B2303"/>
    <w:rsid w:val="005B4D77"/>
    <w:rsid w:val="005B5063"/>
    <w:rsid w:val="005C01D2"/>
    <w:rsid w:val="005C2765"/>
    <w:rsid w:val="005C3C3C"/>
    <w:rsid w:val="005C4360"/>
    <w:rsid w:val="005C6332"/>
    <w:rsid w:val="005C72CD"/>
    <w:rsid w:val="005D033F"/>
    <w:rsid w:val="005D05E5"/>
    <w:rsid w:val="005D06CC"/>
    <w:rsid w:val="005D1698"/>
    <w:rsid w:val="005D3204"/>
    <w:rsid w:val="005D3C92"/>
    <w:rsid w:val="005D4DD1"/>
    <w:rsid w:val="005D5EEB"/>
    <w:rsid w:val="005E0A93"/>
    <w:rsid w:val="005E14FE"/>
    <w:rsid w:val="005E2C9B"/>
    <w:rsid w:val="005E2EC7"/>
    <w:rsid w:val="005E36C1"/>
    <w:rsid w:val="005E49BA"/>
    <w:rsid w:val="005F709A"/>
    <w:rsid w:val="005F7212"/>
    <w:rsid w:val="00601B86"/>
    <w:rsid w:val="006020AF"/>
    <w:rsid w:val="00603782"/>
    <w:rsid w:val="00606E7D"/>
    <w:rsid w:val="00606F29"/>
    <w:rsid w:val="00607408"/>
    <w:rsid w:val="00612A79"/>
    <w:rsid w:val="006151F1"/>
    <w:rsid w:val="00617929"/>
    <w:rsid w:val="00620AD0"/>
    <w:rsid w:val="00624E73"/>
    <w:rsid w:val="00625117"/>
    <w:rsid w:val="00625DBC"/>
    <w:rsid w:val="00626706"/>
    <w:rsid w:val="00632797"/>
    <w:rsid w:val="00634853"/>
    <w:rsid w:val="00634A82"/>
    <w:rsid w:val="00635D7A"/>
    <w:rsid w:val="006367C0"/>
    <w:rsid w:val="00640038"/>
    <w:rsid w:val="00647BF0"/>
    <w:rsid w:val="00653D04"/>
    <w:rsid w:val="00654588"/>
    <w:rsid w:val="00655594"/>
    <w:rsid w:val="006606A4"/>
    <w:rsid w:val="00661892"/>
    <w:rsid w:val="00662194"/>
    <w:rsid w:val="00670CB1"/>
    <w:rsid w:val="006714A0"/>
    <w:rsid w:val="00674476"/>
    <w:rsid w:val="00674AAF"/>
    <w:rsid w:val="00675B1B"/>
    <w:rsid w:val="0067607F"/>
    <w:rsid w:val="00680170"/>
    <w:rsid w:val="006807CC"/>
    <w:rsid w:val="00682152"/>
    <w:rsid w:val="00682F1F"/>
    <w:rsid w:val="00683345"/>
    <w:rsid w:val="0068616F"/>
    <w:rsid w:val="00686CF4"/>
    <w:rsid w:val="0069258A"/>
    <w:rsid w:val="00695E5E"/>
    <w:rsid w:val="00697D3A"/>
    <w:rsid w:val="006A32B9"/>
    <w:rsid w:val="006B114D"/>
    <w:rsid w:val="006B3391"/>
    <w:rsid w:val="006B635B"/>
    <w:rsid w:val="006B6EBE"/>
    <w:rsid w:val="006C3D4A"/>
    <w:rsid w:val="006C449A"/>
    <w:rsid w:val="006C62BD"/>
    <w:rsid w:val="006C6343"/>
    <w:rsid w:val="006C7EF7"/>
    <w:rsid w:val="006D189F"/>
    <w:rsid w:val="006D1EF1"/>
    <w:rsid w:val="006D48DF"/>
    <w:rsid w:val="006D68E0"/>
    <w:rsid w:val="006E00D9"/>
    <w:rsid w:val="006E2861"/>
    <w:rsid w:val="006E2DCD"/>
    <w:rsid w:val="006E5816"/>
    <w:rsid w:val="006F06A0"/>
    <w:rsid w:val="006F5276"/>
    <w:rsid w:val="007014E6"/>
    <w:rsid w:val="00703171"/>
    <w:rsid w:val="00706617"/>
    <w:rsid w:val="00707A2E"/>
    <w:rsid w:val="00710F25"/>
    <w:rsid w:val="00712ED4"/>
    <w:rsid w:val="00717324"/>
    <w:rsid w:val="00725E13"/>
    <w:rsid w:val="007326D4"/>
    <w:rsid w:val="00736585"/>
    <w:rsid w:val="00737C14"/>
    <w:rsid w:val="00742036"/>
    <w:rsid w:val="007434AC"/>
    <w:rsid w:val="00744CDB"/>
    <w:rsid w:val="0074628D"/>
    <w:rsid w:val="00747126"/>
    <w:rsid w:val="0075095C"/>
    <w:rsid w:val="00751E88"/>
    <w:rsid w:val="00753387"/>
    <w:rsid w:val="00754C88"/>
    <w:rsid w:val="00757A3F"/>
    <w:rsid w:val="007640FE"/>
    <w:rsid w:val="00770B4C"/>
    <w:rsid w:val="00771251"/>
    <w:rsid w:val="00772C4F"/>
    <w:rsid w:val="00773AAB"/>
    <w:rsid w:val="00775E16"/>
    <w:rsid w:val="00781D70"/>
    <w:rsid w:val="00782A9B"/>
    <w:rsid w:val="00783672"/>
    <w:rsid w:val="007861CB"/>
    <w:rsid w:val="00790531"/>
    <w:rsid w:val="00790E9B"/>
    <w:rsid w:val="0079250E"/>
    <w:rsid w:val="00792ECE"/>
    <w:rsid w:val="007A231E"/>
    <w:rsid w:val="007A354E"/>
    <w:rsid w:val="007A6E6F"/>
    <w:rsid w:val="007B0283"/>
    <w:rsid w:val="007B1B45"/>
    <w:rsid w:val="007B20DD"/>
    <w:rsid w:val="007B2567"/>
    <w:rsid w:val="007B2741"/>
    <w:rsid w:val="007B54E0"/>
    <w:rsid w:val="007B6E2A"/>
    <w:rsid w:val="007B7F52"/>
    <w:rsid w:val="007C69D0"/>
    <w:rsid w:val="007D2192"/>
    <w:rsid w:val="007D4408"/>
    <w:rsid w:val="007D5933"/>
    <w:rsid w:val="007D5C12"/>
    <w:rsid w:val="007D6089"/>
    <w:rsid w:val="007E6CDD"/>
    <w:rsid w:val="007E6E12"/>
    <w:rsid w:val="007F13AB"/>
    <w:rsid w:val="007F2FE9"/>
    <w:rsid w:val="007F5890"/>
    <w:rsid w:val="007F634B"/>
    <w:rsid w:val="007F69FA"/>
    <w:rsid w:val="008014DA"/>
    <w:rsid w:val="00802ECA"/>
    <w:rsid w:val="00811347"/>
    <w:rsid w:val="0081370C"/>
    <w:rsid w:val="0081778B"/>
    <w:rsid w:val="0082036C"/>
    <w:rsid w:val="00821380"/>
    <w:rsid w:val="00824654"/>
    <w:rsid w:val="00824D18"/>
    <w:rsid w:val="00824F73"/>
    <w:rsid w:val="0083179A"/>
    <w:rsid w:val="00831B7D"/>
    <w:rsid w:val="00832C08"/>
    <w:rsid w:val="0083469F"/>
    <w:rsid w:val="0083648E"/>
    <w:rsid w:val="00842064"/>
    <w:rsid w:val="0084290C"/>
    <w:rsid w:val="00843BB8"/>
    <w:rsid w:val="008459FF"/>
    <w:rsid w:val="00845A7F"/>
    <w:rsid w:val="0085202E"/>
    <w:rsid w:val="00856BE4"/>
    <w:rsid w:val="00866DDD"/>
    <w:rsid w:val="00871766"/>
    <w:rsid w:val="00872092"/>
    <w:rsid w:val="00874BB3"/>
    <w:rsid w:val="008753CF"/>
    <w:rsid w:val="008772B7"/>
    <w:rsid w:val="0087786B"/>
    <w:rsid w:val="00880E20"/>
    <w:rsid w:val="00881769"/>
    <w:rsid w:val="00882E1D"/>
    <w:rsid w:val="008848B1"/>
    <w:rsid w:val="00885E0C"/>
    <w:rsid w:val="00895739"/>
    <w:rsid w:val="00895809"/>
    <w:rsid w:val="00895F80"/>
    <w:rsid w:val="008972B1"/>
    <w:rsid w:val="008974F3"/>
    <w:rsid w:val="008A26A0"/>
    <w:rsid w:val="008A3F07"/>
    <w:rsid w:val="008B0990"/>
    <w:rsid w:val="008B26B4"/>
    <w:rsid w:val="008B4539"/>
    <w:rsid w:val="008B5039"/>
    <w:rsid w:val="008C14E5"/>
    <w:rsid w:val="008C42CD"/>
    <w:rsid w:val="008C5675"/>
    <w:rsid w:val="008D009F"/>
    <w:rsid w:val="008D2A14"/>
    <w:rsid w:val="008E3996"/>
    <w:rsid w:val="008E5B6C"/>
    <w:rsid w:val="008F01FC"/>
    <w:rsid w:val="008F034B"/>
    <w:rsid w:val="008F0AAC"/>
    <w:rsid w:val="008F1B4D"/>
    <w:rsid w:val="008F2C02"/>
    <w:rsid w:val="008F2CFF"/>
    <w:rsid w:val="008F77DD"/>
    <w:rsid w:val="008F7EA7"/>
    <w:rsid w:val="00901841"/>
    <w:rsid w:val="00904E04"/>
    <w:rsid w:val="00911720"/>
    <w:rsid w:val="00911FF4"/>
    <w:rsid w:val="00914465"/>
    <w:rsid w:val="0091784B"/>
    <w:rsid w:val="00920635"/>
    <w:rsid w:val="00920BE7"/>
    <w:rsid w:val="00921FC7"/>
    <w:rsid w:val="00927365"/>
    <w:rsid w:val="00930A5C"/>
    <w:rsid w:val="0093261C"/>
    <w:rsid w:val="009337AC"/>
    <w:rsid w:val="00933A46"/>
    <w:rsid w:val="00935219"/>
    <w:rsid w:val="00936840"/>
    <w:rsid w:val="00936A3D"/>
    <w:rsid w:val="00941B66"/>
    <w:rsid w:val="00943336"/>
    <w:rsid w:val="00943C5E"/>
    <w:rsid w:val="009456D4"/>
    <w:rsid w:val="00946C47"/>
    <w:rsid w:val="00953475"/>
    <w:rsid w:val="00953949"/>
    <w:rsid w:val="00956547"/>
    <w:rsid w:val="00962A05"/>
    <w:rsid w:val="00965609"/>
    <w:rsid w:val="0096608A"/>
    <w:rsid w:val="009668DE"/>
    <w:rsid w:val="00966D68"/>
    <w:rsid w:val="0096799A"/>
    <w:rsid w:val="00967B91"/>
    <w:rsid w:val="00971AF5"/>
    <w:rsid w:val="0097409A"/>
    <w:rsid w:val="00976C95"/>
    <w:rsid w:val="00977641"/>
    <w:rsid w:val="00977AE0"/>
    <w:rsid w:val="0098288E"/>
    <w:rsid w:val="009902A1"/>
    <w:rsid w:val="00993D91"/>
    <w:rsid w:val="00994AF6"/>
    <w:rsid w:val="0099704B"/>
    <w:rsid w:val="00997139"/>
    <w:rsid w:val="009A1D96"/>
    <w:rsid w:val="009A692E"/>
    <w:rsid w:val="009A7442"/>
    <w:rsid w:val="009B0753"/>
    <w:rsid w:val="009B7F16"/>
    <w:rsid w:val="009C075D"/>
    <w:rsid w:val="009C5621"/>
    <w:rsid w:val="009C7F14"/>
    <w:rsid w:val="009D025D"/>
    <w:rsid w:val="009D233E"/>
    <w:rsid w:val="009D31EC"/>
    <w:rsid w:val="009E408E"/>
    <w:rsid w:val="009E4572"/>
    <w:rsid w:val="009E7575"/>
    <w:rsid w:val="009F15E7"/>
    <w:rsid w:val="009F196F"/>
    <w:rsid w:val="009F274E"/>
    <w:rsid w:val="009F35CD"/>
    <w:rsid w:val="00A01FCE"/>
    <w:rsid w:val="00A06149"/>
    <w:rsid w:val="00A0629B"/>
    <w:rsid w:val="00A0788B"/>
    <w:rsid w:val="00A10255"/>
    <w:rsid w:val="00A117E9"/>
    <w:rsid w:val="00A11D78"/>
    <w:rsid w:val="00A12517"/>
    <w:rsid w:val="00A12551"/>
    <w:rsid w:val="00A12BAB"/>
    <w:rsid w:val="00A13F0B"/>
    <w:rsid w:val="00A17001"/>
    <w:rsid w:val="00A176AA"/>
    <w:rsid w:val="00A201A3"/>
    <w:rsid w:val="00A23905"/>
    <w:rsid w:val="00A2466A"/>
    <w:rsid w:val="00A24875"/>
    <w:rsid w:val="00A265D0"/>
    <w:rsid w:val="00A27372"/>
    <w:rsid w:val="00A31C14"/>
    <w:rsid w:val="00A31F0C"/>
    <w:rsid w:val="00A33731"/>
    <w:rsid w:val="00A33E4A"/>
    <w:rsid w:val="00A344ED"/>
    <w:rsid w:val="00A37691"/>
    <w:rsid w:val="00A425AB"/>
    <w:rsid w:val="00A4481B"/>
    <w:rsid w:val="00A44A37"/>
    <w:rsid w:val="00A47FCD"/>
    <w:rsid w:val="00A54E85"/>
    <w:rsid w:val="00A54FA6"/>
    <w:rsid w:val="00A55BAF"/>
    <w:rsid w:val="00A63543"/>
    <w:rsid w:val="00A7430D"/>
    <w:rsid w:val="00A74CD5"/>
    <w:rsid w:val="00A74D49"/>
    <w:rsid w:val="00A758B5"/>
    <w:rsid w:val="00A807BA"/>
    <w:rsid w:val="00A840D5"/>
    <w:rsid w:val="00A91E08"/>
    <w:rsid w:val="00A93515"/>
    <w:rsid w:val="00A959F1"/>
    <w:rsid w:val="00A97129"/>
    <w:rsid w:val="00A97D53"/>
    <w:rsid w:val="00AA15B2"/>
    <w:rsid w:val="00AA2003"/>
    <w:rsid w:val="00AA3E59"/>
    <w:rsid w:val="00AA69D2"/>
    <w:rsid w:val="00AB1473"/>
    <w:rsid w:val="00AB6698"/>
    <w:rsid w:val="00AC0236"/>
    <w:rsid w:val="00AC5B79"/>
    <w:rsid w:val="00AC6DF8"/>
    <w:rsid w:val="00AD1D8B"/>
    <w:rsid w:val="00AD30C6"/>
    <w:rsid w:val="00AD3963"/>
    <w:rsid w:val="00AD4DD9"/>
    <w:rsid w:val="00AE164D"/>
    <w:rsid w:val="00AE44C9"/>
    <w:rsid w:val="00AE5185"/>
    <w:rsid w:val="00AF11EE"/>
    <w:rsid w:val="00AF254B"/>
    <w:rsid w:val="00B00A44"/>
    <w:rsid w:val="00B01460"/>
    <w:rsid w:val="00B0179B"/>
    <w:rsid w:val="00B022DB"/>
    <w:rsid w:val="00B02DB5"/>
    <w:rsid w:val="00B05EB8"/>
    <w:rsid w:val="00B077A8"/>
    <w:rsid w:val="00B101D2"/>
    <w:rsid w:val="00B108D2"/>
    <w:rsid w:val="00B133BB"/>
    <w:rsid w:val="00B14FED"/>
    <w:rsid w:val="00B15D9B"/>
    <w:rsid w:val="00B15EE3"/>
    <w:rsid w:val="00B1656B"/>
    <w:rsid w:val="00B2047D"/>
    <w:rsid w:val="00B22689"/>
    <w:rsid w:val="00B27B61"/>
    <w:rsid w:val="00B3629E"/>
    <w:rsid w:val="00B37EEB"/>
    <w:rsid w:val="00B44499"/>
    <w:rsid w:val="00B4722F"/>
    <w:rsid w:val="00B51A00"/>
    <w:rsid w:val="00B53CF6"/>
    <w:rsid w:val="00B56B37"/>
    <w:rsid w:val="00B57D96"/>
    <w:rsid w:val="00B60EBB"/>
    <w:rsid w:val="00B62C50"/>
    <w:rsid w:val="00B6594B"/>
    <w:rsid w:val="00B6706E"/>
    <w:rsid w:val="00B67758"/>
    <w:rsid w:val="00B70FF6"/>
    <w:rsid w:val="00B77D91"/>
    <w:rsid w:val="00B807B3"/>
    <w:rsid w:val="00B807FC"/>
    <w:rsid w:val="00B812E5"/>
    <w:rsid w:val="00B83758"/>
    <w:rsid w:val="00B84A0E"/>
    <w:rsid w:val="00B86966"/>
    <w:rsid w:val="00B86C86"/>
    <w:rsid w:val="00B94515"/>
    <w:rsid w:val="00B95B93"/>
    <w:rsid w:val="00B970B4"/>
    <w:rsid w:val="00BA3159"/>
    <w:rsid w:val="00BB5E4C"/>
    <w:rsid w:val="00BC0DD4"/>
    <w:rsid w:val="00BC1E2F"/>
    <w:rsid w:val="00BC2537"/>
    <w:rsid w:val="00BD1331"/>
    <w:rsid w:val="00BD14D7"/>
    <w:rsid w:val="00BD2944"/>
    <w:rsid w:val="00BD36A0"/>
    <w:rsid w:val="00BE0588"/>
    <w:rsid w:val="00BE1BE1"/>
    <w:rsid w:val="00BE3533"/>
    <w:rsid w:val="00BE4E4B"/>
    <w:rsid w:val="00BE65D4"/>
    <w:rsid w:val="00BE7960"/>
    <w:rsid w:val="00BF1175"/>
    <w:rsid w:val="00BF4150"/>
    <w:rsid w:val="00BF43E9"/>
    <w:rsid w:val="00C00461"/>
    <w:rsid w:val="00C01F9F"/>
    <w:rsid w:val="00C02E1C"/>
    <w:rsid w:val="00C0604F"/>
    <w:rsid w:val="00C06706"/>
    <w:rsid w:val="00C10311"/>
    <w:rsid w:val="00C11029"/>
    <w:rsid w:val="00C11181"/>
    <w:rsid w:val="00C120D8"/>
    <w:rsid w:val="00C12505"/>
    <w:rsid w:val="00C13AF2"/>
    <w:rsid w:val="00C1633A"/>
    <w:rsid w:val="00C166DD"/>
    <w:rsid w:val="00C22606"/>
    <w:rsid w:val="00C238C5"/>
    <w:rsid w:val="00C247D4"/>
    <w:rsid w:val="00C26661"/>
    <w:rsid w:val="00C30255"/>
    <w:rsid w:val="00C303DB"/>
    <w:rsid w:val="00C308E0"/>
    <w:rsid w:val="00C31642"/>
    <w:rsid w:val="00C31B8E"/>
    <w:rsid w:val="00C33DDD"/>
    <w:rsid w:val="00C359BA"/>
    <w:rsid w:val="00C40209"/>
    <w:rsid w:val="00C418F2"/>
    <w:rsid w:val="00C45FBA"/>
    <w:rsid w:val="00C473D1"/>
    <w:rsid w:val="00C50CBE"/>
    <w:rsid w:val="00C54EBE"/>
    <w:rsid w:val="00C566FF"/>
    <w:rsid w:val="00C57B80"/>
    <w:rsid w:val="00C61185"/>
    <w:rsid w:val="00C679F5"/>
    <w:rsid w:val="00C74B7D"/>
    <w:rsid w:val="00C75D9E"/>
    <w:rsid w:val="00C80B91"/>
    <w:rsid w:val="00C81736"/>
    <w:rsid w:val="00C8288B"/>
    <w:rsid w:val="00C84B50"/>
    <w:rsid w:val="00C85469"/>
    <w:rsid w:val="00C875B3"/>
    <w:rsid w:val="00C92A7E"/>
    <w:rsid w:val="00CA19DF"/>
    <w:rsid w:val="00CA595C"/>
    <w:rsid w:val="00CA7AF0"/>
    <w:rsid w:val="00CB221A"/>
    <w:rsid w:val="00CB2FB2"/>
    <w:rsid w:val="00CB7946"/>
    <w:rsid w:val="00CB7A18"/>
    <w:rsid w:val="00CC60E7"/>
    <w:rsid w:val="00CC7487"/>
    <w:rsid w:val="00CD06A5"/>
    <w:rsid w:val="00CD1E6A"/>
    <w:rsid w:val="00CD34FC"/>
    <w:rsid w:val="00CD706B"/>
    <w:rsid w:val="00CE1EF8"/>
    <w:rsid w:val="00CE213B"/>
    <w:rsid w:val="00CF0AA6"/>
    <w:rsid w:val="00CF4B93"/>
    <w:rsid w:val="00CF5A63"/>
    <w:rsid w:val="00CF6633"/>
    <w:rsid w:val="00CF7130"/>
    <w:rsid w:val="00D076D0"/>
    <w:rsid w:val="00D11375"/>
    <w:rsid w:val="00D134B7"/>
    <w:rsid w:val="00D13894"/>
    <w:rsid w:val="00D20FAA"/>
    <w:rsid w:val="00D21D09"/>
    <w:rsid w:val="00D36A8C"/>
    <w:rsid w:val="00D428F4"/>
    <w:rsid w:val="00D43181"/>
    <w:rsid w:val="00D43EDE"/>
    <w:rsid w:val="00D4536C"/>
    <w:rsid w:val="00D45C41"/>
    <w:rsid w:val="00D45EF1"/>
    <w:rsid w:val="00D461DE"/>
    <w:rsid w:val="00D46223"/>
    <w:rsid w:val="00D50DE5"/>
    <w:rsid w:val="00D54B27"/>
    <w:rsid w:val="00D54CC0"/>
    <w:rsid w:val="00D55035"/>
    <w:rsid w:val="00D578D3"/>
    <w:rsid w:val="00D63DA8"/>
    <w:rsid w:val="00D73A86"/>
    <w:rsid w:val="00D74BA3"/>
    <w:rsid w:val="00D7555A"/>
    <w:rsid w:val="00D7748E"/>
    <w:rsid w:val="00D804D2"/>
    <w:rsid w:val="00D81E2F"/>
    <w:rsid w:val="00D82906"/>
    <w:rsid w:val="00D83060"/>
    <w:rsid w:val="00D84A2D"/>
    <w:rsid w:val="00D8749B"/>
    <w:rsid w:val="00D87DB9"/>
    <w:rsid w:val="00D9436D"/>
    <w:rsid w:val="00DA3088"/>
    <w:rsid w:val="00DA4CF2"/>
    <w:rsid w:val="00DA68EF"/>
    <w:rsid w:val="00DB11D4"/>
    <w:rsid w:val="00DB227F"/>
    <w:rsid w:val="00DC3AC1"/>
    <w:rsid w:val="00DC5105"/>
    <w:rsid w:val="00DD09EF"/>
    <w:rsid w:val="00DD20D1"/>
    <w:rsid w:val="00DD64C5"/>
    <w:rsid w:val="00DD675E"/>
    <w:rsid w:val="00DE14E2"/>
    <w:rsid w:val="00DE15AC"/>
    <w:rsid w:val="00DE2C36"/>
    <w:rsid w:val="00DE2F94"/>
    <w:rsid w:val="00DE4595"/>
    <w:rsid w:val="00DE477A"/>
    <w:rsid w:val="00DE4A91"/>
    <w:rsid w:val="00DE6B35"/>
    <w:rsid w:val="00DE70C2"/>
    <w:rsid w:val="00DF0675"/>
    <w:rsid w:val="00DF46A7"/>
    <w:rsid w:val="00DF4FE6"/>
    <w:rsid w:val="00DF580D"/>
    <w:rsid w:val="00DF6FDA"/>
    <w:rsid w:val="00DF7E2B"/>
    <w:rsid w:val="00E05885"/>
    <w:rsid w:val="00E10BFB"/>
    <w:rsid w:val="00E1249A"/>
    <w:rsid w:val="00E12880"/>
    <w:rsid w:val="00E14D9E"/>
    <w:rsid w:val="00E16DA6"/>
    <w:rsid w:val="00E21904"/>
    <w:rsid w:val="00E21E99"/>
    <w:rsid w:val="00E2228E"/>
    <w:rsid w:val="00E23E56"/>
    <w:rsid w:val="00E30FFC"/>
    <w:rsid w:val="00E327A1"/>
    <w:rsid w:val="00E33EF0"/>
    <w:rsid w:val="00E35957"/>
    <w:rsid w:val="00E36C46"/>
    <w:rsid w:val="00E370BF"/>
    <w:rsid w:val="00E37CB8"/>
    <w:rsid w:val="00E4016D"/>
    <w:rsid w:val="00E510C4"/>
    <w:rsid w:val="00E51B49"/>
    <w:rsid w:val="00E530B7"/>
    <w:rsid w:val="00E54066"/>
    <w:rsid w:val="00E611A2"/>
    <w:rsid w:val="00E61BAB"/>
    <w:rsid w:val="00E729CB"/>
    <w:rsid w:val="00E73C50"/>
    <w:rsid w:val="00E777C8"/>
    <w:rsid w:val="00E8011B"/>
    <w:rsid w:val="00E81EE4"/>
    <w:rsid w:val="00E82DCD"/>
    <w:rsid w:val="00E83444"/>
    <w:rsid w:val="00E83578"/>
    <w:rsid w:val="00E849E6"/>
    <w:rsid w:val="00E84DD9"/>
    <w:rsid w:val="00E870C1"/>
    <w:rsid w:val="00E909E6"/>
    <w:rsid w:val="00E90B70"/>
    <w:rsid w:val="00E924EC"/>
    <w:rsid w:val="00EA27C3"/>
    <w:rsid w:val="00EA2BEE"/>
    <w:rsid w:val="00EA5F36"/>
    <w:rsid w:val="00EA7A70"/>
    <w:rsid w:val="00EB15F9"/>
    <w:rsid w:val="00EB2AAE"/>
    <w:rsid w:val="00EB2FED"/>
    <w:rsid w:val="00EB57CA"/>
    <w:rsid w:val="00EC07F6"/>
    <w:rsid w:val="00EC07FA"/>
    <w:rsid w:val="00EC318A"/>
    <w:rsid w:val="00EC3FB8"/>
    <w:rsid w:val="00EC5B03"/>
    <w:rsid w:val="00EC6D9E"/>
    <w:rsid w:val="00ED3B0C"/>
    <w:rsid w:val="00ED4F97"/>
    <w:rsid w:val="00ED7B80"/>
    <w:rsid w:val="00EE087B"/>
    <w:rsid w:val="00EE0CC2"/>
    <w:rsid w:val="00EE18F8"/>
    <w:rsid w:val="00EE2204"/>
    <w:rsid w:val="00EE31D9"/>
    <w:rsid w:val="00EF0C53"/>
    <w:rsid w:val="00EF0E92"/>
    <w:rsid w:val="00EF3487"/>
    <w:rsid w:val="00EF368A"/>
    <w:rsid w:val="00EF4795"/>
    <w:rsid w:val="00EF4FE0"/>
    <w:rsid w:val="00EF6F9D"/>
    <w:rsid w:val="00EF7495"/>
    <w:rsid w:val="00F016C8"/>
    <w:rsid w:val="00F038F0"/>
    <w:rsid w:val="00F04E2C"/>
    <w:rsid w:val="00F06CE8"/>
    <w:rsid w:val="00F0783D"/>
    <w:rsid w:val="00F12E5F"/>
    <w:rsid w:val="00F14E08"/>
    <w:rsid w:val="00F14EF1"/>
    <w:rsid w:val="00F203B0"/>
    <w:rsid w:val="00F20CD7"/>
    <w:rsid w:val="00F210E9"/>
    <w:rsid w:val="00F2150A"/>
    <w:rsid w:val="00F22AF0"/>
    <w:rsid w:val="00F32A60"/>
    <w:rsid w:val="00F33929"/>
    <w:rsid w:val="00F35BB4"/>
    <w:rsid w:val="00F370E0"/>
    <w:rsid w:val="00F404F0"/>
    <w:rsid w:val="00F424C2"/>
    <w:rsid w:val="00F42C1C"/>
    <w:rsid w:val="00F4744B"/>
    <w:rsid w:val="00F504FB"/>
    <w:rsid w:val="00F55691"/>
    <w:rsid w:val="00F55B87"/>
    <w:rsid w:val="00F6361F"/>
    <w:rsid w:val="00F64E4C"/>
    <w:rsid w:val="00F65724"/>
    <w:rsid w:val="00F66561"/>
    <w:rsid w:val="00F70B21"/>
    <w:rsid w:val="00F71390"/>
    <w:rsid w:val="00F72F62"/>
    <w:rsid w:val="00F73E1F"/>
    <w:rsid w:val="00F77459"/>
    <w:rsid w:val="00F809EE"/>
    <w:rsid w:val="00F844E6"/>
    <w:rsid w:val="00F849DE"/>
    <w:rsid w:val="00F84BE4"/>
    <w:rsid w:val="00F865A3"/>
    <w:rsid w:val="00F868D0"/>
    <w:rsid w:val="00F9026E"/>
    <w:rsid w:val="00F909DB"/>
    <w:rsid w:val="00F9314E"/>
    <w:rsid w:val="00F9432D"/>
    <w:rsid w:val="00F9475F"/>
    <w:rsid w:val="00FA4C1B"/>
    <w:rsid w:val="00FA5355"/>
    <w:rsid w:val="00FA6BF1"/>
    <w:rsid w:val="00FB4542"/>
    <w:rsid w:val="00FB6C2F"/>
    <w:rsid w:val="00FB6F47"/>
    <w:rsid w:val="00FC0091"/>
    <w:rsid w:val="00FC10E9"/>
    <w:rsid w:val="00FC4FF0"/>
    <w:rsid w:val="00FC57BC"/>
    <w:rsid w:val="00FC5D7E"/>
    <w:rsid w:val="00FD01DC"/>
    <w:rsid w:val="00FD01E1"/>
    <w:rsid w:val="00FD13B2"/>
    <w:rsid w:val="00FD3EA0"/>
    <w:rsid w:val="00FD465B"/>
    <w:rsid w:val="00FD4DFC"/>
    <w:rsid w:val="00FD6173"/>
    <w:rsid w:val="00FE19A7"/>
    <w:rsid w:val="00FE3132"/>
    <w:rsid w:val="00FE47F2"/>
    <w:rsid w:val="00FE6C0D"/>
    <w:rsid w:val="00FF10DD"/>
    <w:rsid w:val="00FF199F"/>
    <w:rsid w:val="00FF2F68"/>
    <w:rsid w:val="00FF3C7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817EE"/>
  <w15:docId w15:val="{E74CE97A-50E6-4BCC-AC12-AFDA3263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A2D"/>
    <w:pPr>
      <w:spacing w:after="200" w:line="276" w:lineRule="auto"/>
    </w:pPr>
    <w:rPr>
      <w:rFonts w:ascii="Arial" w:eastAsia="Arial" w:hAnsi="Arial" w:cs="Arial"/>
      <w:lang w:eastAsia="pl-PL"/>
    </w:rPr>
  </w:style>
  <w:style w:type="paragraph" w:styleId="Heading1">
    <w:name w:val="heading 1"/>
    <w:basedOn w:val="Normal"/>
    <w:next w:val="Normal"/>
    <w:link w:val="Heading1Char"/>
    <w:uiPriority w:val="9"/>
    <w:qFormat/>
    <w:rsid w:val="00FE3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4A2D"/>
    <w:pPr>
      <w:keepNext/>
      <w:keepLines/>
      <w:spacing w:after="100"/>
      <w:outlineLvl w:val="1"/>
    </w:pPr>
    <w:rPr>
      <w:rFonts w:ascii="Calibri" w:eastAsia="Calibri" w:hAnsi="Calibri" w:cs="Calibri"/>
      <w:b/>
      <w:smallCaps/>
      <w:color w:val="008B98"/>
      <w:sz w:val="18"/>
      <w:szCs w:val="18"/>
    </w:rPr>
  </w:style>
  <w:style w:type="paragraph" w:styleId="Heading3">
    <w:name w:val="heading 3"/>
    <w:basedOn w:val="Normal"/>
    <w:next w:val="Normal"/>
    <w:link w:val="Heading3Char"/>
    <w:uiPriority w:val="9"/>
    <w:semiHidden/>
    <w:unhideWhenUsed/>
    <w:qFormat/>
    <w:rsid w:val="00D84A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4A2D"/>
    <w:rPr>
      <w:rFonts w:ascii="Calibri" w:eastAsia="Calibri" w:hAnsi="Calibri" w:cs="Calibri"/>
      <w:b/>
      <w:smallCaps/>
      <w:color w:val="008B98"/>
      <w:sz w:val="18"/>
      <w:szCs w:val="18"/>
      <w:lang w:eastAsia="pl-PL"/>
    </w:rPr>
  </w:style>
  <w:style w:type="paragraph" w:styleId="Footer">
    <w:name w:val="footer"/>
    <w:basedOn w:val="Normal"/>
    <w:link w:val="FooterChar"/>
    <w:uiPriority w:val="99"/>
    <w:unhideWhenUsed/>
    <w:rsid w:val="00D84A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4A2D"/>
    <w:rPr>
      <w:rFonts w:ascii="Arial" w:eastAsia="Arial" w:hAnsi="Arial" w:cs="Arial"/>
      <w:lang w:eastAsia="pl-PL"/>
    </w:rPr>
  </w:style>
  <w:style w:type="character" w:styleId="Hyperlink">
    <w:name w:val="Hyperlink"/>
    <w:basedOn w:val="DefaultParagraphFont"/>
    <w:unhideWhenUsed/>
    <w:qFormat/>
    <w:rsid w:val="00D84A2D"/>
    <w:rPr>
      <w:color w:val="4472C4" w:themeColor="accent1"/>
      <w:u w:val="single"/>
    </w:rPr>
  </w:style>
  <w:style w:type="table" w:styleId="TableGrid">
    <w:name w:val="Table Grid"/>
    <w:basedOn w:val="TableNormal"/>
    <w:uiPriority w:val="59"/>
    <w:rsid w:val="00D84A2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Name">
    <w:name w:val="ContactName"/>
    <w:basedOn w:val="Heading3"/>
    <w:qFormat/>
    <w:rsid w:val="00D84A2D"/>
    <w:pPr>
      <w:spacing w:before="0" w:line="216" w:lineRule="atLeast"/>
    </w:pPr>
    <w:rPr>
      <w:rFonts w:ascii="Calibri" w:eastAsia="Times New Roman" w:hAnsi="Calibri" w:cs="Times New Roman"/>
      <w:b/>
      <w:bCs/>
      <w:color w:val="008B98"/>
      <w:sz w:val="18"/>
      <w:lang w:val="en-GB" w:eastAsia="en-GB"/>
    </w:rPr>
  </w:style>
  <w:style w:type="paragraph" w:customStyle="1" w:styleId="ContactDetail">
    <w:name w:val="ContactDetail"/>
    <w:basedOn w:val="Normal"/>
    <w:rsid w:val="00D84A2D"/>
    <w:pPr>
      <w:spacing w:after="0" w:line="216" w:lineRule="atLeast"/>
    </w:pPr>
    <w:rPr>
      <w:rFonts w:ascii="Calibri" w:eastAsia="Times New Roman" w:hAnsi="Calibri" w:cs="Times New Roman"/>
      <w:color w:val="000000"/>
      <w:sz w:val="18"/>
      <w:szCs w:val="24"/>
      <w:lang w:val="en-GB" w:eastAsia="en-GB"/>
    </w:rPr>
  </w:style>
  <w:style w:type="character" w:customStyle="1" w:styleId="Brak">
    <w:name w:val="Brak"/>
    <w:rsid w:val="00D84A2D"/>
  </w:style>
  <w:style w:type="character" w:customStyle="1" w:styleId="Hyperlink0">
    <w:name w:val="Hyperlink.0"/>
    <w:basedOn w:val="Brak"/>
    <w:rsid w:val="00D84A2D"/>
  </w:style>
  <w:style w:type="table" w:customStyle="1" w:styleId="PlainTable41">
    <w:name w:val="Plain Table 41"/>
    <w:basedOn w:val="TableNormal"/>
    <w:uiPriority w:val="44"/>
    <w:rsid w:val="00D84A2D"/>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D84A2D"/>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D84A2D"/>
    <w:rPr>
      <w:rFonts w:ascii="Calibri" w:eastAsia="Times New Roman" w:hAnsi="Calibri" w:cs="Consolas"/>
      <w:szCs w:val="21"/>
      <w:lang w:eastAsia="pl-PL"/>
    </w:rPr>
  </w:style>
  <w:style w:type="character" w:customStyle="1" w:styleId="Heading3Char">
    <w:name w:val="Heading 3 Char"/>
    <w:basedOn w:val="DefaultParagraphFont"/>
    <w:link w:val="Heading3"/>
    <w:uiPriority w:val="9"/>
    <w:semiHidden/>
    <w:rsid w:val="00D84A2D"/>
    <w:rPr>
      <w:rFonts w:asciiTheme="majorHAnsi" w:eastAsiaTheme="majorEastAsia" w:hAnsiTheme="majorHAnsi" w:cstheme="majorBidi"/>
      <w:color w:val="1F3763" w:themeColor="accent1" w:themeShade="7F"/>
      <w:sz w:val="24"/>
      <w:szCs w:val="24"/>
      <w:lang w:eastAsia="pl-PL"/>
    </w:rPr>
  </w:style>
  <w:style w:type="character" w:styleId="CommentReference">
    <w:name w:val="annotation reference"/>
    <w:basedOn w:val="DefaultParagraphFont"/>
    <w:uiPriority w:val="99"/>
    <w:semiHidden/>
    <w:unhideWhenUsed/>
    <w:rsid w:val="00CB2FB2"/>
    <w:rPr>
      <w:sz w:val="16"/>
      <w:szCs w:val="16"/>
    </w:rPr>
  </w:style>
  <w:style w:type="paragraph" w:styleId="CommentText">
    <w:name w:val="annotation text"/>
    <w:basedOn w:val="Normal"/>
    <w:link w:val="CommentTextChar"/>
    <w:uiPriority w:val="99"/>
    <w:unhideWhenUsed/>
    <w:rsid w:val="00CB2FB2"/>
    <w:pPr>
      <w:spacing w:line="240" w:lineRule="auto"/>
    </w:pPr>
    <w:rPr>
      <w:sz w:val="20"/>
      <w:szCs w:val="20"/>
    </w:rPr>
  </w:style>
  <w:style w:type="character" w:customStyle="1" w:styleId="CommentTextChar">
    <w:name w:val="Comment Text Char"/>
    <w:basedOn w:val="DefaultParagraphFont"/>
    <w:link w:val="CommentText"/>
    <w:uiPriority w:val="99"/>
    <w:rsid w:val="00CB2FB2"/>
    <w:rPr>
      <w:rFonts w:ascii="Arial" w:eastAsia="Arial" w:hAnsi="Arial" w:cs="Arial"/>
      <w:sz w:val="20"/>
      <w:szCs w:val="20"/>
      <w:lang w:eastAsia="pl-PL"/>
    </w:rPr>
  </w:style>
  <w:style w:type="paragraph" w:styleId="CommentSubject">
    <w:name w:val="annotation subject"/>
    <w:basedOn w:val="CommentText"/>
    <w:next w:val="CommentText"/>
    <w:link w:val="CommentSubjectChar"/>
    <w:uiPriority w:val="99"/>
    <w:semiHidden/>
    <w:unhideWhenUsed/>
    <w:rsid w:val="00CB2FB2"/>
    <w:rPr>
      <w:b/>
      <w:bCs/>
    </w:rPr>
  </w:style>
  <w:style w:type="character" w:customStyle="1" w:styleId="CommentSubjectChar">
    <w:name w:val="Comment Subject Char"/>
    <w:basedOn w:val="CommentTextChar"/>
    <w:link w:val="CommentSubject"/>
    <w:uiPriority w:val="99"/>
    <w:semiHidden/>
    <w:rsid w:val="00CB2FB2"/>
    <w:rPr>
      <w:rFonts w:ascii="Arial" w:eastAsia="Arial" w:hAnsi="Arial" w:cs="Arial"/>
      <w:b/>
      <w:bCs/>
      <w:sz w:val="20"/>
      <w:szCs w:val="20"/>
      <w:lang w:eastAsia="pl-PL"/>
    </w:rPr>
  </w:style>
  <w:style w:type="paragraph" w:styleId="BalloonText">
    <w:name w:val="Balloon Text"/>
    <w:basedOn w:val="Normal"/>
    <w:link w:val="BalloonTextChar"/>
    <w:uiPriority w:val="99"/>
    <w:semiHidden/>
    <w:unhideWhenUsed/>
    <w:rsid w:val="00CB2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FB2"/>
    <w:rPr>
      <w:rFonts w:ascii="Segoe UI" w:eastAsia="Arial" w:hAnsi="Segoe UI" w:cs="Segoe UI"/>
      <w:sz w:val="18"/>
      <w:szCs w:val="18"/>
      <w:lang w:eastAsia="pl-PL"/>
    </w:rPr>
  </w:style>
  <w:style w:type="paragraph" w:styleId="Revision">
    <w:name w:val="Revision"/>
    <w:hidden/>
    <w:uiPriority w:val="99"/>
    <w:semiHidden/>
    <w:rsid w:val="005323BE"/>
    <w:pPr>
      <w:spacing w:after="0" w:line="240" w:lineRule="auto"/>
    </w:pPr>
    <w:rPr>
      <w:rFonts w:ascii="Arial" w:eastAsia="Arial" w:hAnsi="Arial" w:cs="Arial"/>
      <w:lang w:eastAsia="pl-PL"/>
    </w:rPr>
  </w:style>
  <w:style w:type="paragraph" w:styleId="EndnoteText">
    <w:name w:val="endnote text"/>
    <w:basedOn w:val="Normal"/>
    <w:link w:val="EndnoteTextChar"/>
    <w:uiPriority w:val="99"/>
    <w:semiHidden/>
    <w:unhideWhenUsed/>
    <w:rsid w:val="00976C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6C95"/>
    <w:rPr>
      <w:rFonts w:ascii="Arial" w:eastAsia="Arial" w:hAnsi="Arial" w:cs="Arial"/>
      <w:sz w:val="20"/>
      <w:szCs w:val="20"/>
      <w:lang w:eastAsia="pl-PL"/>
    </w:rPr>
  </w:style>
  <w:style w:type="character" w:styleId="EndnoteReference">
    <w:name w:val="endnote reference"/>
    <w:basedOn w:val="DefaultParagraphFont"/>
    <w:uiPriority w:val="99"/>
    <w:semiHidden/>
    <w:unhideWhenUsed/>
    <w:rsid w:val="00976C95"/>
    <w:rPr>
      <w:vertAlign w:val="superscript"/>
    </w:rPr>
  </w:style>
  <w:style w:type="paragraph" w:styleId="Header">
    <w:name w:val="header"/>
    <w:basedOn w:val="Normal"/>
    <w:link w:val="HeaderChar"/>
    <w:uiPriority w:val="99"/>
    <w:unhideWhenUsed/>
    <w:rsid w:val="00B77D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7D91"/>
    <w:rPr>
      <w:rFonts w:ascii="Arial" w:eastAsia="Arial" w:hAnsi="Arial" w:cs="Arial"/>
      <w:lang w:eastAsia="pl-PL"/>
    </w:rPr>
  </w:style>
  <w:style w:type="character" w:customStyle="1" w:styleId="Nierozpoznanawzmianka1">
    <w:name w:val="Nierozpoznana wzmianka1"/>
    <w:basedOn w:val="DefaultParagraphFont"/>
    <w:uiPriority w:val="99"/>
    <w:semiHidden/>
    <w:unhideWhenUsed/>
    <w:rsid w:val="00B77D91"/>
    <w:rPr>
      <w:color w:val="605E5C"/>
      <w:shd w:val="clear" w:color="auto" w:fill="E1DFDD"/>
    </w:rPr>
  </w:style>
  <w:style w:type="character" w:customStyle="1" w:styleId="Nierozpoznanawzmianka2">
    <w:name w:val="Nierozpoznana wzmianka2"/>
    <w:basedOn w:val="DefaultParagraphFont"/>
    <w:uiPriority w:val="99"/>
    <w:semiHidden/>
    <w:unhideWhenUsed/>
    <w:rsid w:val="006B635B"/>
    <w:rPr>
      <w:color w:val="605E5C"/>
      <w:shd w:val="clear" w:color="auto" w:fill="E1DFDD"/>
    </w:rPr>
  </w:style>
  <w:style w:type="paragraph" w:customStyle="1" w:styleId="western">
    <w:name w:val="western"/>
    <w:basedOn w:val="Normal"/>
    <w:rsid w:val="00FE3132"/>
    <w:pPr>
      <w:spacing w:before="100" w:beforeAutospacing="1" w:after="100" w:afterAutospacing="1" w:line="240" w:lineRule="auto"/>
    </w:pPr>
    <w:rPr>
      <w:rFonts w:ascii="Calibri" w:eastAsiaTheme="minorHAnsi" w:hAnsi="Calibri" w:cs="Calibri"/>
    </w:rPr>
  </w:style>
  <w:style w:type="character" w:styleId="Strong">
    <w:name w:val="Strong"/>
    <w:basedOn w:val="DefaultParagraphFont"/>
    <w:uiPriority w:val="22"/>
    <w:qFormat/>
    <w:rsid w:val="00FE3132"/>
    <w:rPr>
      <w:b/>
      <w:bCs/>
    </w:rPr>
  </w:style>
  <w:style w:type="character" w:customStyle="1" w:styleId="Heading1Char">
    <w:name w:val="Heading 1 Char"/>
    <w:basedOn w:val="DefaultParagraphFont"/>
    <w:link w:val="Heading1"/>
    <w:uiPriority w:val="9"/>
    <w:rsid w:val="00FE3132"/>
    <w:rPr>
      <w:rFonts w:asciiTheme="majorHAnsi" w:eastAsiaTheme="majorEastAsia" w:hAnsiTheme="majorHAnsi" w:cstheme="majorBidi"/>
      <w:color w:val="2F5496" w:themeColor="accent1" w:themeShade="BF"/>
      <w:sz w:val="32"/>
      <w:szCs w:val="32"/>
      <w:lang w:eastAsia="pl-PL"/>
    </w:rPr>
  </w:style>
  <w:style w:type="character" w:styleId="Emphasis">
    <w:name w:val="Emphasis"/>
    <w:basedOn w:val="DefaultParagraphFont"/>
    <w:uiPriority w:val="20"/>
    <w:qFormat/>
    <w:rsid w:val="00E909E6"/>
    <w:rPr>
      <w:i/>
      <w:iCs/>
    </w:rPr>
  </w:style>
  <w:style w:type="character" w:customStyle="1" w:styleId="cf01">
    <w:name w:val="cf01"/>
    <w:basedOn w:val="DefaultParagraphFont"/>
    <w:rsid w:val="00167436"/>
    <w:rPr>
      <w:rFonts w:ascii="Segoe UI" w:hAnsi="Segoe UI" w:cs="Segoe UI" w:hint="default"/>
      <w:sz w:val="18"/>
      <w:szCs w:val="18"/>
    </w:rPr>
  </w:style>
  <w:style w:type="character" w:customStyle="1" w:styleId="apple-converted-space">
    <w:name w:val="apple-converted-space"/>
    <w:basedOn w:val="DefaultParagraphFont"/>
    <w:rsid w:val="00775E16"/>
  </w:style>
  <w:style w:type="paragraph" w:styleId="ListParagraph">
    <w:name w:val="List Paragraph"/>
    <w:basedOn w:val="Normal"/>
    <w:uiPriority w:val="34"/>
    <w:qFormat/>
    <w:rsid w:val="00AF11EE"/>
    <w:pPr>
      <w:spacing w:after="0" w:line="240" w:lineRule="auto"/>
      <w:ind w:left="720"/>
    </w:pPr>
    <w:rPr>
      <w:rFonts w:ascii="Calibri" w:eastAsiaTheme="minorHAnsi" w:hAnsi="Calibri" w:cs="Calibri"/>
      <w:lang w:val="en-GB" w:eastAsia="en-GB"/>
      <w14:ligatures w14:val="standardContextual"/>
    </w:rPr>
  </w:style>
  <w:style w:type="paragraph" w:styleId="NormalWeb">
    <w:name w:val="Normal (Web)"/>
    <w:basedOn w:val="Normal"/>
    <w:uiPriority w:val="99"/>
    <w:unhideWhenUsed/>
    <w:rsid w:val="00AF11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AF11EE"/>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F11EE"/>
    <w:rPr>
      <w:sz w:val="20"/>
      <w:szCs w:val="20"/>
    </w:rPr>
  </w:style>
  <w:style w:type="character" w:styleId="FootnoteReference">
    <w:name w:val="footnote reference"/>
    <w:basedOn w:val="DefaultParagraphFont"/>
    <w:uiPriority w:val="99"/>
    <w:semiHidden/>
    <w:unhideWhenUsed/>
    <w:rsid w:val="00AF11EE"/>
    <w:rPr>
      <w:vertAlign w:val="superscript"/>
    </w:rPr>
  </w:style>
  <w:style w:type="character" w:customStyle="1" w:styleId="normaltextrun">
    <w:name w:val="normaltextrun"/>
    <w:basedOn w:val="DefaultParagraphFont"/>
    <w:rsid w:val="00C0604F"/>
  </w:style>
  <w:style w:type="character" w:customStyle="1" w:styleId="eop">
    <w:name w:val="eop"/>
    <w:basedOn w:val="DefaultParagraphFont"/>
    <w:rsid w:val="00C0604F"/>
  </w:style>
  <w:style w:type="paragraph" w:customStyle="1" w:styleId="pf0">
    <w:name w:val="pf0"/>
    <w:basedOn w:val="Normal"/>
    <w:rsid w:val="00A12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C62BD"/>
    <w:rPr>
      <w:color w:val="605E5C"/>
      <w:shd w:val="clear" w:color="auto" w:fill="E1DFDD"/>
    </w:rPr>
  </w:style>
  <w:style w:type="character" w:styleId="FollowedHyperlink">
    <w:name w:val="FollowedHyperlink"/>
    <w:basedOn w:val="DefaultParagraphFont"/>
    <w:uiPriority w:val="99"/>
    <w:semiHidden/>
    <w:unhideWhenUsed/>
    <w:rsid w:val="00B70FF6"/>
    <w:rPr>
      <w:color w:val="954F72" w:themeColor="followedHyperlink"/>
      <w:u w:val="single"/>
    </w:rPr>
  </w:style>
  <w:style w:type="character" w:styleId="UnresolvedMention">
    <w:name w:val="Unresolved Mention"/>
    <w:basedOn w:val="DefaultParagraphFont"/>
    <w:uiPriority w:val="99"/>
    <w:semiHidden/>
    <w:unhideWhenUsed/>
    <w:rsid w:val="007E6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75282">
      <w:bodyDiv w:val="1"/>
      <w:marLeft w:val="0"/>
      <w:marRight w:val="0"/>
      <w:marTop w:val="0"/>
      <w:marBottom w:val="0"/>
      <w:divBdr>
        <w:top w:val="none" w:sz="0" w:space="0" w:color="auto"/>
        <w:left w:val="none" w:sz="0" w:space="0" w:color="auto"/>
        <w:bottom w:val="none" w:sz="0" w:space="0" w:color="auto"/>
        <w:right w:val="none" w:sz="0" w:space="0" w:color="auto"/>
      </w:divBdr>
    </w:div>
    <w:div w:id="141046173">
      <w:bodyDiv w:val="1"/>
      <w:marLeft w:val="0"/>
      <w:marRight w:val="0"/>
      <w:marTop w:val="0"/>
      <w:marBottom w:val="0"/>
      <w:divBdr>
        <w:top w:val="none" w:sz="0" w:space="0" w:color="auto"/>
        <w:left w:val="none" w:sz="0" w:space="0" w:color="auto"/>
        <w:bottom w:val="none" w:sz="0" w:space="0" w:color="auto"/>
        <w:right w:val="none" w:sz="0" w:space="0" w:color="auto"/>
      </w:divBdr>
    </w:div>
    <w:div w:id="142620705">
      <w:bodyDiv w:val="1"/>
      <w:marLeft w:val="0"/>
      <w:marRight w:val="0"/>
      <w:marTop w:val="0"/>
      <w:marBottom w:val="0"/>
      <w:divBdr>
        <w:top w:val="none" w:sz="0" w:space="0" w:color="auto"/>
        <w:left w:val="none" w:sz="0" w:space="0" w:color="auto"/>
        <w:bottom w:val="none" w:sz="0" w:space="0" w:color="auto"/>
        <w:right w:val="none" w:sz="0" w:space="0" w:color="auto"/>
      </w:divBdr>
    </w:div>
    <w:div w:id="151680783">
      <w:bodyDiv w:val="1"/>
      <w:marLeft w:val="0"/>
      <w:marRight w:val="0"/>
      <w:marTop w:val="0"/>
      <w:marBottom w:val="0"/>
      <w:divBdr>
        <w:top w:val="none" w:sz="0" w:space="0" w:color="auto"/>
        <w:left w:val="none" w:sz="0" w:space="0" w:color="auto"/>
        <w:bottom w:val="none" w:sz="0" w:space="0" w:color="auto"/>
        <w:right w:val="none" w:sz="0" w:space="0" w:color="auto"/>
      </w:divBdr>
      <w:divsChild>
        <w:div w:id="792941911">
          <w:marLeft w:val="0"/>
          <w:marRight w:val="0"/>
          <w:marTop w:val="0"/>
          <w:marBottom w:val="0"/>
          <w:divBdr>
            <w:top w:val="none" w:sz="0" w:space="0" w:color="auto"/>
            <w:left w:val="none" w:sz="0" w:space="0" w:color="auto"/>
            <w:bottom w:val="none" w:sz="0" w:space="0" w:color="auto"/>
            <w:right w:val="none" w:sz="0" w:space="0" w:color="auto"/>
          </w:divBdr>
          <w:divsChild>
            <w:div w:id="308903085">
              <w:marLeft w:val="0"/>
              <w:marRight w:val="0"/>
              <w:marTop w:val="0"/>
              <w:marBottom w:val="0"/>
              <w:divBdr>
                <w:top w:val="none" w:sz="0" w:space="0" w:color="auto"/>
                <w:left w:val="none" w:sz="0" w:space="0" w:color="auto"/>
                <w:bottom w:val="none" w:sz="0" w:space="0" w:color="auto"/>
                <w:right w:val="none" w:sz="0" w:space="0" w:color="auto"/>
              </w:divBdr>
              <w:divsChild>
                <w:div w:id="1441418176">
                  <w:marLeft w:val="0"/>
                  <w:marRight w:val="0"/>
                  <w:marTop w:val="0"/>
                  <w:marBottom w:val="0"/>
                  <w:divBdr>
                    <w:top w:val="none" w:sz="0" w:space="0" w:color="auto"/>
                    <w:left w:val="none" w:sz="0" w:space="0" w:color="auto"/>
                    <w:bottom w:val="none" w:sz="0" w:space="0" w:color="auto"/>
                    <w:right w:val="none" w:sz="0" w:space="0" w:color="auto"/>
                  </w:divBdr>
                  <w:divsChild>
                    <w:div w:id="9303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96890">
      <w:bodyDiv w:val="1"/>
      <w:marLeft w:val="0"/>
      <w:marRight w:val="0"/>
      <w:marTop w:val="0"/>
      <w:marBottom w:val="0"/>
      <w:divBdr>
        <w:top w:val="none" w:sz="0" w:space="0" w:color="auto"/>
        <w:left w:val="none" w:sz="0" w:space="0" w:color="auto"/>
        <w:bottom w:val="none" w:sz="0" w:space="0" w:color="auto"/>
        <w:right w:val="none" w:sz="0" w:space="0" w:color="auto"/>
      </w:divBdr>
    </w:div>
    <w:div w:id="206381371">
      <w:bodyDiv w:val="1"/>
      <w:marLeft w:val="0"/>
      <w:marRight w:val="0"/>
      <w:marTop w:val="0"/>
      <w:marBottom w:val="0"/>
      <w:divBdr>
        <w:top w:val="none" w:sz="0" w:space="0" w:color="auto"/>
        <w:left w:val="none" w:sz="0" w:space="0" w:color="auto"/>
        <w:bottom w:val="none" w:sz="0" w:space="0" w:color="auto"/>
        <w:right w:val="none" w:sz="0" w:space="0" w:color="auto"/>
      </w:divBdr>
    </w:div>
    <w:div w:id="236403550">
      <w:bodyDiv w:val="1"/>
      <w:marLeft w:val="0"/>
      <w:marRight w:val="0"/>
      <w:marTop w:val="0"/>
      <w:marBottom w:val="0"/>
      <w:divBdr>
        <w:top w:val="none" w:sz="0" w:space="0" w:color="auto"/>
        <w:left w:val="none" w:sz="0" w:space="0" w:color="auto"/>
        <w:bottom w:val="none" w:sz="0" w:space="0" w:color="auto"/>
        <w:right w:val="none" w:sz="0" w:space="0" w:color="auto"/>
      </w:divBdr>
    </w:div>
    <w:div w:id="343946525">
      <w:bodyDiv w:val="1"/>
      <w:marLeft w:val="0"/>
      <w:marRight w:val="0"/>
      <w:marTop w:val="0"/>
      <w:marBottom w:val="0"/>
      <w:divBdr>
        <w:top w:val="none" w:sz="0" w:space="0" w:color="auto"/>
        <w:left w:val="none" w:sz="0" w:space="0" w:color="auto"/>
        <w:bottom w:val="none" w:sz="0" w:space="0" w:color="auto"/>
        <w:right w:val="none" w:sz="0" w:space="0" w:color="auto"/>
      </w:divBdr>
    </w:div>
    <w:div w:id="350686496">
      <w:bodyDiv w:val="1"/>
      <w:marLeft w:val="0"/>
      <w:marRight w:val="0"/>
      <w:marTop w:val="0"/>
      <w:marBottom w:val="0"/>
      <w:divBdr>
        <w:top w:val="none" w:sz="0" w:space="0" w:color="auto"/>
        <w:left w:val="none" w:sz="0" w:space="0" w:color="auto"/>
        <w:bottom w:val="none" w:sz="0" w:space="0" w:color="auto"/>
        <w:right w:val="none" w:sz="0" w:space="0" w:color="auto"/>
      </w:divBdr>
    </w:div>
    <w:div w:id="457918216">
      <w:bodyDiv w:val="1"/>
      <w:marLeft w:val="0"/>
      <w:marRight w:val="0"/>
      <w:marTop w:val="0"/>
      <w:marBottom w:val="0"/>
      <w:divBdr>
        <w:top w:val="none" w:sz="0" w:space="0" w:color="auto"/>
        <w:left w:val="none" w:sz="0" w:space="0" w:color="auto"/>
        <w:bottom w:val="none" w:sz="0" w:space="0" w:color="auto"/>
        <w:right w:val="none" w:sz="0" w:space="0" w:color="auto"/>
      </w:divBdr>
    </w:div>
    <w:div w:id="467286758">
      <w:bodyDiv w:val="1"/>
      <w:marLeft w:val="0"/>
      <w:marRight w:val="0"/>
      <w:marTop w:val="0"/>
      <w:marBottom w:val="0"/>
      <w:divBdr>
        <w:top w:val="none" w:sz="0" w:space="0" w:color="auto"/>
        <w:left w:val="none" w:sz="0" w:space="0" w:color="auto"/>
        <w:bottom w:val="none" w:sz="0" w:space="0" w:color="auto"/>
        <w:right w:val="none" w:sz="0" w:space="0" w:color="auto"/>
      </w:divBdr>
    </w:div>
    <w:div w:id="485362448">
      <w:bodyDiv w:val="1"/>
      <w:marLeft w:val="0"/>
      <w:marRight w:val="0"/>
      <w:marTop w:val="0"/>
      <w:marBottom w:val="0"/>
      <w:divBdr>
        <w:top w:val="none" w:sz="0" w:space="0" w:color="auto"/>
        <w:left w:val="none" w:sz="0" w:space="0" w:color="auto"/>
        <w:bottom w:val="none" w:sz="0" w:space="0" w:color="auto"/>
        <w:right w:val="none" w:sz="0" w:space="0" w:color="auto"/>
      </w:divBdr>
    </w:div>
    <w:div w:id="531765155">
      <w:bodyDiv w:val="1"/>
      <w:marLeft w:val="0"/>
      <w:marRight w:val="0"/>
      <w:marTop w:val="0"/>
      <w:marBottom w:val="0"/>
      <w:divBdr>
        <w:top w:val="none" w:sz="0" w:space="0" w:color="auto"/>
        <w:left w:val="none" w:sz="0" w:space="0" w:color="auto"/>
        <w:bottom w:val="none" w:sz="0" w:space="0" w:color="auto"/>
        <w:right w:val="none" w:sz="0" w:space="0" w:color="auto"/>
      </w:divBdr>
    </w:div>
    <w:div w:id="570240931">
      <w:bodyDiv w:val="1"/>
      <w:marLeft w:val="0"/>
      <w:marRight w:val="0"/>
      <w:marTop w:val="0"/>
      <w:marBottom w:val="0"/>
      <w:divBdr>
        <w:top w:val="none" w:sz="0" w:space="0" w:color="auto"/>
        <w:left w:val="none" w:sz="0" w:space="0" w:color="auto"/>
        <w:bottom w:val="none" w:sz="0" w:space="0" w:color="auto"/>
        <w:right w:val="none" w:sz="0" w:space="0" w:color="auto"/>
      </w:divBdr>
    </w:div>
    <w:div w:id="596065744">
      <w:bodyDiv w:val="1"/>
      <w:marLeft w:val="0"/>
      <w:marRight w:val="0"/>
      <w:marTop w:val="0"/>
      <w:marBottom w:val="0"/>
      <w:divBdr>
        <w:top w:val="none" w:sz="0" w:space="0" w:color="auto"/>
        <w:left w:val="none" w:sz="0" w:space="0" w:color="auto"/>
        <w:bottom w:val="none" w:sz="0" w:space="0" w:color="auto"/>
        <w:right w:val="none" w:sz="0" w:space="0" w:color="auto"/>
      </w:divBdr>
    </w:div>
    <w:div w:id="690228541">
      <w:bodyDiv w:val="1"/>
      <w:marLeft w:val="0"/>
      <w:marRight w:val="0"/>
      <w:marTop w:val="0"/>
      <w:marBottom w:val="0"/>
      <w:divBdr>
        <w:top w:val="none" w:sz="0" w:space="0" w:color="auto"/>
        <w:left w:val="none" w:sz="0" w:space="0" w:color="auto"/>
        <w:bottom w:val="none" w:sz="0" w:space="0" w:color="auto"/>
        <w:right w:val="none" w:sz="0" w:space="0" w:color="auto"/>
      </w:divBdr>
    </w:div>
    <w:div w:id="724794755">
      <w:bodyDiv w:val="1"/>
      <w:marLeft w:val="0"/>
      <w:marRight w:val="0"/>
      <w:marTop w:val="0"/>
      <w:marBottom w:val="0"/>
      <w:divBdr>
        <w:top w:val="none" w:sz="0" w:space="0" w:color="auto"/>
        <w:left w:val="none" w:sz="0" w:space="0" w:color="auto"/>
        <w:bottom w:val="none" w:sz="0" w:space="0" w:color="auto"/>
        <w:right w:val="none" w:sz="0" w:space="0" w:color="auto"/>
      </w:divBdr>
    </w:div>
    <w:div w:id="800079891">
      <w:bodyDiv w:val="1"/>
      <w:marLeft w:val="0"/>
      <w:marRight w:val="0"/>
      <w:marTop w:val="0"/>
      <w:marBottom w:val="0"/>
      <w:divBdr>
        <w:top w:val="none" w:sz="0" w:space="0" w:color="auto"/>
        <w:left w:val="none" w:sz="0" w:space="0" w:color="auto"/>
        <w:bottom w:val="none" w:sz="0" w:space="0" w:color="auto"/>
        <w:right w:val="none" w:sz="0" w:space="0" w:color="auto"/>
      </w:divBdr>
    </w:div>
    <w:div w:id="854810316">
      <w:bodyDiv w:val="1"/>
      <w:marLeft w:val="0"/>
      <w:marRight w:val="0"/>
      <w:marTop w:val="0"/>
      <w:marBottom w:val="0"/>
      <w:divBdr>
        <w:top w:val="none" w:sz="0" w:space="0" w:color="auto"/>
        <w:left w:val="none" w:sz="0" w:space="0" w:color="auto"/>
        <w:bottom w:val="none" w:sz="0" w:space="0" w:color="auto"/>
        <w:right w:val="none" w:sz="0" w:space="0" w:color="auto"/>
      </w:divBdr>
    </w:div>
    <w:div w:id="978025764">
      <w:bodyDiv w:val="1"/>
      <w:marLeft w:val="0"/>
      <w:marRight w:val="0"/>
      <w:marTop w:val="0"/>
      <w:marBottom w:val="0"/>
      <w:divBdr>
        <w:top w:val="none" w:sz="0" w:space="0" w:color="auto"/>
        <w:left w:val="none" w:sz="0" w:space="0" w:color="auto"/>
        <w:bottom w:val="none" w:sz="0" w:space="0" w:color="auto"/>
        <w:right w:val="none" w:sz="0" w:space="0" w:color="auto"/>
      </w:divBdr>
    </w:div>
    <w:div w:id="1115178985">
      <w:bodyDiv w:val="1"/>
      <w:marLeft w:val="0"/>
      <w:marRight w:val="0"/>
      <w:marTop w:val="0"/>
      <w:marBottom w:val="0"/>
      <w:divBdr>
        <w:top w:val="none" w:sz="0" w:space="0" w:color="auto"/>
        <w:left w:val="none" w:sz="0" w:space="0" w:color="auto"/>
        <w:bottom w:val="none" w:sz="0" w:space="0" w:color="auto"/>
        <w:right w:val="none" w:sz="0" w:space="0" w:color="auto"/>
      </w:divBdr>
    </w:div>
    <w:div w:id="1208226050">
      <w:bodyDiv w:val="1"/>
      <w:marLeft w:val="0"/>
      <w:marRight w:val="0"/>
      <w:marTop w:val="0"/>
      <w:marBottom w:val="0"/>
      <w:divBdr>
        <w:top w:val="none" w:sz="0" w:space="0" w:color="auto"/>
        <w:left w:val="none" w:sz="0" w:space="0" w:color="auto"/>
        <w:bottom w:val="none" w:sz="0" w:space="0" w:color="auto"/>
        <w:right w:val="none" w:sz="0" w:space="0" w:color="auto"/>
      </w:divBdr>
    </w:div>
    <w:div w:id="1237283063">
      <w:bodyDiv w:val="1"/>
      <w:marLeft w:val="0"/>
      <w:marRight w:val="0"/>
      <w:marTop w:val="0"/>
      <w:marBottom w:val="0"/>
      <w:divBdr>
        <w:top w:val="none" w:sz="0" w:space="0" w:color="auto"/>
        <w:left w:val="none" w:sz="0" w:space="0" w:color="auto"/>
        <w:bottom w:val="none" w:sz="0" w:space="0" w:color="auto"/>
        <w:right w:val="none" w:sz="0" w:space="0" w:color="auto"/>
      </w:divBdr>
    </w:div>
    <w:div w:id="1360165170">
      <w:bodyDiv w:val="1"/>
      <w:marLeft w:val="0"/>
      <w:marRight w:val="0"/>
      <w:marTop w:val="0"/>
      <w:marBottom w:val="0"/>
      <w:divBdr>
        <w:top w:val="none" w:sz="0" w:space="0" w:color="auto"/>
        <w:left w:val="none" w:sz="0" w:space="0" w:color="auto"/>
        <w:bottom w:val="none" w:sz="0" w:space="0" w:color="auto"/>
        <w:right w:val="none" w:sz="0" w:space="0" w:color="auto"/>
      </w:divBdr>
    </w:div>
    <w:div w:id="1364021292">
      <w:bodyDiv w:val="1"/>
      <w:marLeft w:val="0"/>
      <w:marRight w:val="0"/>
      <w:marTop w:val="0"/>
      <w:marBottom w:val="0"/>
      <w:divBdr>
        <w:top w:val="none" w:sz="0" w:space="0" w:color="auto"/>
        <w:left w:val="none" w:sz="0" w:space="0" w:color="auto"/>
        <w:bottom w:val="none" w:sz="0" w:space="0" w:color="auto"/>
        <w:right w:val="none" w:sz="0" w:space="0" w:color="auto"/>
      </w:divBdr>
    </w:div>
    <w:div w:id="1404793421">
      <w:bodyDiv w:val="1"/>
      <w:marLeft w:val="0"/>
      <w:marRight w:val="0"/>
      <w:marTop w:val="0"/>
      <w:marBottom w:val="0"/>
      <w:divBdr>
        <w:top w:val="none" w:sz="0" w:space="0" w:color="auto"/>
        <w:left w:val="none" w:sz="0" w:space="0" w:color="auto"/>
        <w:bottom w:val="none" w:sz="0" w:space="0" w:color="auto"/>
        <w:right w:val="none" w:sz="0" w:space="0" w:color="auto"/>
      </w:divBdr>
    </w:div>
    <w:div w:id="1437096500">
      <w:bodyDiv w:val="1"/>
      <w:marLeft w:val="0"/>
      <w:marRight w:val="0"/>
      <w:marTop w:val="0"/>
      <w:marBottom w:val="0"/>
      <w:divBdr>
        <w:top w:val="none" w:sz="0" w:space="0" w:color="auto"/>
        <w:left w:val="none" w:sz="0" w:space="0" w:color="auto"/>
        <w:bottom w:val="none" w:sz="0" w:space="0" w:color="auto"/>
        <w:right w:val="none" w:sz="0" w:space="0" w:color="auto"/>
      </w:divBdr>
    </w:div>
    <w:div w:id="1535654787">
      <w:bodyDiv w:val="1"/>
      <w:marLeft w:val="0"/>
      <w:marRight w:val="0"/>
      <w:marTop w:val="0"/>
      <w:marBottom w:val="0"/>
      <w:divBdr>
        <w:top w:val="none" w:sz="0" w:space="0" w:color="auto"/>
        <w:left w:val="none" w:sz="0" w:space="0" w:color="auto"/>
        <w:bottom w:val="none" w:sz="0" w:space="0" w:color="auto"/>
        <w:right w:val="none" w:sz="0" w:space="0" w:color="auto"/>
      </w:divBdr>
    </w:div>
    <w:div w:id="1547255025">
      <w:bodyDiv w:val="1"/>
      <w:marLeft w:val="0"/>
      <w:marRight w:val="0"/>
      <w:marTop w:val="0"/>
      <w:marBottom w:val="0"/>
      <w:divBdr>
        <w:top w:val="none" w:sz="0" w:space="0" w:color="auto"/>
        <w:left w:val="none" w:sz="0" w:space="0" w:color="auto"/>
        <w:bottom w:val="none" w:sz="0" w:space="0" w:color="auto"/>
        <w:right w:val="none" w:sz="0" w:space="0" w:color="auto"/>
      </w:divBdr>
    </w:div>
    <w:div w:id="1552106665">
      <w:bodyDiv w:val="1"/>
      <w:marLeft w:val="0"/>
      <w:marRight w:val="0"/>
      <w:marTop w:val="0"/>
      <w:marBottom w:val="0"/>
      <w:divBdr>
        <w:top w:val="none" w:sz="0" w:space="0" w:color="auto"/>
        <w:left w:val="none" w:sz="0" w:space="0" w:color="auto"/>
        <w:bottom w:val="none" w:sz="0" w:space="0" w:color="auto"/>
        <w:right w:val="none" w:sz="0" w:space="0" w:color="auto"/>
      </w:divBdr>
    </w:div>
    <w:div w:id="1624768839">
      <w:bodyDiv w:val="1"/>
      <w:marLeft w:val="0"/>
      <w:marRight w:val="0"/>
      <w:marTop w:val="0"/>
      <w:marBottom w:val="0"/>
      <w:divBdr>
        <w:top w:val="none" w:sz="0" w:space="0" w:color="auto"/>
        <w:left w:val="none" w:sz="0" w:space="0" w:color="auto"/>
        <w:bottom w:val="none" w:sz="0" w:space="0" w:color="auto"/>
        <w:right w:val="none" w:sz="0" w:space="0" w:color="auto"/>
      </w:divBdr>
    </w:div>
    <w:div w:id="1643391513">
      <w:bodyDiv w:val="1"/>
      <w:marLeft w:val="0"/>
      <w:marRight w:val="0"/>
      <w:marTop w:val="0"/>
      <w:marBottom w:val="0"/>
      <w:divBdr>
        <w:top w:val="none" w:sz="0" w:space="0" w:color="auto"/>
        <w:left w:val="none" w:sz="0" w:space="0" w:color="auto"/>
        <w:bottom w:val="none" w:sz="0" w:space="0" w:color="auto"/>
        <w:right w:val="none" w:sz="0" w:space="0" w:color="auto"/>
      </w:divBdr>
    </w:div>
    <w:div w:id="1666057813">
      <w:bodyDiv w:val="1"/>
      <w:marLeft w:val="0"/>
      <w:marRight w:val="0"/>
      <w:marTop w:val="0"/>
      <w:marBottom w:val="0"/>
      <w:divBdr>
        <w:top w:val="none" w:sz="0" w:space="0" w:color="auto"/>
        <w:left w:val="none" w:sz="0" w:space="0" w:color="auto"/>
        <w:bottom w:val="none" w:sz="0" w:space="0" w:color="auto"/>
        <w:right w:val="none" w:sz="0" w:space="0" w:color="auto"/>
      </w:divBdr>
    </w:div>
    <w:div w:id="1681545110">
      <w:bodyDiv w:val="1"/>
      <w:marLeft w:val="0"/>
      <w:marRight w:val="0"/>
      <w:marTop w:val="0"/>
      <w:marBottom w:val="0"/>
      <w:divBdr>
        <w:top w:val="none" w:sz="0" w:space="0" w:color="auto"/>
        <w:left w:val="none" w:sz="0" w:space="0" w:color="auto"/>
        <w:bottom w:val="none" w:sz="0" w:space="0" w:color="auto"/>
        <w:right w:val="none" w:sz="0" w:space="0" w:color="auto"/>
      </w:divBdr>
    </w:div>
    <w:div w:id="1763188121">
      <w:bodyDiv w:val="1"/>
      <w:marLeft w:val="0"/>
      <w:marRight w:val="0"/>
      <w:marTop w:val="0"/>
      <w:marBottom w:val="0"/>
      <w:divBdr>
        <w:top w:val="none" w:sz="0" w:space="0" w:color="auto"/>
        <w:left w:val="none" w:sz="0" w:space="0" w:color="auto"/>
        <w:bottom w:val="none" w:sz="0" w:space="0" w:color="auto"/>
        <w:right w:val="none" w:sz="0" w:space="0" w:color="auto"/>
      </w:divBdr>
    </w:div>
    <w:div w:id="1786264962">
      <w:bodyDiv w:val="1"/>
      <w:marLeft w:val="0"/>
      <w:marRight w:val="0"/>
      <w:marTop w:val="0"/>
      <w:marBottom w:val="0"/>
      <w:divBdr>
        <w:top w:val="none" w:sz="0" w:space="0" w:color="auto"/>
        <w:left w:val="none" w:sz="0" w:space="0" w:color="auto"/>
        <w:bottom w:val="none" w:sz="0" w:space="0" w:color="auto"/>
        <w:right w:val="none" w:sz="0" w:space="0" w:color="auto"/>
      </w:divBdr>
    </w:div>
    <w:div w:id="1802503868">
      <w:bodyDiv w:val="1"/>
      <w:marLeft w:val="0"/>
      <w:marRight w:val="0"/>
      <w:marTop w:val="0"/>
      <w:marBottom w:val="0"/>
      <w:divBdr>
        <w:top w:val="none" w:sz="0" w:space="0" w:color="auto"/>
        <w:left w:val="none" w:sz="0" w:space="0" w:color="auto"/>
        <w:bottom w:val="none" w:sz="0" w:space="0" w:color="auto"/>
        <w:right w:val="none" w:sz="0" w:space="0" w:color="auto"/>
      </w:divBdr>
    </w:div>
    <w:div w:id="1804812335">
      <w:bodyDiv w:val="1"/>
      <w:marLeft w:val="0"/>
      <w:marRight w:val="0"/>
      <w:marTop w:val="0"/>
      <w:marBottom w:val="0"/>
      <w:divBdr>
        <w:top w:val="none" w:sz="0" w:space="0" w:color="auto"/>
        <w:left w:val="none" w:sz="0" w:space="0" w:color="auto"/>
        <w:bottom w:val="none" w:sz="0" w:space="0" w:color="auto"/>
        <w:right w:val="none" w:sz="0" w:space="0" w:color="auto"/>
      </w:divBdr>
      <w:divsChild>
        <w:div w:id="1228149161">
          <w:marLeft w:val="0"/>
          <w:marRight w:val="0"/>
          <w:marTop w:val="0"/>
          <w:marBottom w:val="450"/>
          <w:divBdr>
            <w:top w:val="none" w:sz="0" w:space="0" w:color="auto"/>
            <w:left w:val="none" w:sz="0" w:space="0" w:color="auto"/>
            <w:bottom w:val="none" w:sz="0" w:space="0" w:color="auto"/>
            <w:right w:val="none" w:sz="0" w:space="0" w:color="auto"/>
          </w:divBdr>
          <w:divsChild>
            <w:div w:id="1918661588">
              <w:marLeft w:val="0"/>
              <w:marRight w:val="0"/>
              <w:marTop w:val="0"/>
              <w:marBottom w:val="0"/>
              <w:divBdr>
                <w:top w:val="none" w:sz="0" w:space="0" w:color="auto"/>
                <w:left w:val="none" w:sz="0" w:space="0" w:color="auto"/>
                <w:bottom w:val="none" w:sz="0" w:space="0" w:color="auto"/>
                <w:right w:val="none" w:sz="0" w:space="0" w:color="auto"/>
              </w:divBdr>
            </w:div>
          </w:divsChild>
        </w:div>
        <w:div w:id="960959533">
          <w:marLeft w:val="0"/>
          <w:marRight w:val="0"/>
          <w:marTop w:val="0"/>
          <w:marBottom w:val="450"/>
          <w:divBdr>
            <w:top w:val="none" w:sz="0" w:space="0" w:color="auto"/>
            <w:left w:val="none" w:sz="0" w:space="0" w:color="auto"/>
            <w:bottom w:val="none" w:sz="0" w:space="0" w:color="auto"/>
            <w:right w:val="none" w:sz="0" w:space="0" w:color="auto"/>
          </w:divBdr>
          <w:divsChild>
            <w:div w:id="394860944">
              <w:marLeft w:val="0"/>
              <w:marRight w:val="0"/>
              <w:marTop w:val="0"/>
              <w:marBottom w:val="0"/>
              <w:divBdr>
                <w:top w:val="none" w:sz="0" w:space="0" w:color="auto"/>
                <w:left w:val="none" w:sz="0" w:space="0" w:color="auto"/>
                <w:bottom w:val="none" w:sz="0" w:space="0" w:color="auto"/>
                <w:right w:val="none" w:sz="0" w:space="0" w:color="auto"/>
              </w:divBdr>
            </w:div>
          </w:divsChild>
        </w:div>
        <w:div w:id="1840658126">
          <w:marLeft w:val="0"/>
          <w:marRight w:val="0"/>
          <w:marTop w:val="0"/>
          <w:marBottom w:val="450"/>
          <w:divBdr>
            <w:top w:val="none" w:sz="0" w:space="0" w:color="auto"/>
            <w:left w:val="none" w:sz="0" w:space="0" w:color="auto"/>
            <w:bottom w:val="none" w:sz="0" w:space="0" w:color="auto"/>
            <w:right w:val="none" w:sz="0" w:space="0" w:color="auto"/>
          </w:divBdr>
          <w:divsChild>
            <w:div w:id="434011314">
              <w:marLeft w:val="0"/>
              <w:marRight w:val="0"/>
              <w:marTop w:val="0"/>
              <w:marBottom w:val="0"/>
              <w:divBdr>
                <w:top w:val="none" w:sz="0" w:space="0" w:color="auto"/>
                <w:left w:val="none" w:sz="0" w:space="0" w:color="auto"/>
                <w:bottom w:val="none" w:sz="0" w:space="0" w:color="auto"/>
                <w:right w:val="none" w:sz="0" w:space="0" w:color="auto"/>
              </w:divBdr>
            </w:div>
          </w:divsChild>
        </w:div>
        <w:div w:id="695157884">
          <w:marLeft w:val="0"/>
          <w:marRight w:val="0"/>
          <w:marTop w:val="0"/>
          <w:marBottom w:val="450"/>
          <w:divBdr>
            <w:top w:val="none" w:sz="0" w:space="0" w:color="auto"/>
            <w:left w:val="none" w:sz="0" w:space="0" w:color="auto"/>
            <w:bottom w:val="none" w:sz="0" w:space="0" w:color="auto"/>
            <w:right w:val="none" w:sz="0" w:space="0" w:color="auto"/>
          </w:divBdr>
          <w:divsChild>
            <w:div w:id="568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3546">
      <w:bodyDiv w:val="1"/>
      <w:marLeft w:val="0"/>
      <w:marRight w:val="0"/>
      <w:marTop w:val="0"/>
      <w:marBottom w:val="0"/>
      <w:divBdr>
        <w:top w:val="none" w:sz="0" w:space="0" w:color="auto"/>
        <w:left w:val="none" w:sz="0" w:space="0" w:color="auto"/>
        <w:bottom w:val="none" w:sz="0" w:space="0" w:color="auto"/>
        <w:right w:val="none" w:sz="0" w:space="0" w:color="auto"/>
      </w:divBdr>
      <w:divsChild>
        <w:div w:id="1445660995">
          <w:marLeft w:val="0"/>
          <w:marRight w:val="0"/>
          <w:marTop w:val="0"/>
          <w:marBottom w:val="0"/>
          <w:divBdr>
            <w:top w:val="none" w:sz="0" w:space="0" w:color="auto"/>
            <w:left w:val="none" w:sz="0" w:space="0" w:color="auto"/>
            <w:bottom w:val="none" w:sz="0" w:space="0" w:color="auto"/>
            <w:right w:val="none" w:sz="0" w:space="0" w:color="auto"/>
          </w:divBdr>
          <w:divsChild>
            <w:div w:id="424427540">
              <w:marLeft w:val="0"/>
              <w:marRight w:val="0"/>
              <w:marTop w:val="0"/>
              <w:marBottom w:val="0"/>
              <w:divBdr>
                <w:top w:val="none" w:sz="0" w:space="0" w:color="auto"/>
                <w:left w:val="none" w:sz="0" w:space="0" w:color="auto"/>
                <w:bottom w:val="none" w:sz="0" w:space="0" w:color="auto"/>
                <w:right w:val="none" w:sz="0" w:space="0" w:color="auto"/>
              </w:divBdr>
              <w:divsChild>
                <w:div w:id="16026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1540">
      <w:bodyDiv w:val="1"/>
      <w:marLeft w:val="0"/>
      <w:marRight w:val="0"/>
      <w:marTop w:val="0"/>
      <w:marBottom w:val="0"/>
      <w:divBdr>
        <w:top w:val="none" w:sz="0" w:space="0" w:color="auto"/>
        <w:left w:val="none" w:sz="0" w:space="0" w:color="auto"/>
        <w:bottom w:val="none" w:sz="0" w:space="0" w:color="auto"/>
        <w:right w:val="none" w:sz="0" w:space="0" w:color="auto"/>
      </w:divBdr>
    </w:div>
    <w:div w:id="1868443763">
      <w:bodyDiv w:val="1"/>
      <w:marLeft w:val="0"/>
      <w:marRight w:val="0"/>
      <w:marTop w:val="0"/>
      <w:marBottom w:val="0"/>
      <w:divBdr>
        <w:top w:val="none" w:sz="0" w:space="0" w:color="auto"/>
        <w:left w:val="none" w:sz="0" w:space="0" w:color="auto"/>
        <w:bottom w:val="none" w:sz="0" w:space="0" w:color="auto"/>
        <w:right w:val="none" w:sz="0" w:space="0" w:color="auto"/>
      </w:divBdr>
    </w:div>
    <w:div w:id="1904942866">
      <w:bodyDiv w:val="1"/>
      <w:marLeft w:val="0"/>
      <w:marRight w:val="0"/>
      <w:marTop w:val="0"/>
      <w:marBottom w:val="0"/>
      <w:divBdr>
        <w:top w:val="none" w:sz="0" w:space="0" w:color="auto"/>
        <w:left w:val="none" w:sz="0" w:space="0" w:color="auto"/>
        <w:bottom w:val="none" w:sz="0" w:space="0" w:color="auto"/>
        <w:right w:val="none" w:sz="0" w:space="0" w:color="auto"/>
      </w:divBdr>
    </w:div>
    <w:div w:id="1929535813">
      <w:bodyDiv w:val="1"/>
      <w:marLeft w:val="0"/>
      <w:marRight w:val="0"/>
      <w:marTop w:val="0"/>
      <w:marBottom w:val="0"/>
      <w:divBdr>
        <w:top w:val="none" w:sz="0" w:space="0" w:color="auto"/>
        <w:left w:val="none" w:sz="0" w:space="0" w:color="auto"/>
        <w:bottom w:val="none" w:sz="0" w:space="0" w:color="auto"/>
        <w:right w:val="none" w:sz="0" w:space="0" w:color="auto"/>
      </w:divBdr>
      <w:divsChild>
        <w:div w:id="690498189">
          <w:marLeft w:val="0"/>
          <w:marRight w:val="0"/>
          <w:marTop w:val="0"/>
          <w:marBottom w:val="0"/>
          <w:divBdr>
            <w:top w:val="none" w:sz="0" w:space="0" w:color="auto"/>
            <w:left w:val="none" w:sz="0" w:space="0" w:color="auto"/>
            <w:bottom w:val="none" w:sz="0" w:space="0" w:color="auto"/>
            <w:right w:val="none" w:sz="0" w:space="0" w:color="auto"/>
          </w:divBdr>
          <w:divsChild>
            <w:div w:id="2064021957">
              <w:marLeft w:val="0"/>
              <w:marRight w:val="0"/>
              <w:marTop w:val="0"/>
              <w:marBottom w:val="0"/>
              <w:divBdr>
                <w:top w:val="none" w:sz="0" w:space="0" w:color="auto"/>
                <w:left w:val="none" w:sz="0" w:space="0" w:color="auto"/>
                <w:bottom w:val="none" w:sz="0" w:space="0" w:color="auto"/>
                <w:right w:val="none" w:sz="0" w:space="0" w:color="auto"/>
              </w:divBdr>
              <w:divsChild>
                <w:div w:id="9910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47266">
      <w:bodyDiv w:val="1"/>
      <w:marLeft w:val="0"/>
      <w:marRight w:val="0"/>
      <w:marTop w:val="0"/>
      <w:marBottom w:val="0"/>
      <w:divBdr>
        <w:top w:val="none" w:sz="0" w:space="0" w:color="auto"/>
        <w:left w:val="none" w:sz="0" w:space="0" w:color="auto"/>
        <w:bottom w:val="none" w:sz="0" w:space="0" w:color="auto"/>
        <w:right w:val="none" w:sz="0" w:space="0" w:color="auto"/>
      </w:divBdr>
    </w:div>
    <w:div w:id="2004357979">
      <w:bodyDiv w:val="1"/>
      <w:marLeft w:val="0"/>
      <w:marRight w:val="0"/>
      <w:marTop w:val="0"/>
      <w:marBottom w:val="0"/>
      <w:divBdr>
        <w:top w:val="none" w:sz="0" w:space="0" w:color="auto"/>
        <w:left w:val="none" w:sz="0" w:space="0" w:color="auto"/>
        <w:bottom w:val="none" w:sz="0" w:space="0" w:color="auto"/>
        <w:right w:val="none" w:sz="0" w:space="0" w:color="auto"/>
      </w:divBdr>
    </w:div>
    <w:div w:id="206151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karolina.samczynska@cushwak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09ED7BA2763A478EDE0130F91B5123" ma:contentTypeVersion="15" ma:contentTypeDescription="Create a new document." ma:contentTypeScope="" ma:versionID="f0827b97c411c567ea7b6231876734c3">
  <xsd:schema xmlns:xsd="http://www.w3.org/2001/XMLSchema" xmlns:xs="http://www.w3.org/2001/XMLSchema" xmlns:p="http://schemas.microsoft.com/office/2006/metadata/properties" xmlns:ns2="ad0eda28-077b-48b4-981d-21104f8134f6" xmlns:ns3="9e8c748b-9673-4c43-b9e9-f6f47eed6137" targetNamespace="http://schemas.microsoft.com/office/2006/metadata/properties" ma:root="true" ma:fieldsID="b88f6f328498e53ec5465a59d7175b84" ns2:_="" ns3:_="">
    <xsd:import namespace="ad0eda28-077b-48b4-981d-21104f8134f6"/>
    <xsd:import namespace="9e8c748b-9673-4c43-b9e9-f6f47eed61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eda28-077b-48b4-981d-21104f813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603ae-3637-436a-adfc-4f3f468c95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8c748b-9673-4c43-b9e9-f6f47eed61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cbde1b-057e-4a17-a9b6-2fa292d2b0ef}" ma:internalName="TaxCatchAll" ma:showField="CatchAllData" ma:web="9e8c748b-9673-4c43-b9e9-f6f47eed61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8c748b-9673-4c43-b9e9-f6f47eed6137" xsi:nil="true"/>
    <lcf76f155ced4ddcb4097134ff3c332f xmlns="ad0eda28-077b-48b4-981d-21104f8134f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DE266-5DC0-4843-A4A2-35C1C25F4DF5}">
  <ds:schemaRefs>
    <ds:schemaRef ds:uri="http://schemas.openxmlformats.org/officeDocument/2006/bibliography"/>
  </ds:schemaRefs>
</ds:datastoreItem>
</file>

<file path=customXml/itemProps2.xml><?xml version="1.0" encoding="utf-8"?>
<ds:datastoreItem xmlns:ds="http://schemas.openxmlformats.org/officeDocument/2006/customXml" ds:itemID="{101A7165-7933-4207-B555-4CFBF4C92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eda28-077b-48b4-981d-21104f8134f6"/>
    <ds:schemaRef ds:uri="9e8c748b-9673-4c43-b9e9-f6f47eed6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2DD7A-76A6-40A8-8556-74F891675D7E}">
  <ds:schemaRefs>
    <ds:schemaRef ds:uri="http://schemas.microsoft.com/office/2006/metadata/properties"/>
    <ds:schemaRef ds:uri="http://schemas.microsoft.com/office/infopath/2007/PartnerControls"/>
    <ds:schemaRef ds:uri="9e8c748b-9673-4c43-b9e9-f6f47eed6137"/>
    <ds:schemaRef ds:uri="ad0eda28-077b-48b4-981d-21104f8134f6"/>
  </ds:schemaRefs>
</ds:datastoreItem>
</file>

<file path=customXml/itemProps4.xml><?xml version="1.0" encoding="utf-8"?>
<ds:datastoreItem xmlns:ds="http://schemas.openxmlformats.org/officeDocument/2006/customXml" ds:itemID="{8C303DC5-36C3-4D01-A699-677E7E955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1818</Words>
  <Characters>10365</Characters>
  <Application>Microsoft Office Word</Application>
  <DocSecurity>0</DocSecurity>
  <Lines>86</Lines>
  <Paragraphs>24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dc:creator>
  <cp:lastModifiedBy>magdalena ossowska</cp:lastModifiedBy>
  <cp:revision>2</cp:revision>
  <dcterms:created xsi:type="dcterms:W3CDTF">2025-12-04T09:23:00Z</dcterms:created>
  <dcterms:modified xsi:type="dcterms:W3CDTF">2025-12-04T09:23:00Z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01c4386eb9a1dc9de2fec12738f87015bcc4ef4c8803dccae430c9e60e042de1</vt:lpwstr>
  </property>
  <property fmtid="{D5CDD505-2E9C-101B-9397-08002B2CF9AE}" pid="3" name="ContentTypeId">
    <vt:lpwstr>0x010100C609ED7BA2763A478EDE0130F91B5123</vt:lpwstr>
  </property>
</Properties>
</file>