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0ED29" w14:textId="23F3BDB5" w:rsidR="00B21CC1" w:rsidRPr="007D148F" w:rsidRDefault="007D148F" w:rsidP="00B21CC1">
      <w:pPr>
        <w:spacing w:line="240" w:lineRule="auto"/>
        <w:rPr>
          <w:rFonts w:ascii="Noto Sans" w:hAnsi="Noto Sans" w:cs="Noto Sans"/>
          <w:b/>
          <w:bCs/>
          <w:i/>
          <w:iCs/>
          <w:sz w:val="28"/>
          <w:szCs w:val="28"/>
        </w:rPr>
      </w:pPr>
      <w:r w:rsidRPr="007D148F">
        <w:rPr>
          <w:rFonts w:ascii="Noto Sans" w:hAnsi="Noto Sans" w:cs="Noto Sans"/>
          <w:b/>
          <w:bCs/>
          <w:sz w:val="28"/>
          <w:szCs w:val="28"/>
        </w:rPr>
        <w:t>Requalification as a Strategic Opportunity for Sustainable Pharmaceutical Packaging</w:t>
      </w:r>
    </w:p>
    <w:p w14:paraId="38BE93FF" w14:textId="77777777" w:rsidR="007D148F" w:rsidRDefault="007D148F" w:rsidP="00E33BBD">
      <w:pPr>
        <w:spacing w:line="240" w:lineRule="auto"/>
        <w:rPr>
          <w:rFonts w:ascii="Noto Sans" w:hAnsi="Noto Sans" w:cs="Noto Sans"/>
          <w:i/>
          <w:iCs/>
          <w:sz w:val="22"/>
        </w:rPr>
      </w:pPr>
    </w:p>
    <w:p w14:paraId="09D0DAC1" w14:textId="28712425" w:rsidR="00B21CC1" w:rsidRDefault="007D148F" w:rsidP="00E33BBD">
      <w:pPr>
        <w:spacing w:line="240" w:lineRule="auto"/>
        <w:rPr>
          <w:rFonts w:ascii="Noto Sans" w:hAnsi="Noto Sans" w:cs="Noto Sans"/>
          <w:i/>
          <w:iCs/>
          <w:sz w:val="22"/>
        </w:rPr>
      </w:pPr>
      <w:r w:rsidRPr="007D148F">
        <w:rPr>
          <w:rFonts w:ascii="Noto Sans" w:hAnsi="Noto Sans" w:cs="Noto Sans"/>
          <w:i/>
          <w:iCs/>
          <w:sz w:val="22"/>
        </w:rPr>
        <w:t>Requalification is often seen as a critical</w:t>
      </w:r>
      <w:r w:rsidR="00DA1D7B">
        <w:rPr>
          <w:rFonts w:ascii="Noto Sans" w:hAnsi="Noto Sans" w:cs="Noto Sans"/>
          <w:i/>
          <w:iCs/>
          <w:sz w:val="22"/>
        </w:rPr>
        <w:t xml:space="preserve"> </w:t>
      </w:r>
      <w:r w:rsidR="00DA1D7B" w:rsidRPr="007D148F">
        <w:rPr>
          <w:rFonts w:ascii="Noto Sans" w:hAnsi="Noto Sans" w:cs="Noto Sans"/>
          <w:i/>
          <w:iCs/>
          <w:sz w:val="22"/>
        </w:rPr>
        <w:t>–</w:t>
      </w:r>
      <w:r w:rsidR="00DA1D7B">
        <w:rPr>
          <w:rFonts w:ascii="Noto Sans" w:hAnsi="Noto Sans" w:cs="Noto Sans"/>
          <w:i/>
          <w:iCs/>
          <w:sz w:val="22"/>
        </w:rPr>
        <w:t xml:space="preserve"> </w:t>
      </w:r>
      <w:r w:rsidRPr="007D148F">
        <w:rPr>
          <w:rFonts w:ascii="Noto Sans" w:hAnsi="Noto Sans" w:cs="Noto Sans"/>
          <w:i/>
          <w:iCs/>
          <w:sz w:val="22"/>
        </w:rPr>
        <w:t>though inconvenient</w:t>
      </w:r>
      <w:r w:rsidR="00DA1D7B">
        <w:rPr>
          <w:rFonts w:ascii="Noto Sans" w:hAnsi="Noto Sans" w:cs="Noto Sans"/>
          <w:i/>
          <w:iCs/>
          <w:sz w:val="22"/>
        </w:rPr>
        <w:t xml:space="preserve"> </w:t>
      </w:r>
      <w:r w:rsidR="00DA1D7B" w:rsidRPr="007D148F">
        <w:rPr>
          <w:rFonts w:ascii="Noto Sans" w:hAnsi="Noto Sans" w:cs="Noto Sans"/>
          <w:i/>
          <w:iCs/>
          <w:sz w:val="22"/>
        </w:rPr>
        <w:t>–</w:t>
      </w:r>
      <w:r w:rsidR="00DA1D7B">
        <w:rPr>
          <w:rFonts w:ascii="Noto Sans" w:hAnsi="Noto Sans" w:cs="Noto Sans"/>
          <w:i/>
          <w:iCs/>
          <w:sz w:val="22"/>
        </w:rPr>
        <w:t xml:space="preserve"> </w:t>
      </w:r>
      <w:r w:rsidRPr="007D148F">
        <w:rPr>
          <w:rFonts w:ascii="Noto Sans" w:hAnsi="Noto Sans" w:cs="Noto Sans"/>
          <w:i/>
          <w:iCs/>
          <w:sz w:val="22"/>
        </w:rPr>
        <w:t xml:space="preserve">disruption in pharmaceutical operations, essential for ensuring product quality, consistency, and safety. But beyond its compliance function, this planned downtime presents a strategic opportunity to rethink packaging processes and implement innovative solutions that enhance sustainability and efficiency, explains Ian Chapman, Strategic Manager – Digital Coding at </w:t>
      </w:r>
      <w:hyperlink r:id="rId6" w:history="1">
        <w:r w:rsidRPr="00C15470">
          <w:rPr>
            <w:rStyle w:val="Hyperlink"/>
            <w:rFonts w:ascii="Noto Sans" w:hAnsi="Noto Sans" w:cs="Noto Sans"/>
            <w:i/>
            <w:iCs/>
            <w:sz w:val="22"/>
          </w:rPr>
          <w:t>Domino Printing Sciences</w:t>
        </w:r>
      </w:hyperlink>
      <w:r w:rsidRPr="007D148F">
        <w:rPr>
          <w:rFonts w:ascii="Noto Sans" w:hAnsi="Noto Sans" w:cs="Noto Sans"/>
          <w:i/>
          <w:iCs/>
          <w:sz w:val="22"/>
        </w:rPr>
        <w:t xml:space="preserve"> (Domino).</w:t>
      </w:r>
    </w:p>
    <w:p w14:paraId="17F64CD4" w14:textId="3C64EF3E" w:rsidR="007D148F" w:rsidRPr="007D148F" w:rsidRDefault="007D148F" w:rsidP="007D148F">
      <w:pPr>
        <w:spacing w:before="100" w:beforeAutospacing="1" w:after="100" w:afterAutospacing="1" w:line="240" w:lineRule="auto"/>
        <w:outlineLvl w:val="2"/>
        <w:rPr>
          <w:rFonts w:ascii="Noto Sans" w:eastAsia="Times New Roman" w:hAnsi="Noto Sans" w:cs="Noto Sans"/>
          <w:sz w:val="22"/>
          <w:lang w:eastAsia="en-GB"/>
        </w:rPr>
      </w:pPr>
      <w:r w:rsidRPr="007D148F">
        <w:rPr>
          <w:rFonts w:ascii="Noto Sans" w:eastAsia="Times New Roman" w:hAnsi="Noto Sans" w:cs="Noto Sans"/>
          <w:b/>
          <w:bCs/>
          <w:sz w:val="22"/>
          <w:lang w:eastAsia="en-GB"/>
        </w:rPr>
        <w:t>The Sustainable Packaging Imperative</w:t>
      </w:r>
      <w:r>
        <w:rPr>
          <w:rFonts w:ascii="Noto Sans" w:eastAsia="Times New Roman" w:hAnsi="Noto Sans" w:cs="Noto Sans"/>
          <w:b/>
          <w:bCs/>
          <w:sz w:val="22"/>
          <w:lang w:eastAsia="en-GB"/>
        </w:rPr>
        <w:br/>
      </w:r>
      <w:r w:rsidRPr="007D148F">
        <w:rPr>
          <w:rFonts w:ascii="Noto Sans" w:eastAsia="Times New Roman" w:hAnsi="Noto Sans" w:cs="Noto Sans"/>
          <w:sz w:val="22"/>
          <w:lang w:eastAsia="en-GB"/>
        </w:rPr>
        <w:t xml:space="preserve">Pharmaceutical companies are facing mounting environmental pressure. According to </w:t>
      </w:r>
      <w:hyperlink r:id="rId7" w:history="1">
        <w:r w:rsidRPr="00B21CC1">
          <w:rPr>
            <w:rStyle w:val="Hyperlink"/>
            <w:rFonts w:ascii="Noto Sans" w:hAnsi="Noto Sans" w:cs="Noto Sans"/>
            <w:sz w:val="22"/>
          </w:rPr>
          <w:t>American Pharmaceutical Review</w:t>
        </w:r>
      </w:hyperlink>
      <w:r w:rsidRPr="007D148F">
        <w:rPr>
          <w:rFonts w:ascii="Noto Sans" w:eastAsia="Times New Roman" w:hAnsi="Noto Sans" w:cs="Noto Sans"/>
          <w:sz w:val="22"/>
          <w:lang w:eastAsia="en-GB"/>
        </w:rPr>
        <w:t>, it is estimated that pharmaceutical manufacturing contributes roughly 52 million tons of CO₂ annually through packaging and operations. The implications are not only regulatory and financial; consumer and investor scrutiny is also driving change. Consumers are increasingly evaluating companies’ environmental performance, and approximately 70% are willing to pay more for sustainable packaging options.</w:t>
      </w:r>
    </w:p>
    <w:p w14:paraId="5EEE2B91" w14:textId="42AE42DA" w:rsidR="007D148F" w:rsidRPr="007D148F" w:rsidRDefault="007D148F" w:rsidP="007D148F">
      <w:pPr>
        <w:spacing w:before="100" w:beforeAutospacing="1" w:after="100" w:afterAutospacing="1" w:line="240" w:lineRule="auto"/>
        <w:rPr>
          <w:rFonts w:ascii="Noto Sans" w:eastAsia="Times New Roman" w:hAnsi="Noto Sans" w:cs="Noto Sans"/>
          <w:sz w:val="22"/>
          <w:lang w:eastAsia="en-GB"/>
        </w:rPr>
      </w:pPr>
      <w:r w:rsidRPr="007D148F">
        <w:rPr>
          <w:rFonts w:ascii="Noto Sans" w:eastAsia="Times New Roman" w:hAnsi="Noto Sans" w:cs="Noto Sans"/>
          <w:sz w:val="22"/>
          <w:lang w:eastAsia="en-GB"/>
        </w:rPr>
        <w:t>Together, these factors are driving soaring demand for sustainable pharmaceutical packaging, with the market projected to grow from $92 billion in 2024 to $372 billion by 2034, at a CAGR of 15%. This surge underscores that sustainability is no longer optional</w:t>
      </w:r>
      <w:r w:rsidR="00DA1D7B">
        <w:rPr>
          <w:rFonts w:ascii="Noto Sans" w:eastAsia="Times New Roman" w:hAnsi="Noto Sans" w:cs="Noto Sans"/>
          <w:sz w:val="22"/>
          <w:lang w:eastAsia="en-GB"/>
        </w:rPr>
        <w:t xml:space="preserve"> </w:t>
      </w:r>
      <w:r w:rsidR="00DA1D7B" w:rsidRPr="007D148F">
        <w:rPr>
          <w:rFonts w:ascii="Noto Sans" w:hAnsi="Noto Sans" w:cs="Noto Sans"/>
          <w:i/>
          <w:iCs/>
          <w:sz w:val="22"/>
        </w:rPr>
        <w:t>–</w:t>
      </w:r>
      <w:r w:rsidR="00DA1D7B">
        <w:rPr>
          <w:rFonts w:ascii="Noto Sans" w:hAnsi="Noto Sans" w:cs="Noto Sans"/>
          <w:i/>
          <w:iCs/>
          <w:sz w:val="22"/>
        </w:rPr>
        <w:t xml:space="preserve"> </w:t>
      </w:r>
      <w:r w:rsidRPr="007D148F">
        <w:rPr>
          <w:rFonts w:ascii="Noto Sans" w:eastAsia="Times New Roman" w:hAnsi="Noto Sans" w:cs="Noto Sans"/>
          <w:sz w:val="22"/>
          <w:lang w:eastAsia="en-GB"/>
        </w:rPr>
        <w:t>it’s essential.</w:t>
      </w:r>
    </w:p>
    <w:p w14:paraId="05077915" w14:textId="5BF8E8D7" w:rsidR="007D148F" w:rsidRPr="007D148F" w:rsidRDefault="007D148F" w:rsidP="007D148F">
      <w:pPr>
        <w:spacing w:before="100" w:beforeAutospacing="1" w:after="100" w:afterAutospacing="1" w:line="240" w:lineRule="auto"/>
        <w:outlineLvl w:val="2"/>
        <w:rPr>
          <w:rFonts w:ascii="Noto Sans" w:eastAsia="Times New Roman" w:hAnsi="Noto Sans" w:cs="Noto Sans"/>
          <w:sz w:val="22"/>
          <w:lang w:eastAsia="en-GB"/>
        </w:rPr>
      </w:pPr>
      <w:r w:rsidRPr="007D148F">
        <w:rPr>
          <w:rFonts w:ascii="Noto Sans" w:eastAsia="Times New Roman" w:hAnsi="Noto Sans" w:cs="Noto Sans"/>
          <w:b/>
          <w:bCs/>
          <w:sz w:val="22"/>
          <w:lang w:eastAsia="en-GB"/>
        </w:rPr>
        <w:t>Eliminate Packaging Waste</w:t>
      </w:r>
      <w:r>
        <w:rPr>
          <w:rFonts w:ascii="Noto Sans" w:eastAsia="Times New Roman" w:hAnsi="Noto Sans" w:cs="Noto Sans"/>
          <w:b/>
          <w:bCs/>
          <w:sz w:val="22"/>
          <w:lang w:eastAsia="en-GB"/>
        </w:rPr>
        <w:br/>
      </w:r>
      <w:r w:rsidRPr="007D148F">
        <w:rPr>
          <w:rFonts w:ascii="Noto Sans" w:eastAsia="Times New Roman" w:hAnsi="Noto Sans" w:cs="Noto Sans"/>
          <w:sz w:val="22"/>
          <w:lang w:eastAsia="en-GB"/>
        </w:rPr>
        <w:t>The challenge for pharmaceutical manufacturing goes beyond a shift toward sustainable packaging materials: long-standing packaging practices contribute to excess waste and unused resources. The use of preprinted materials, risk-averse stock levels, and inefficient changeovers remains widespread. Even worse, when regulators change requirements or artwork evolves, entire batches of packaging often become obsolete overnight.</w:t>
      </w:r>
    </w:p>
    <w:p w14:paraId="0ABCDA06" w14:textId="45D8ADF3" w:rsidR="007D148F" w:rsidRPr="007D148F" w:rsidRDefault="007D148F" w:rsidP="007D148F">
      <w:pPr>
        <w:spacing w:before="100" w:beforeAutospacing="1" w:after="100" w:afterAutospacing="1" w:line="240" w:lineRule="auto"/>
        <w:rPr>
          <w:rFonts w:ascii="Noto Sans" w:eastAsia="Times New Roman" w:hAnsi="Noto Sans" w:cs="Noto Sans"/>
          <w:sz w:val="22"/>
          <w:lang w:eastAsia="en-GB"/>
        </w:rPr>
      </w:pPr>
      <w:r w:rsidRPr="007D148F">
        <w:rPr>
          <w:rFonts w:ascii="Noto Sans" w:eastAsia="Times New Roman" w:hAnsi="Noto Sans" w:cs="Noto Sans"/>
          <w:sz w:val="22"/>
          <w:lang w:eastAsia="en-GB"/>
        </w:rPr>
        <w:t>Volatility within supply chains adds to the challenge: pharma manufacturing increasingly demands agile models that support small batch sizes and late-stage customization. Embracing inline digital printing systems lets manufacturers print on demand, eliminating stockpiles and mitigating waste. For example, using blank foils with inline digital print not only removes the need for preprinted stock but also reduces inventory complexity. Many manufacturers overorder between 15% and 20% of preprinted foils for each product line, resulting in significant waste</w:t>
      </w:r>
      <w:r w:rsidR="00DA1D7B">
        <w:rPr>
          <w:rFonts w:ascii="Noto Sans" w:eastAsia="Times New Roman" w:hAnsi="Noto Sans" w:cs="Noto Sans"/>
          <w:sz w:val="22"/>
          <w:lang w:eastAsia="en-GB"/>
        </w:rPr>
        <w:t xml:space="preserve"> </w:t>
      </w:r>
      <w:r w:rsidR="00DA1D7B" w:rsidRPr="007D148F">
        <w:rPr>
          <w:rFonts w:ascii="Noto Sans" w:hAnsi="Noto Sans" w:cs="Noto Sans"/>
          <w:i/>
          <w:iCs/>
          <w:sz w:val="22"/>
        </w:rPr>
        <w:t>–</w:t>
      </w:r>
      <w:r w:rsidR="00DA1D7B">
        <w:rPr>
          <w:rFonts w:ascii="Noto Sans" w:hAnsi="Noto Sans" w:cs="Noto Sans"/>
          <w:i/>
          <w:iCs/>
          <w:sz w:val="22"/>
        </w:rPr>
        <w:t xml:space="preserve"> </w:t>
      </w:r>
      <w:r w:rsidRPr="007D148F">
        <w:rPr>
          <w:rFonts w:ascii="Noto Sans" w:eastAsia="Times New Roman" w:hAnsi="Noto Sans" w:cs="Noto Sans"/>
          <w:sz w:val="22"/>
          <w:lang w:eastAsia="en-GB"/>
        </w:rPr>
        <w:t>an inefficiency eradicated by blank-foil workflows.</w:t>
      </w:r>
    </w:p>
    <w:p w14:paraId="59F534D7" w14:textId="77777777" w:rsidR="00B21CC1" w:rsidRDefault="00B21CC1" w:rsidP="00E33BBD">
      <w:pPr>
        <w:spacing w:line="240" w:lineRule="auto"/>
        <w:rPr>
          <w:rFonts w:ascii="Noto Sans" w:hAnsi="Noto Sans" w:cs="Noto Sans"/>
          <w:b/>
          <w:bCs/>
          <w:sz w:val="22"/>
        </w:rPr>
      </w:pPr>
    </w:p>
    <w:p w14:paraId="30332C6D" w14:textId="77777777" w:rsidR="00C15470" w:rsidRPr="00C15470" w:rsidRDefault="00C15470" w:rsidP="00C15470">
      <w:pPr>
        <w:spacing w:line="240" w:lineRule="auto"/>
        <w:rPr>
          <w:rFonts w:ascii="Noto Sans" w:hAnsi="Noto Sans" w:cs="Noto Sans"/>
          <w:b/>
          <w:bCs/>
          <w:sz w:val="22"/>
        </w:rPr>
      </w:pPr>
      <w:r w:rsidRPr="00C15470">
        <w:rPr>
          <w:rFonts w:ascii="Noto Sans" w:hAnsi="Noto Sans" w:cs="Noto Sans"/>
          <w:b/>
          <w:bCs/>
          <w:sz w:val="22"/>
        </w:rPr>
        <w:t>Improve Regulatory Agility</w:t>
      </w:r>
    </w:p>
    <w:p w14:paraId="363C2345" w14:textId="77777777" w:rsidR="00C15470" w:rsidRDefault="00C15470" w:rsidP="00C15470">
      <w:pPr>
        <w:spacing w:line="240" w:lineRule="auto"/>
        <w:rPr>
          <w:rFonts w:ascii="Noto Sans" w:hAnsi="Noto Sans" w:cs="Noto Sans"/>
          <w:sz w:val="22"/>
        </w:rPr>
      </w:pPr>
      <w:r w:rsidRPr="00C15470">
        <w:rPr>
          <w:rFonts w:ascii="Noto Sans" w:hAnsi="Noto Sans" w:cs="Noto Sans"/>
          <w:sz w:val="22"/>
        </w:rPr>
        <w:t>Inline digital printing systems also help pharmaceutical manufacturers achieve the agility demanded by constantly evolving regulations and local adaptations to support a global market. To avoid expensive and frustrating bottlenecks, pharmaceutical packaging processes must adapt swiftly, avoiding lengthy changeovers or new tooling.</w:t>
      </w:r>
    </w:p>
    <w:p w14:paraId="0D1B6EB1" w14:textId="77777777" w:rsidR="00C15470" w:rsidRPr="00C15470" w:rsidRDefault="00C15470" w:rsidP="00C15470">
      <w:pPr>
        <w:spacing w:line="240" w:lineRule="auto"/>
        <w:rPr>
          <w:rFonts w:ascii="Noto Sans" w:hAnsi="Noto Sans" w:cs="Noto Sans"/>
          <w:sz w:val="22"/>
        </w:rPr>
      </w:pPr>
    </w:p>
    <w:p w14:paraId="5C904FA4" w14:textId="6C6DB851" w:rsidR="00B21CC1" w:rsidRDefault="00C15470" w:rsidP="00C15470">
      <w:pPr>
        <w:spacing w:line="240" w:lineRule="auto"/>
        <w:rPr>
          <w:rFonts w:ascii="Noto Sans" w:hAnsi="Noto Sans" w:cs="Noto Sans"/>
          <w:sz w:val="22"/>
        </w:rPr>
      </w:pPr>
      <w:r w:rsidRPr="00C15470">
        <w:rPr>
          <w:rFonts w:ascii="Noto Sans" w:hAnsi="Noto Sans" w:cs="Noto Sans"/>
          <w:sz w:val="22"/>
        </w:rPr>
        <w:t>Leveraging adaptable digital technology allows updates to languages, graphics, or regulatory text to be made in real time, enabling smaller batch runs, localization, and rapid adaptation. Modern connected solutions offer cloud-enabled capabilities that can minimize downtime and accelerate time-to-market</w:t>
      </w:r>
      <w:r w:rsidR="00DA1D7B">
        <w:rPr>
          <w:rFonts w:ascii="Noto Sans" w:hAnsi="Noto Sans" w:cs="Noto Sans"/>
          <w:sz w:val="22"/>
        </w:rPr>
        <w:t xml:space="preserve"> </w:t>
      </w:r>
      <w:r w:rsidR="00DA1D7B" w:rsidRPr="007D148F">
        <w:rPr>
          <w:rFonts w:ascii="Noto Sans" w:hAnsi="Noto Sans" w:cs="Noto Sans"/>
          <w:i/>
          <w:iCs/>
          <w:sz w:val="22"/>
        </w:rPr>
        <w:t>–</w:t>
      </w:r>
      <w:r w:rsidR="00DA1D7B">
        <w:rPr>
          <w:rFonts w:ascii="Noto Sans" w:hAnsi="Noto Sans" w:cs="Noto Sans"/>
          <w:i/>
          <w:iCs/>
          <w:sz w:val="22"/>
        </w:rPr>
        <w:t xml:space="preserve"> </w:t>
      </w:r>
      <w:r w:rsidRPr="00C15470">
        <w:rPr>
          <w:rFonts w:ascii="Noto Sans" w:hAnsi="Noto Sans" w:cs="Noto Sans"/>
          <w:sz w:val="22"/>
        </w:rPr>
        <w:t>crucial for both patient needs and regulatory demands.</w:t>
      </w:r>
    </w:p>
    <w:p w14:paraId="658101FD" w14:textId="0C485CE7" w:rsidR="00C15470" w:rsidRPr="00C15470" w:rsidRDefault="00C15470" w:rsidP="00C15470">
      <w:pPr>
        <w:spacing w:before="100" w:beforeAutospacing="1" w:after="100" w:afterAutospacing="1" w:line="240" w:lineRule="auto"/>
        <w:outlineLvl w:val="2"/>
        <w:rPr>
          <w:rFonts w:ascii="Noto Sans" w:eastAsia="Times New Roman" w:hAnsi="Noto Sans" w:cs="Noto Sans"/>
          <w:sz w:val="22"/>
          <w:lang w:eastAsia="en-GB"/>
        </w:rPr>
      </w:pPr>
      <w:r w:rsidRPr="00C15470">
        <w:rPr>
          <w:rFonts w:ascii="Noto Sans" w:eastAsia="Times New Roman" w:hAnsi="Noto Sans" w:cs="Noto Sans"/>
          <w:b/>
          <w:bCs/>
          <w:sz w:val="22"/>
          <w:lang w:eastAsia="en-GB"/>
        </w:rPr>
        <w:t>Catalyst for Innovation</w:t>
      </w:r>
      <w:r>
        <w:rPr>
          <w:rFonts w:ascii="Noto Sans" w:eastAsia="Times New Roman" w:hAnsi="Noto Sans" w:cs="Noto Sans"/>
          <w:b/>
          <w:bCs/>
          <w:sz w:val="22"/>
          <w:lang w:eastAsia="en-GB"/>
        </w:rPr>
        <w:br/>
      </w:r>
      <w:r w:rsidRPr="00C15470">
        <w:rPr>
          <w:rFonts w:ascii="Noto Sans" w:eastAsia="Times New Roman" w:hAnsi="Noto Sans" w:cs="Noto Sans"/>
          <w:sz w:val="22"/>
          <w:lang w:eastAsia="en-GB"/>
        </w:rPr>
        <w:t>Requalification inevitably causes disruption. The smart approach is to treat it not as downtime, but as a strategic opportunity for continuous improvement.</w:t>
      </w:r>
    </w:p>
    <w:p w14:paraId="21364385" w14:textId="77777777" w:rsidR="00C15470" w:rsidRPr="00C15470" w:rsidRDefault="00C15470" w:rsidP="00C15470">
      <w:pPr>
        <w:spacing w:before="100" w:beforeAutospacing="1" w:after="100" w:afterAutospacing="1" w:line="240" w:lineRule="auto"/>
        <w:rPr>
          <w:rFonts w:ascii="Noto Sans" w:eastAsia="Times New Roman" w:hAnsi="Noto Sans" w:cs="Noto Sans"/>
          <w:sz w:val="22"/>
          <w:lang w:eastAsia="en-GB"/>
        </w:rPr>
      </w:pPr>
      <w:r w:rsidRPr="00C15470">
        <w:rPr>
          <w:rFonts w:ascii="Noto Sans" w:eastAsia="Times New Roman" w:hAnsi="Noto Sans" w:cs="Noto Sans"/>
          <w:sz w:val="22"/>
          <w:lang w:eastAsia="en-GB"/>
        </w:rPr>
        <w:t>Requalification is an ideal time for manufacturers to modernize with inline digital printing systems to align packaging with ESG goals, operational resilience, and regulatory demands. Collaboration is critical: partnering with experts who bring validated pharmaceutical technology and a cooperative approach helps ensure scalability, accelerated ROI, and reduced risk.</w:t>
      </w:r>
    </w:p>
    <w:p w14:paraId="39C8FB6A" w14:textId="6F0B069A" w:rsidR="00C15470" w:rsidRPr="00C15470" w:rsidRDefault="00C15470" w:rsidP="00C15470">
      <w:pPr>
        <w:spacing w:before="100" w:beforeAutospacing="1" w:after="100" w:afterAutospacing="1" w:line="240" w:lineRule="auto"/>
        <w:rPr>
          <w:rFonts w:ascii="Noto Sans" w:eastAsia="Times New Roman" w:hAnsi="Noto Sans" w:cs="Noto Sans"/>
          <w:sz w:val="22"/>
          <w:lang w:eastAsia="en-GB"/>
        </w:rPr>
      </w:pPr>
      <w:r w:rsidRPr="00C15470">
        <w:rPr>
          <w:rFonts w:ascii="Noto Sans" w:eastAsia="Times New Roman" w:hAnsi="Noto Sans" w:cs="Noto Sans"/>
          <w:sz w:val="22"/>
          <w:lang w:eastAsia="en-GB"/>
        </w:rPr>
        <w:t>Another powerful benefit is that digitalization dramatically reduces lead times for artwork changes. Historically, approvals and printing could take weeks or months. Digital workflows, however, can compress this timeline</w:t>
      </w:r>
      <w:r w:rsidR="00DA1D7B">
        <w:rPr>
          <w:rFonts w:ascii="Noto Sans" w:eastAsia="Times New Roman" w:hAnsi="Noto Sans" w:cs="Noto Sans"/>
          <w:sz w:val="22"/>
          <w:lang w:eastAsia="en-GB"/>
        </w:rPr>
        <w:t xml:space="preserve"> </w:t>
      </w:r>
      <w:r w:rsidR="00DA1D7B" w:rsidRPr="007D148F">
        <w:rPr>
          <w:rFonts w:ascii="Noto Sans" w:hAnsi="Noto Sans" w:cs="Noto Sans"/>
          <w:i/>
          <w:iCs/>
          <w:sz w:val="22"/>
        </w:rPr>
        <w:t>–</w:t>
      </w:r>
      <w:r w:rsidR="00DA1D7B">
        <w:rPr>
          <w:rFonts w:ascii="Noto Sans" w:hAnsi="Noto Sans" w:cs="Noto Sans"/>
          <w:i/>
          <w:iCs/>
          <w:sz w:val="22"/>
        </w:rPr>
        <w:t xml:space="preserve"> </w:t>
      </w:r>
      <w:r w:rsidRPr="00C15470">
        <w:rPr>
          <w:rFonts w:ascii="Noto Sans" w:eastAsia="Times New Roman" w:hAnsi="Noto Sans" w:cs="Noto Sans"/>
          <w:sz w:val="22"/>
          <w:lang w:eastAsia="en-GB"/>
        </w:rPr>
        <w:t>getting lines back up and running and revenue flowing again, much faster.</w:t>
      </w:r>
    </w:p>
    <w:p w14:paraId="6014F37B" w14:textId="77777777" w:rsidR="00C15470" w:rsidRPr="00C15470" w:rsidRDefault="00C15470" w:rsidP="00C15470">
      <w:pPr>
        <w:spacing w:line="240" w:lineRule="auto"/>
        <w:rPr>
          <w:rFonts w:ascii="Noto Sans" w:hAnsi="Noto Sans" w:cs="Noto Sans"/>
          <w:b/>
          <w:bCs/>
          <w:sz w:val="22"/>
        </w:rPr>
      </w:pPr>
      <w:r w:rsidRPr="00C15470">
        <w:rPr>
          <w:rFonts w:ascii="Noto Sans" w:hAnsi="Noto Sans" w:cs="Noto Sans"/>
          <w:b/>
          <w:bCs/>
          <w:sz w:val="22"/>
        </w:rPr>
        <w:t>Future-Proof Packaging</w:t>
      </w:r>
    </w:p>
    <w:p w14:paraId="1ECDA494" w14:textId="77777777" w:rsidR="00C15470" w:rsidRPr="00C15470" w:rsidRDefault="00C15470" w:rsidP="00C15470">
      <w:pPr>
        <w:spacing w:line="240" w:lineRule="auto"/>
        <w:rPr>
          <w:rFonts w:ascii="Noto Sans" w:hAnsi="Noto Sans" w:cs="Noto Sans"/>
          <w:sz w:val="22"/>
        </w:rPr>
      </w:pPr>
      <w:r w:rsidRPr="00C15470">
        <w:rPr>
          <w:rFonts w:ascii="Noto Sans" w:hAnsi="Noto Sans" w:cs="Noto Sans"/>
          <w:sz w:val="22"/>
        </w:rPr>
        <w:t>Requalification doesn’t have to mean falling behind. In fact, if treated strategically, it can accelerate the transformation of pharmaceutical packaging operations into a more efficient, sustainable, and future-proof state.</w:t>
      </w:r>
    </w:p>
    <w:p w14:paraId="1A35AB79" w14:textId="77777777" w:rsidR="00C15470" w:rsidRDefault="00C15470" w:rsidP="00C15470">
      <w:pPr>
        <w:spacing w:line="240" w:lineRule="auto"/>
        <w:rPr>
          <w:rFonts w:ascii="Noto Sans" w:hAnsi="Noto Sans" w:cs="Noto Sans"/>
          <w:sz w:val="22"/>
        </w:rPr>
      </w:pPr>
    </w:p>
    <w:p w14:paraId="522F9503" w14:textId="04AF833B" w:rsidR="00C15470" w:rsidRPr="00C15470" w:rsidRDefault="00C15470" w:rsidP="00C15470">
      <w:pPr>
        <w:spacing w:line="240" w:lineRule="auto"/>
        <w:rPr>
          <w:rFonts w:ascii="Noto Sans" w:hAnsi="Noto Sans" w:cs="Noto Sans"/>
          <w:sz w:val="22"/>
        </w:rPr>
      </w:pPr>
      <w:r w:rsidRPr="00C15470">
        <w:rPr>
          <w:rFonts w:ascii="Noto Sans" w:hAnsi="Noto Sans" w:cs="Noto Sans"/>
          <w:sz w:val="22"/>
        </w:rPr>
        <w:t>The industry is moving</w:t>
      </w:r>
      <w:r w:rsidR="00DA1D7B">
        <w:rPr>
          <w:rFonts w:ascii="Noto Sans" w:hAnsi="Noto Sans" w:cs="Noto Sans"/>
          <w:sz w:val="22"/>
        </w:rPr>
        <w:t xml:space="preserve"> </w:t>
      </w:r>
      <w:r w:rsidR="00DA1D7B" w:rsidRPr="007D148F">
        <w:rPr>
          <w:rFonts w:ascii="Noto Sans" w:hAnsi="Noto Sans" w:cs="Noto Sans"/>
          <w:i/>
          <w:iCs/>
          <w:sz w:val="22"/>
        </w:rPr>
        <w:t>–</w:t>
      </w:r>
      <w:r w:rsidR="00DA1D7B">
        <w:rPr>
          <w:rFonts w:ascii="Noto Sans" w:hAnsi="Noto Sans" w:cs="Noto Sans"/>
          <w:i/>
          <w:iCs/>
          <w:sz w:val="22"/>
        </w:rPr>
        <w:t xml:space="preserve"> </w:t>
      </w:r>
      <w:r w:rsidRPr="00C15470">
        <w:rPr>
          <w:rFonts w:ascii="Noto Sans" w:hAnsi="Noto Sans" w:cs="Noto Sans"/>
          <w:sz w:val="22"/>
        </w:rPr>
        <w:t xml:space="preserve">regulations, markets, and technologies are evolving. Research from </w:t>
      </w:r>
      <w:hyperlink r:id="rId8" w:history="1">
        <w:r w:rsidRPr="00B21CC1">
          <w:rPr>
            <w:rStyle w:val="Hyperlink"/>
            <w:rFonts w:ascii="Noto Sans" w:hAnsi="Noto Sans" w:cs="Noto Sans"/>
            <w:sz w:val="22"/>
          </w:rPr>
          <w:t>Mordor Intelligence</w:t>
        </w:r>
      </w:hyperlink>
      <w:r>
        <w:t xml:space="preserve"> </w:t>
      </w:r>
      <w:r w:rsidRPr="00C15470">
        <w:rPr>
          <w:rFonts w:ascii="Noto Sans" w:hAnsi="Noto Sans" w:cs="Noto Sans"/>
          <w:sz w:val="22"/>
        </w:rPr>
        <w:t xml:space="preserve">states that the digital packaging printing market is forecast to grow from $34 billion in 2025 to $56 billion by 2030, a CAGR of over 10%. More brands are moving away from </w:t>
      </w:r>
      <w:proofErr w:type="spellStart"/>
      <w:r w:rsidRPr="00C15470">
        <w:rPr>
          <w:rFonts w:ascii="Noto Sans" w:hAnsi="Noto Sans" w:cs="Noto Sans"/>
          <w:sz w:val="22"/>
        </w:rPr>
        <w:t>analog</w:t>
      </w:r>
      <w:proofErr w:type="spellEnd"/>
      <w:r w:rsidRPr="00C15470">
        <w:rPr>
          <w:rFonts w:ascii="Noto Sans" w:hAnsi="Noto Sans" w:cs="Noto Sans"/>
          <w:sz w:val="22"/>
        </w:rPr>
        <w:t xml:space="preserve"> prints to plate-less workflows to enable mass customization, reduce waste, and simplify changeovers.</w:t>
      </w:r>
    </w:p>
    <w:p w14:paraId="20354108" w14:textId="77777777" w:rsidR="00C15470" w:rsidRDefault="00C15470" w:rsidP="00C15470">
      <w:pPr>
        <w:spacing w:line="240" w:lineRule="auto"/>
        <w:rPr>
          <w:rFonts w:ascii="Noto Sans" w:hAnsi="Noto Sans" w:cs="Noto Sans"/>
          <w:sz w:val="22"/>
        </w:rPr>
      </w:pPr>
    </w:p>
    <w:p w14:paraId="0674665D" w14:textId="2402F31C" w:rsidR="00C15470" w:rsidRPr="00C15470" w:rsidRDefault="00C15470" w:rsidP="00C15470">
      <w:pPr>
        <w:spacing w:line="240" w:lineRule="auto"/>
        <w:rPr>
          <w:rFonts w:ascii="Noto Sans" w:hAnsi="Noto Sans" w:cs="Noto Sans"/>
          <w:sz w:val="22"/>
        </w:rPr>
      </w:pPr>
      <w:r w:rsidRPr="00C15470">
        <w:rPr>
          <w:rFonts w:ascii="Noto Sans" w:hAnsi="Noto Sans" w:cs="Noto Sans"/>
          <w:sz w:val="22"/>
        </w:rPr>
        <w:lastRenderedPageBreak/>
        <w:t>By taking the opportunity to upgrade technologies and workflows during the requalification window, pharmaceutical manufacturers can reduce waste, improve responsiveness, and build long-term operational resilience.</w:t>
      </w:r>
    </w:p>
    <w:p w14:paraId="4290BDFC" w14:textId="77777777" w:rsidR="00C15470" w:rsidRPr="00B21CC1" w:rsidRDefault="00C15470" w:rsidP="00E33BBD">
      <w:pPr>
        <w:spacing w:line="240" w:lineRule="auto"/>
        <w:rPr>
          <w:rFonts w:ascii="Noto Sans" w:hAnsi="Noto Sans" w:cs="Noto Sans"/>
          <w:sz w:val="22"/>
        </w:rPr>
      </w:pPr>
    </w:p>
    <w:p w14:paraId="2ECD9CAA" w14:textId="3DA2C86D" w:rsidR="00B21CC1" w:rsidRPr="00C15470" w:rsidRDefault="00C15470" w:rsidP="00E33BBD">
      <w:pPr>
        <w:spacing w:line="240" w:lineRule="auto"/>
        <w:rPr>
          <w:rFonts w:ascii="Noto Sans" w:hAnsi="Noto Sans" w:cs="Noto Sans"/>
          <w:sz w:val="22"/>
        </w:rPr>
      </w:pPr>
      <w:r w:rsidRPr="00C15470">
        <w:rPr>
          <w:rFonts w:ascii="Noto Sans" w:hAnsi="Noto Sans" w:cs="Noto Sans"/>
          <w:sz w:val="22"/>
        </w:rPr>
        <w:t xml:space="preserve">To learn how Domino can support your requalification strategy, </w:t>
      </w:r>
      <w:hyperlink r:id="rId9" w:history="1">
        <w:r w:rsidRPr="00C15470">
          <w:rPr>
            <w:rStyle w:val="Hyperlink"/>
            <w:rFonts w:ascii="Noto Sans" w:hAnsi="Noto Sans" w:cs="Noto Sans"/>
            <w:sz w:val="22"/>
          </w:rPr>
          <w:t>visit our website</w:t>
        </w:r>
      </w:hyperlink>
      <w:r w:rsidRPr="00C15470">
        <w:rPr>
          <w:rFonts w:ascii="Noto Sans" w:hAnsi="Noto Sans" w:cs="Noto Sans"/>
          <w:sz w:val="22"/>
        </w:rPr>
        <w:t xml:space="preserve"> or speak to one of our experts.</w:t>
      </w:r>
    </w:p>
    <w:p w14:paraId="4743B47B" w14:textId="77777777" w:rsidR="00C15470" w:rsidRDefault="00C15470" w:rsidP="00E33BBD">
      <w:pPr>
        <w:spacing w:line="240" w:lineRule="auto"/>
        <w:rPr>
          <w:rFonts w:ascii="Noto Sans" w:hAnsi="Noto Sans" w:cs="Noto Sans"/>
          <w:sz w:val="22"/>
        </w:rPr>
      </w:pPr>
    </w:p>
    <w:p w14:paraId="4FE04B41" w14:textId="339323B5" w:rsidR="00B21CC1" w:rsidRPr="00B21CC1" w:rsidRDefault="00B21CC1" w:rsidP="00E33BBD">
      <w:pPr>
        <w:spacing w:line="240" w:lineRule="auto"/>
        <w:rPr>
          <w:rFonts w:ascii="Noto Sans" w:hAnsi="Noto Sans" w:cs="Noto Sans"/>
          <w:color w:val="FF0000"/>
          <w:sz w:val="22"/>
        </w:rPr>
      </w:pPr>
      <w:r w:rsidRPr="00B21CC1">
        <w:rPr>
          <w:rFonts w:ascii="Noto Sans" w:hAnsi="Noto Sans" w:cs="Noto Sans"/>
          <w:sz w:val="22"/>
        </w:rPr>
        <w:t>&lt;</w:t>
      </w:r>
      <w:r w:rsidRPr="00E33BBD">
        <w:rPr>
          <w:rFonts w:ascii="Noto Sans" w:hAnsi="Noto Sans" w:cs="Noto Sans"/>
          <w:b/>
          <w:bCs/>
          <w:sz w:val="22"/>
        </w:rPr>
        <w:t>END</w:t>
      </w:r>
      <w:r w:rsidRPr="00B21CC1">
        <w:rPr>
          <w:rFonts w:ascii="Noto Sans" w:hAnsi="Noto Sans" w:cs="Noto Sans"/>
          <w:sz w:val="22"/>
        </w:rPr>
        <w:t>&gt;</w:t>
      </w:r>
    </w:p>
    <w:p w14:paraId="53EB7C38" w14:textId="77777777" w:rsidR="005524DB" w:rsidRDefault="005524DB" w:rsidP="00E33BBD">
      <w:pPr>
        <w:rPr>
          <w:rFonts w:ascii="Noto Sans" w:hAnsi="Noto Sans" w:cs="Noto Sans"/>
          <w:sz w:val="22"/>
        </w:rPr>
      </w:pPr>
    </w:p>
    <w:p w14:paraId="47C83667" w14:textId="77777777" w:rsidR="00C15470" w:rsidRPr="00AF142B" w:rsidRDefault="00C15470" w:rsidP="00C15470">
      <w:pPr>
        <w:spacing w:line="240" w:lineRule="auto"/>
        <w:rPr>
          <w:rFonts w:ascii="Noto Sans" w:hAnsi="Noto Sans" w:cs="Noto Sans"/>
          <w:sz w:val="20"/>
          <w:szCs w:val="20"/>
        </w:rPr>
      </w:pPr>
      <w:bookmarkStart w:id="0" w:name="_Hlk46133219"/>
      <w:r w:rsidRPr="00AF142B">
        <w:rPr>
          <w:rFonts w:ascii="Noto Sans" w:eastAsia="Gill Sans" w:hAnsi="Noto Sans" w:cs="Noto Sans"/>
          <w:b/>
          <w:sz w:val="20"/>
          <w:szCs w:val="20"/>
        </w:rPr>
        <w:t>Disclaimers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2D753E">
        <w:rPr>
          <w:rFonts w:ascii="Noto Sans" w:hAnsi="Noto Sans" w:cs="Noto Sans"/>
          <w:b/>
          <w:bCs/>
          <w:sz w:val="20"/>
          <w:szCs w:val="20"/>
        </w:rPr>
        <w:t>Inks</w:t>
      </w:r>
      <w:r w:rsidRPr="002D753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2D753E">
        <w:rPr>
          <w:rFonts w:ascii="Noto Sans" w:hAnsi="Noto Sans" w:cs="Noto Sans"/>
          <w:sz w:val="20"/>
          <w:szCs w:val="20"/>
        </w:rPr>
        <w:br/>
      </w:r>
      <w:r w:rsidRPr="002D753E">
        <w:rPr>
          <w:rFonts w:ascii="Noto Sans" w:hAnsi="Noto Sans" w:cs="Noto Sans"/>
          <w:sz w:val="20"/>
          <w:szCs w:val="20"/>
        </w:rPr>
        <w:br/>
      </w:r>
      <w:r w:rsidRPr="002D753E">
        <w:rPr>
          <w:rFonts w:ascii="Noto Sans" w:hAnsi="Noto Sans" w:cs="Noto Sans"/>
          <w:b/>
          <w:bCs/>
          <w:sz w:val="20"/>
          <w:szCs w:val="20"/>
        </w:rPr>
        <w:t>General</w:t>
      </w:r>
      <w:r w:rsidRPr="002D753E">
        <w:rPr>
          <w:rFonts w:ascii="Noto Sans" w:hAnsi="Noto Sans" w:cs="Noto Sans"/>
          <w:sz w:val="20"/>
          <w:szCs w:val="20"/>
        </w:rPr>
        <w:br/>
      </w:r>
      <w:r w:rsidRPr="002D753E">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2D753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Imagery</w:t>
      </w:r>
      <w:r w:rsidRPr="00AF142B">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hAnsi="Noto Sans" w:cs="Noto Sans"/>
          <w:b/>
          <w:bCs/>
          <w:sz w:val="20"/>
          <w:szCs w:val="20"/>
        </w:rPr>
        <w:t>Videos</w:t>
      </w:r>
      <w:r w:rsidRPr="00AF142B">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AF142B">
        <w:rPr>
          <w:rFonts w:ascii="Noto Sans" w:hAnsi="Noto Sans" w:cs="Noto Sans"/>
          <w:sz w:val="20"/>
          <w:szCs w:val="20"/>
        </w:rPr>
        <w:br/>
      </w:r>
      <w:r w:rsidRPr="00AF142B">
        <w:rPr>
          <w:rFonts w:ascii="Noto Sans" w:eastAsia="Gill Sans" w:hAnsi="Noto Sans" w:cs="Noto Sans"/>
          <w:sz w:val="20"/>
          <w:szCs w:val="20"/>
        </w:rPr>
        <w:br/>
      </w:r>
      <w:bookmarkStart w:id="1" w:name="_Hlk61949672"/>
      <w:r w:rsidRPr="00AF142B">
        <w:rPr>
          <w:rFonts w:ascii="Noto Sans" w:eastAsia="Gill Sans" w:hAnsi="Noto Sans" w:cs="Noto Sans"/>
          <w:b/>
          <w:sz w:val="20"/>
          <w:szCs w:val="20"/>
        </w:rPr>
        <w:br/>
        <w:t>Notes to Editors:</w:t>
      </w:r>
      <w:r w:rsidRPr="00AF142B">
        <w:rPr>
          <w:rFonts w:ascii="Noto Sans" w:eastAsia="Gill Sans" w:hAnsi="Noto Sans" w:cs="Noto Sans"/>
          <w:b/>
          <w:sz w:val="20"/>
          <w:szCs w:val="20"/>
        </w:rPr>
        <w:br/>
      </w:r>
      <w:r w:rsidRPr="00AF142B">
        <w:rPr>
          <w:rFonts w:ascii="Noto Sans" w:eastAsia="Gill Sans" w:hAnsi="Noto Sans" w:cs="Noto Sans"/>
          <w:sz w:val="20"/>
          <w:szCs w:val="20"/>
        </w:rPr>
        <w:br/>
      </w:r>
      <w:r w:rsidRPr="00AF142B">
        <w:rPr>
          <w:rFonts w:ascii="Noto Sans" w:eastAsia="Gill Sans" w:hAnsi="Noto Sans" w:cs="Noto Sans"/>
          <w:b/>
          <w:sz w:val="20"/>
          <w:szCs w:val="20"/>
        </w:rPr>
        <w:t>About Domino</w:t>
      </w:r>
      <w:r w:rsidRPr="00AF142B">
        <w:rPr>
          <w:rFonts w:ascii="Noto Sans" w:eastAsia="Gill Sans" w:hAnsi="Noto Sans" w:cs="Noto Sans"/>
          <w:b/>
          <w:sz w:val="20"/>
          <w:szCs w:val="20"/>
        </w:rPr>
        <w:br/>
      </w:r>
      <w:r w:rsidRPr="00AF142B">
        <w:rPr>
          <w:rFonts w:ascii="Noto Sans" w:eastAsia="Gill Sans" w:hAnsi="Noto Sans" w:cs="Noto Sans"/>
          <w:sz w:val="20"/>
          <w:szCs w:val="20"/>
        </w:rPr>
        <w:lastRenderedPageBreak/>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AF142B">
        <w:rPr>
          <w:rFonts w:ascii="Noto Sans" w:eastAsia="Gill Sans" w:hAnsi="Noto Sans" w:cs="Noto Sans"/>
          <w:sz w:val="20"/>
          <w:szCs w:val="20"/>
        </w:rPr>
        <w:br/>
      </w:r>
      <w:r w:rsidRPr="00AF142B">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AF142B">
        <w:rPr>
          <w:rFonts w:ascii="Noto Sans" w:eastAsia="Gill Sans" w:hAnsi="Noto Sans" w:cs="Noto Sans"/>
          <w:sz w:val="20"/>
          <w:szCs w:val="20"/>
        </w:rPr>
        <w:br/>
      </w:r>
      <w:r w:rsidRPr="00AF142B">
        <w:rPr>
          <w:rFonts w:ascii="Noto Sans" w:eastAsia="Gill Sans" w:hAnsi="Noto Sans" w:cs="Noto Sans"/>
          <w:sz w:val="20"/>
          <w:szCs w:val="20"/>
        </w:rPr>
        <w:br/>
        <w:t>Domino became an autonomous division within Brother Industries Ltd. on 11</w:t>
      </w:r>
      <w:r w:rsidRPr="00AF142B">
        <w:rPr>
          <w:rFonts w:ascii="Noto Sans" w:eastAsia="Gill Sans" w:hAnsi="Noto Sans" w:cs="Noto Sans"/>
          <w:sz w:val="20"/>
          <w:szCs w:val="20"/>
          <w:vertAlign w:val="superscript"/>
        </w:rPr>
        <w:t>th</w:t>
      </w:r>
      <w:r w:rsidRPr="00AF142B">
        <w:rPr>
          <w:rFonts w:ascii="Noto Sans" w:eastAsia="Gill Sans" w:hAnsi="Noto Sans" w:cs="Noto Sans"/>
          <w:sz w:val="20"/>
          <w:szCs w:val="20"/>
        </w:rPr>
        <w:t xml:space="preserve"> June 2015. </w:t>
      </w:r>
      <w:r w:rsidRPr="00AF142B">
        <w:rPr>
          <w:rFonts w:ascii="Noto Sans" w:eastAsia="Gill Sans" w:hAnsi="Noto Sans" w:cs="Noto Sans"/>
          <w:sz w:val="20"/>
          <w:szCs w:val="20"/>
        </w:rPr>
        <w:br/>
      </w:r>
      <w:r w:rsidRPr="00AF142B">
        <w:rPr>
          <w:rFonts w:ascii="Noto Sans" w:eastAsia="Gill Sans" w:hAnsi="Noto Sans" w:cs="Noto Sans"/>
          <w:sz w:val="20"/>
          <w:szCs w:val="20"/>
        </w:rPr>
        <w:br/>
      </w:r>
      <w:r w:rsidRPr="00AF142B">
        <w:rPr>
          <w:rFonts w:ascii="Noto Sans" w:eastAsia="Gill Sans" w:hAnsi="Noto Sans" w:cs="Noto Sans"/>
          <w:b/>
          <w:bCs/>
          <w:sz w:val="20"/>
          <w:szCs w:val="20"/>
        </w:rPr>
        <w:t>For further information on Domino</w:t>
      </w:r>
      <w:r w:rsidRPr="00AF142B">
        <w:rPr>
          <w:rFonts w:ascii="Noto Sans" w:eastAsia="Gill Sans" w:hAnsi="Noto Sans" w:cs="Noto Sans"/>
          <w:sz w:val="20"/>
          <w:szCs w:val="20"/>
        </w:rPr>
        <w:t xml:space="preserve">, please visit </w:t>
      </w:r>
      <w:hyperlink r:id="rId10" w:history="1">
        <w:r w:rsidRPr="00AF142B">
          <w:rPr>
            <w:rStyle w:val="Hyperlink"/>
            <w:rFonts w:ascii="Noto Sans" w:eastAsia="Gill Sans" w:hAnsi="Noto Sans" w:cs="Noto Sans"/>
            <w:sz w:val="20"/>
            <w:szCs w:val="20"/>
          </w:rPr>
          <w:t>www.domino-printing.com</w:t>
        </w:r>
      </w:hyperlink>
      <w:r w:rsidRPr="00AF142B">
        <w:rPr>
          <w:rFonts w:ascii="Noto Sans" w:eastAsia="Gill Sans" w:hAnsi="Noto Sans" w:cs="Noto Sans"/>
          <w:sz w:val="20"/>
          <w:szCs w:val="20"/>
        </w:rPr>
        <w:t xml:space="preserve"> or contact:</w:t>
      </w:r>
      <w:r w:rsidRPr="00AF142B">
        <w:rPr>
          <w:rFonts w:ascii="Noto Sans" w:eastAsia="Gill Sans" w:hAnsi="Noto Sans" w:cs="Noto Sans"/>
          <w:sz w:val="20"/>
          <w:szCs w:val="20"/>
        </w:rPr>
        <w:br/>
      </w:r>
      <w:r w:rsidRPr="00AF142B">
        <w:rPr>
          <w:rFonts w:ascii="Noto Sans" w:eastAsia="Gill Sans" w:hAnsi="Noto Sans" w:cs="Noto Sans"/>
          <w:sz w:val="20"/>
          <w:szCs w:val="20"/>
        </w:rPr>
        <w:br/>
      </w:r>
      <w:bookmarkEnd w:id="1"/>
      <w:r w:rsidRPr="00C231A2">
        <w:rPr>
          <w:rFonts w:ascii="Noto Sans" w:hAnsi="Noto Sans" w:cs="Noto Sans"/>
          <w:b/>
          <w:bCs/>
          <w:sz w:val="20"/>
          <w:szCs w:val="20"/>
          <w:lang w:val="nl"/>
        </w:rPr>
        <w:t>Alex Challinor</w:t>
      </w:r>
      <w:r w:rsidRPr="00AF142B">
        <w:rPr>
          <w:rFonts w:ascii="Noto Sans" w:hAnsi="Noto Sans" w:cs="Noto Sans"/>
          <w:b/>
          <w:bCs/>
          <w:sz w:val="20"/>
          <w:szCs w:val="20"/>
        </w:rPr>
        <w:br/>
      </w:r>
      <w:r w:rsidRPr="00AF142B">
        <w:rPr>
          <w:rFonts w:ascii="Noto Sans" w:hAnsi="Noto Sans" w:cs="Noto Sans"/>
          <w:sz w:val="20"/>
          <w:szCs w:val="20"/>
        </w:rPr>
        <w:t xml:space="preserve">PR and Content Manager </w:t>
      </w:r>
      <w:r w:rsidRPr="00AF142B">
        <w:rPr>
          <w:rFonts w:ascii="Noto Sans" w:hAnsi="Noto Sans" w:cs="Noto Sans"/>
          <w:sz w:val="20"/>
          <w:szCs w:val="20"/>
        </w:rPr>
        <w:br/>
        <w:t xml:space="preserve">Domino Printing Sciences </w:t>
      </w:r>
      <w:r w:rsidRPr="00AF142B">
        <w:rPr>
          <w:rFonts w:ascii="Noto Sans" w:hAnsi="Noto Sans" w:cs="Noto Sans"/>
          <w:sz w:val="20"/>
          <w:szCs w:val="20"/>
        </w:rPr>
        <w:br/>
        <w:t>Tel: +44 (0) 1954 778780</w:t>
      </w:r>
      <w:r w:rsidRPr="00AF142B">
        <w:rPr>
          <w:rFonts w:ascii="Noto Sans" w:hAnsi="Noto Sans" w:cs="Noto Sans"/>
          <w:sz w:val="20"/>
          <w:szCs w:val="20"/>
        </w:rPr>
        <w:br/>
      </w:r>
      <w:bookmarkEnd w:id="0"/>
      <w:r>
        <w:rPr>
          <w:rFonts w:ascii="Noto Sans" w:hAnsi="Noto Sans" w:cs="Noto Sans"/>
          <w:sz w:val="20"/>
          <w:szCs w:val="20"/>
          <w:lang w:val="es"/>
        </w:rPr>
        <w:fldChar w:fldCharType="begin"/>
      </w:r>
      <w:r w:rsidRPr="00C231A2">
        <w:rPr>
          <w:rFonts w:ascii="Noto Sans" w:hAnsi="Noto Sans" w:cs="Noto Sans"/>
          <w:sz w:val="20"/>
          <w:szCs w:val="20"/>
        </w:rPr>
        <w:instrText>HYPERLINK "mailto:Alex.Challinor@domino-uk.com"</w:instrText>
      </w:r>
      <w:r>
        <w:rPr>
          <w:rFonts w:ascii="Noto Sans" w:hAnsi="Noto Sans" w:cs="Noto Sans"/>
          <w:sz w:val="20"/>
          <w:szCs w:val="20"/>
          <w:lang w:val="es"/>
        </w:rPr>
      </w:r>
      <w:r>
        <w:rPr>
          <w:rFonts w:ascii="Noto Sans" w:hAnsi="Noto Sans" w:cs="Noto Sans"/>
          <w:sz w:val="20"/>
          <w:szCs w:val="20"/>
          <w:lang w:val="es"/>
        </w:rPr>
        <w:fldChar w:fldCharType="separate"/>
      </w:r>
      <w:r w:rsidRPr="00C231A2">
        <w:rPr>
          <w:rStyle w:val="Hyperlink"/>
          <w:rFonts w:ascii="Noto Sans" w:hAnsi="Noto Sans" w:cs="Noto Sans"/>
          <w:sz w:val="20"/>
          <w:szCs w:val="20"/>
        </w:rPr>
        <w:t>Alex.Challinor@domino-uk.com</w:t>
      </w:r>
      <w:r>
        <w:rPr>
          <w:rFonts w:ascii="Noto Sans" w:hAnsi="Noto Sans" w:cs="Noto Sans"/>
          <w:sz w:val="20"/>
          <w:szCs w:val="20"/>
          <w:lang w:val="es"/>
        </w:rPr>
        <w:fldChar w:fldCharType="end"/>
      </w:r>
      <w:r w:rsidRPr="00AF142B">
        <w:rPr>
          <w:rFonts w:ascii="Noto Sans" w:hAnsi="Noto Sans" w:cs="Noto Sans"/>
          <w:sz w:val="20"/>
          <w:szCs w:val="20"/>
        </w:rPr>
        <w:br/>
      </w:r>
      <w:r w:rsidRPr="00AF142B">
        <w:rPr>
          <w:rFonts w:ascii="Noto Sans" w:hAnsi="Noto Sans" w:cs="Noto Sans"/>
          <w:sz w:val="20"/>
          <w:szCs w:val="20"/>
        </w:rPr>
        <w:br/>
      </w:r>
      <w:r w:rsidRPr="00AF142B">
        <w:rPr>
          <w:rFonts w:ascii="Noto Sans" w:eastAsiaTheme="minorHAnsi" w:hAnsi="Noto Sans" w:cs="Noto Sans"/>
          <w:b/>
          <w:bCs/>
          <w:sz w:val="20"/>
          <w:szCs w:val="20"/>
        </w:rPr>
        <w:t>Jamie Robinson</w:t>
      </w:r>
      <w:r w:rsidRPr="00AF142B">
        <w:rPr>
          <w:rFonts w:ascii="Noto Sans" w:eastAsiaTheme="minorHAnsi" w:hAnsi="Noto Sans" w:cs="Noto Sans"/>
          <w:b/>
          <w:bCs/>
          <w:sz w:val="20"/>
          <w:szCs w:val="20"/>
        </w:rPr>
        <w:br/>
      </w:r>
      <w:r w:rsidRPr="00AF142B">
        <w:rPr>
          <w:rFonts w:ascii="Noto Sans" w:eastAsiaTheme="minorHAnsi" w:hAnsi="Noto Sans" w:cs="Noto Sans"/>
          <w:sz w:val="20"/>
          <w:szCs w:val="20"/>
        </w:rPr>
        <w:t xml:space="preserve">Marketing Generalist </w:t>
      </w:r>
      <w:r w:rsidRPr="00AF142B">
        <w:rPr>
          <w:rFonts w:ascii="Noto Sans" w:eastAsiaTheme="minorHAnsi" w:hAnsi="Noto Sans" w:cs="Noto Sans"/>
          <w:sz w:val="20"/>
          <w:szCs w:val="20"/>
        </w:rPr>
        <w:br/>
        <w:t xml:space="preserve">Domino North America </w:t>
      </w:r>
      <w:r w:rsidRPr="00AF142B">
        <w:rPr>
          <w:rFonts w:ascii="Noto Sans" w:eastAsiaTheme="minorHAnsi" w:hAnsi="Noto Sans" w:cs="Noto Sans"/>
          <w:sz w:val="20"/>
          <w:szCs w:val="20"/>
        </w:rPr>
        <w:br/>
        <w:t>Tel: +1 636-673-3009</w:t>
      </w:r>
      <w:r w:rsidRPr="00AF142B">
        <w:rPr>
          <w:rFonts w:ascii="Noto Sans" w:eastAsiaTheme="minorHAnsi" w:hAnsi="Noto Sans" w:cs="Noto Sans"/>
          <w:sz w:val="20"/>
          <w:szCs w:val="20"/>
        </w:rPr>
        <w:br/>
      </w:r>
      <w:hyperlink r:id="rId11" w:history="1">
        <w:r w:rsidRPr="00AF142B">
          <w:rPr>
            <w:rFonts w:ascii="Noto Sans" w:eastAsiaTheme="minorHAnsi" w:hAnsi="Noto Sans" w:cs="Noto Sans"/>
            <w:color w:val="0563C1" w:themeColor="hyperlink"/>
            <w:sz w:val="20"/>
            <w:szCs w:val="20"/>
            <w:u w:val="single"/>
          </w:rPr>
          <w:t>jamie.hinton@domino-na.com</w:t>
        </w:r>
      </w:hyperlink>
      <w:r w:rsidRPr="00AF142B">
        <w:rPr>
          <w:rFonts w:ascii="Noto Sans" w:hAnsi="Noto Sans" w:cs="Noto Sans"/>
          <w:sz w:val="20"/>
          <w:szCs w:val="20"/>
        </w:rPr>
        <w:br/>
      </w:r>
    </w:p>
    <w:p w14:paraId="08BC9336" w14:textId="7EB3837C" w:rsidR="00E33BBD" w:rsidRPr="00B21CC1" w:rsidRDefault="00E33BBD" w:rsidP="00C15470">
      <w:pPr>
        <w:rPr>
          <w:rFonts w:ascii="Noto Sans" w:hAnsi="Noto Sans" w:cs="Noto Sans"/>
          <w:sz w:val="22"/>
        </w:rPr>
      </w:pPr>
    </w:p>
    <w:sectPr w:rsidR="00E33BBD" w:rsidRPr="00B21CC1"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201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1E72A8"/>
    <w:rsid w:val="00214F4E"/>
    <w:rsid w:val="002766D9"/>
    <w:rsid w:val="002C3337"/>
    <w:rsid w:val="00372E92"/>
    <w:rsid w:val="005272B1"/>
    <w:rsid w:val="005524DB"/>
    <w:rsid w:val="005741C7"/>
    <w:rsid w:val="00647055"/>
    <w:rsid w:val="00660F46"/>
    <w:rsid w:val="00785717"/>
    <w:rsid w:val="007D148F"/>
    <w:rsid w:val="008220B7"/>
    <w:rsid w:val="00823B77"/>
    <w:rsid w:val="008916A8"/>
    <w:rsid w:val="008B6461"/>
    <w:rsid w:val="008F3E38"/>
    <w:rsid w:val="00931996"/>
    <w:rsid w:val="00987456"/>
    <w:rsid w:val="009A1716"/>
    <w:rsid w:val="009A1DEC"/>
    <w:rsid w:val="009D6280"/>
    <w:rsid w:val="009E564D"/>
    <w:rsid w:val="00A34918"/>
    <w:rsid w:val="00AB11DA"/>
    <w:rsid w:val="00B21CC1"/>
    <w:rsid w:val="00B23C3C"/>
    <w:rsid w:val="00B546C5"/>
    <w:rsid w:val="00BC7C15"/>
    <w:rsid w:val="00C063FE"/>
    <w:rsid w:val="00C15470"/>
    <w:rsid w:val="00C44603"/>
    <w:rsid w:val="00C541FE"/>
    <w:rsid w:val="00CF1AD5"/>
    <w:rsid w:val="00DA1D7B"/>
    <w:rsid w:val="00E03029"/>
    <w:rsid w:val="00E1128E"/>
    <w:rsid w:val="00E33BBD"/>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B21CC1"/>
    <w:rPr>
      <w:sz w:val="16"/>
      <w:szCs w:val="16"/>
    </w:rPr>
  </w:style>
  <w:style w:type="paragraph" w:styleId="CommentText">
    <w:name w:val="annotation text"/>
    <w:basedOn w:val="Normal"/>
    <w:link w:val="CommentTextChar"/>
    <w:uiPriority w:val="99"/>
    <w:unhideWhenUsed/>
    <w:rsid w:val="00B21CC1"/>
    <w:pPr>
      <w:spacing w:after="160" w:line="240" w:lineRule="auto"/>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B21CC1"/>
    <w:rPr>
      <w:kern w:val="2"/>
      <w:sz w:val="20"/>
      <w:szCs w:val="20"/>
      <w14:ligatures w14:val="standardContextual"/>
    </w:rPr>
  </w:style>
  <w:style w:type="character" w:customStyle="1" w:styleId="ui-provider">
    <w:name w:val="ui-provider"/>
    <w:basedOn w:val="DefaultParagraphFont"/>
    <w:rsid w:val="00C1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4720">
      <w:bodyDiv w:val="1"/>
      <w:marLeft w:val="0"/>
      <w:marRight w:val="0"/>
      <w:marTop w:val="0"/>
      <w:marBottom w:val="0"/>
      <w:divBdr>
        <w:top w:val="none" w:sz="0" w:space="0" w:color="auto"/>
        <w:left w:val="none" w:sz="0" w:space="0" w:color="auto"/>
        <w:bottom w:val="none" w:sz="0" w:space="0" w:color="auto"/>
        <w:right w:val="none" w:sz="0" w:space="0" w:color="auto"/>
      </w:divBdr>
    </w:div>
    <w:div w:id="915701087">
      <w:bodyDiv w:val="1"/>
      <w:marLeft w:val="0"/>
      <w:marRight w:val="0"/>
      <w:marTop w:val="0"/>
      <w:marBottom w:val="0"/>
      <w:divBdr>
        <w:top w:val="none" w:sz="0" w:space="0" w:color="auto"/>
        <w:left w:val="none" w:sz="0" w:space="0" w:color="auto"/>
        <w:bottom w:val="none" w:sz="0" w:space="0" w:color="auto"/>
        <w:right w:val="none" w:sz="0" w:space="0" w:color="auto"/>
      </w:divBdr>
    </w:div>
    <w:div w:id="1010328298">
      <w:bodyDiv w:val="1"/>
      <w:marLeft w:val="0"/>
      <w:marRight w:val="0"/>
      <w:marTop w:val="0"/>
      <w:marBottom w:val="0"/>
      <w:divBdr>
        <w:top w:val="none" w:sz="0" w:space="0" w:color="auto"/>
        <w:left w:val="none" w:sz="0" w:space="0" w:color="auto"/>
        <w:bottom w:val="none" w:sz="0" w:space="0" w:color="auto"/>
        <w:right w:val="none" w:sz="0" w:space="0" w:color="auto"/>
      </w:divBdr>
    </w:div>
    <w:div w:id="1817382353">
      <w:bodyDiv w:val="1"/>
      <w:marLeft w:val="0"/>
      <w:marRight w:val="0"/>
      <w:marTop w:val="0"/>
      <w:marBottom w:val="0"/>
      <w:divBdr>
        <w:top w:val="none" w:sz="0" w:space="0" w:color="auto"/>
        <w:left w:val="none" w:sz="0" w:space="0" w:color="auto"/>
        <w:bottom w:val="none" w:sz="0" w:space="0" w:color="auto"/>
        <w:right w:val="none" w:sz="0" w:space="0" w:color="auto"/>
      </w:divBdr>
    </w:div>
    <w:div w:id="20729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rdorintelligence.com/industry-reports/digital-printing-packaging-mark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ericanpharmaceuticalreview.com/Featured-Articles/609704-Sustainability-in-Pharmaceutical-Packagin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en-us/news-and-events/news.aspx?utm_medium=non-paid&amp;utm_source=onlinepublication&amp;utm_content=global-cm-sb-requalification%20as%20a%20strategic%20opportunity%20for%20sustainable%20pharmaceutical%20packaging%09-%20na&amp;utm_campaign=2025-int-en-global-pr-cm-fy25-q3" TargetMode="External"/><Relationship Id="rId11" Type="http://schemas.openxmlformats.org/officeDocument/2006/relationships/hyperlink" Target="mailto:jamie.hinton@domino-na.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domino-printing.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domino-printing.com/en-us/sectors/life-sciences?utm_medium=non-paid&amp;utm_source=onlinepublication&amp;utm_content=global-cm-sb-requalification%20as%20a%20strategic%20opportunity%20for%20sustainable%20pharmaceutical%20packaging%09-%20na&amp;utm_campaign=2025-int-en-global-pr-cm-fy25-q3"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TotalTime>
  <Pages>4</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Alex Challinor</cp:lastModifiedBy>
  <cp:revision>3</cp:revision>
  <dcterms:created xsi:type="dcterms:W3CDTF">2025-11-18T21:47:00Z</dcterms:created>
  <dcterms:modified xsi:type="dcterms:W3CDTF">2025-12-02T09:52:00Z</dcterms:modified>
</cp:coreProperties>
</file>