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815A8" w14:textId="77777777" w:rsidR="00C40CFF" w:rsidRDefault="00000000">
      <w:pPr>
        <w:jc w:val="center"/>
        <w:rPr>
          <w:rFonts w:ascii="Inter" w:eastAsia="Inter" w:hAnsi="Inter" w:cs="Inter"/>
        </w:rPr>
      </w:pPr>
      <w:r>
        <w:rPr>
          <w:rFonts w:ascii="Inter" w:eastAsia="Inter" w:hAnsi="Inter" w:cs="Inter"/>
          <w:b/>
          <w:bCs/>
          <w:color w:val="000000"/>
        </w:rPr>
        <w:t xml:space="preserve">Due italiani su tre fanno donazioni in beneficenza: </w:t>
      </w:r>
    </w:p>
    <w:p w14:paraId="6E138134" w14:textId="77777777" w:rsidR="00C40CFF" w:rsidRDefault="00000000">
      <w:pPr>
        <w:jc w:val="center"/>
        <w:rPr>
          <w:rFonts w:ascii="Inter" w:eastAsia="Inter" w:hAnsi="Inter" w:cs="Inter"/>
        </w:rPr>
      </w:pPr>
      <w:r>
        <w:rPr>
          <w:rFonts w:ascii="Inter" w:eastAsia="Inter" w:hAnsi="Inter" w:cs="Inter"/>
          <w:b/>
          <w:bCs/>
        </w:rPr>
        <w:t>nuove sfide e opportunità per il retail nel supporto al terzo settore</w:t>
      </w:r>
    </w:p>
    <w:p w14:paraId="7D50AA6A" w14:textId="77777777" w:rsidR="00C40CFF" w:rsidRDefault="00C40CFF">
      <w:pPr>
        <w:jc w:val="center"/>
        <w:rPr>
          <w:rFonts w:ascii="Inter" w:eastAsia="Inter" w:hAnsi="Inter" w:cs="Inter"/>
          <w:b/>
          <w:bCs/>
        </w:rPr>
      </w:pPr>
    </w:p>
    <w:p w14:paraId="1AA6A550" w14:textId="77777777" w:rsidR="00C40CFF" w:rsidRDefault="00000000">
      <w:pPr>
        <w:numPr>
          <w:ilvl w:val="0"/>
          <w:numId w:val="2"/>
        </w:numPr>
        <w:jc w:val="center"/>
        <w:rPr>
          <w:rFonts w:ascii="Inter" w:eastAsia="Inter" w:hAnsi="Inter" w:cs="Inter"/>
          <w:color w:val="000000"/>
          <w:sz w:val="22"/>
          <w:szCs w:val="22"/>
        </w:rPr>
      </w:pPr>
      <w:r>
        <w:rPr>
          <w:rFonts w:ascii="Inter" w:eastAsia="Inter" w:hAnsi="Inter" w:cs="Inter"/>
          <w:color w:val="000000"/>
        </w:rPr>
        <w:t xml:space="preserve">Il Retail Report 2025 di </w:t>
      </w:r>
      <w:proofErr w:type="spellStart"/>
      <w:r>
        <w:rPr>
          <w:rFonts w:ascii="Inter" w:eastAsia="Inter" w:hAnsi="Inter" w:cs="Inter"/>
          <w:color w:val="000000"/>
        </w:rPr>
        <w:t>Adyen</w:t>
      </w:r>
      <w:proofErr w:type="spellEnd"/>
      <w:r>
        <w:rPr>
          <w:rFonts w:ascii="Inter" w:eastAsia="Inter" w:hAnsi="Inter" w:cs="Inter"/>
          <w:color w:val="000000"/>
        </w:rPr>
        <w:t xml:space="preserve"> ha evidenziato come le tecnologie di pagamento siano sempre più importanti per facilitare le donazioni a favore di cause sociali.</w:t>
      </w:r>
    </w:p>
    <w:p w14:paraId="0620AAD5" w14:textId="77777777" w:rsidR="00C40CFF" w:rsidRDefault="00000000">
      <w:pPr>
        <w:numPr>
          <w:ilvl w:val="0"/>
          <w:numId w:val="2"/>
        </w:numPr>
        <w:jc w:val="center"/>
        <w:rPr>
          <w:rFonts w:ascii="Inter" w:eastAsia="Inter" w:hAnsi="Inter" w:cs="Inter"/>
          <w:color w:val="000000"/>
        </w:rPr>
      </w:pPr>
      <w:r>
        <w:rPr>
          <w:rFonts w:ascii="Inter" w:eastAsia="Inter" w:hAnsi="Inter" w:cs="Inter"/>
          <w:color w:val="000000"/>
        </w:rPr>
        <w:t>Secondo la ricerca, il 25% dei consumatori italiani dona a cause benefiche una o più volte al mese.</w:t>
      </w:r>
    </w:p>
    <w:p w14:paraId="2E466CC5" w14:textId="77777777" w:rsidR="00C40CFF" w:rsidRDefault="00000000">
      <w:pPr>
        <w:numPr>
          <w:ilvl w:val="0"/>
          <w:numId w:val="1"/>
        </w:numPr>
        <w:pBdr>
          <w:top w:val="nil"/>
          <w:left w:val="nil"/>
          <w:bottom w:val="nil"/>
          <w:right w:val="nil"/>
          <w:between w:val="nil"/>
        </w:pBdr>
        <w:spacing w:after="0"/>
        <w:jc w:val="center"/>
        <w:rPr>
          <w:rFonts w:ascii="Inter" w:eastAsia="Inter" w:hAnsi="Inter" w:cs="Inter"/>
          <w:color w:val="000000"/>
        </w:rPr>
      </w:pPr>
      <w:r>
        <w:rPr>
          <w:rFonts w:ascii="Inter" w:eastAsia="Inter" w:hAnsi="Inter" w:cs="Inter"/>
          <w:color w:val="000000"/>
        </w:rPr>
        <w:t>Il 21% ha dichiarato di aver già utilizzato più volte la funzione di round-up al momento del pagamento.</w:t>
      </w:r>
    </w:p>
    <w:p w14:paraId="5EC78EAB" w14:textId="77777777" w:rsidR="00C40CFF" w:rsidRDefault="00C40CFF">
      <w:pPr>
        <w:pBdr>
          <w:top w:val="nil"/>
          <w:left w:val="nil"/>
          <w:bottom w:val="nil"/>
          <w:right w:val="nil"/>
          <w:between w:val="nil"/>
        </w:pBdr>
        <w:ind w:left="720"/>
        <w:rPr>
          <w:rFonts w:ascii="Inter" w:eastAsia="Inter" w:hAnsi="Inter" w:cs="Inter"/>
          <w:color w:val="000000"/>
        </w:rPr>
      </w:pPr>
    </w:p>
    <w:p w14:paraId="28B90C71" w14:textId="4A5FFDF8" w:rsidR="00C40CFF" w:rsidRDefault="00000000">
      <w:pPr>
        <w:jc w:val="both"/>
        <w:rPr>
          <w:rFonts w:ascii="Inter" w:eastAsia="Inter" w:hAnsi="Inter" w:cs="Inter"/>
          <w:color w:val="000000"/>
          <w:sz w:val="22"/>
          <w:szCs w:val="22"/>
        </w:rPr>
      </w:pPr>
      <w:r>
        <w:rPr>
          <w:rFonts w:ascii="Inter" w:eastAsia="Inter" w:hAnsi="Inter" w:cs="Inter"/>
          <w:b/>
          <w:bCs/>
          <w:color w:val="000000"/>
        </w:rPr>
        <w:t xml:space="preserve">Milano, </w:t>
      </w:r>
      <w:r w:rsidR="008F4B8F">
        <w:rPr>
          <w:rFonts w:ascii="Inter" w:eastAsia="Inter" w:hAnsi="Inter" w:cs="Inter"/>
          <w:b/>
          <w:bCs/>
          <w:color w:val="000000"/>
        </w:rPr>
        <w:t>27</w:t>
      </w:r>
      <w:r>
        <w:rPr>
          <w:rFonts w:ascii="Inter" w:eastAsia="Inter" w:hAnsi="Inter" w:cs="Inter"/>
          <w:b/>
          <w:bCs/>
          <w:color w:val="000000"/>
        </w:rPr>
        <w:t xml:space="preserve"> novembre 2025</w:t>
      </w:r>
      <w:r>
        <w:rPr>
          <w:rFonts w:ascii="Inter" w:eastAsia="Inter" w:hAnsi="Inter" w:cs="Inter"/>
          <w:color w:val="000000"/>
        </w:rPr>
        <w:t xml:space="preserve">. Il Retail Report 2025 di </w:t>
      </w:r>
      <w:hyperlink r:id="rId7">
        <w:proofErr w:type="spellStart"/>
        <w:r>
          <w:rPr>
            <w:rFonts w:ascii="Inter" w:eastAsia="Inter" w:hAnsi="Inter" w:cs="Inter"/>
            <w:color w:val="467886"/>
            <w:u w:val="single"/>
          </w:rPr>
          <w:t>Adyen</w:t>
        </w:r>
        <w:proofErr w:type="spellEnd"/>
      </w:hyperlink>
      <w:r>
        <w:rPr>
          <w:rFonts w:ascii="Inter" w:eastAsia="Inter" w:hAnsi="Inter" w:cs="Inter"/>
          <w:color w:val="000000"/>
          <w:u w:val="single"/>
        </w:rPr>
        <w:t>,</w:t>
      </w:r>
      <w:r>
        <w:rPr>
          <w:rFonts w:ascii="Inter" w:eastAsia="Inter" w:hAnsi="Inter" w:cs="Inter"/>
          <w:color w:val="000000"/>
        </w:rPr>
        <w:t xml:space="preserve"> piattaforma tecnologico finanziaria scelta da molte aziende leader a livello globale, mostra come la tecnologia svolga un ruolo sempre più centrale anche nel sostegno agli enti di beneficenza, permettendo donazioni più frequenti e di importo ridotto, in linea con le diverse possibilità di spesa. </w:t>
      </w:r>
    </w:p>
    <w:p w14:paraId="5E1F081E" w14:textId="77777777" w:rsidR="00C40CFF" w:rsidRDefault="00000000">
      <w:pPr>
        <w:jc w:val="both"/>
        <w:rPr>
          <w:rFonts w:ascii="Inter" w:eastAsia="Inter" w:hAnsi="Inter" w:cs="Inter"/>
          <w:b/>
          <w:bCs/>
          <w:color w:val="000000"/>
          <w:sz w:val="22"/>
          <w:szCs w:val="22"/>
        </w:rPr>
      </w:pPr>
      <w:r>
        <w:rPr>
          <w:rFonts w:ascii="Inter" w:eastAsia="Inter" w:hAnsi="Inter" w:cs="Inter"/>
          <w:color w:val="000000"/>
        </w:rPr>
        <w:t xml:space="preserve">Ben </w:t>
      </w:r>
      <w:r>
        <w:rPr>
          <w:rFonts w:ascii="Inter" w:eastAsia="Inter" w:hAnsi="Inter" w:cs="Inter"/>
        </w:rPr>
        <w:t>due italiani su tre (il 67%) hanno dichiarato di effettuare</w:t>
      </w:r>
      <w:r>
        <w:rPr>
          <w:rFonts w:ascii="Inter" w:eastAsia="Inter" w:hAnsi="Inter" w:cs="Inter"/>
          <w:color w:val="000000"/>
        </w:rPr>
        <w:t xml:space="preserve"> donazioni a favore di cause benefiche. Tuttavia, l’11% ha ammesso di aver dovuto rinunciare a donare a causa dell’aumento dei costi in altri ambiti della vita quotidiana. Analizzando i dati per fasce d’età, si nota come siano i Millennial a registrare la percentuale più alta di donatori tra le generazioni più giovani, con il 71%, mentre tra i Baby Boomer la percentuale scende al 64%. Guardando alla frequenza, emerge inoltre che il 25% dei consumatori italiani dona una o più volte al mese.</w:t>
      </w:r>
    </w:p>
    <w:p w14:paraId="67874229" w14:textId="77777777" w:rsidR="00C40CFF" w:rsidRDefault="00000000">
      <w:pPr>
        <w:spacing w:line="259" w:lineRule="auto"/>
        <w:jc w:val="both"/>
        <w:rPr>
          <w:rFonts w:ascii="Inter" w:eastAsia="Inter" w:hAnsi="Inter" w:cs="Inter"/>
          <w:color w:val="000000"/>
          <w:sz w:val="22"/>
          <w:szCs w:val="22"/>
        </w:rPr>
      </w:pPr>
      <w:r>
        <w:rPr>
          <w:rFonts w:ascii="Inter" w:eastAsia="Inter" w:hAnsi="Inter" w:cs="Inter"/>
          <w:color w:val="000000"/>
        </w:rPr>
        <w:t>Il metodo preferito per donare resta il s</w:t>
      </w:r>
      <w:r>
        <w:rPr>
          <w:rFonts w:ascii="Inter" w:eastAsia="Inter" w:hAnsi="Inter" w:cs="Inter"/>
        </w:rPr>
        <w:t>upporto a iniziative benefiche promosse da amici e familiari</w:t>
      </w:r>
      <w:r>
        <w:rPr>
          <w:rFonts w:ascii="Inter" w:eastAsia="Inter" w:hAnsi="Inter" w:cs="Inter"/>
          <w:color w:val="000000"/>
        </w:rPr>
        <w:t xml:space="preserve"> con il 30%, seguito dalla funzione "round-up” al momento del checkout, indicata dal 21% che afferma di averla già utilizzata più volte. Quest’ultima rappresenta un’opportunità per aziende e partner del terzo settore di interagire con i potenziali donatori. La funzione permette agli acquirenti di arrotondare l’importo dei propri acquisti e donare piccole somme alle cause che stanno loro più a cuore, favorendo la collaborazione tra retailer globali e realtà sociali e generando un impatto concreto a livello locale, dove le donazioni fanno la differenza.</w:t>
      </w:r>
    </w:p>
    <w:p w14:paraId="4B0201E0" w14:textId="77777777" w:rsidR="00C40CFF" w:rsidRDefault="00000000">
      <w:pPr>
        <w:spacing w:line="259" w:lineRule="auto"/>
        <w:jc w:val="both"/>
        <w:rPr>
          <w:rFonts w:ascii="Inter" w:eastAsia="Inter" w:hAnsi="Inter" w:cs="Inter"/>
          <w:strike/>
          <w:color w:val="000000"/>
          <w:sz w:val="22"/>
          <w:szCs w:val="22"/>
          <w:highlight w:val="yellow"/>
        </w:rPr>
      </w:pPr>
      <w:r>
        <w:rPr>
          <w:rFonts w:ascii="Inter" w:eastAsia="Inter" w:hAnsi="Inter" w:cs="Inter"/>
          <w:color w:val="000000"/>
        </w:rPr>
        <w:t>Questa evoluzione digitale rende</w:t>
      </w:r>
      <w:r>
        <w:rPr>
          <w:rFonts w:ascii="Inter" w:eastAsia="Inter" w:hAnsi="Inter" w:cs="Inter"/>
          <w:b/>
          <w:bCs/>
          <w:color w:val="000000"/>
        </w:rPr>
        <w:t xml:space="preserve"> </w:t>
      </w:r>
      <w:r>
        <w:rPr>
          <w:rFonts w:ascii="Inter" w:eastAsia="Inter" w:hAnsi="Inter" w:cs="Inter"/>
          <w:color w:val="000000"/>
        </w:rPr>
        <w:t xml:space="preserve">il sostegno alle cause benefiche sempre più semplice e accessibile. Non a caso, il 42% degli italiani afferma di donare di più durante l’anno quando può scegliere importi ridotti. La maggior parte dei donatori predilige infatti soluzioni flessibili e meno vincolanti: l’aumento dei costi porta il 36% dei consumatori, percentuale che sale al 39% tra i Millennial, a cercare alternative che non prevedano abbonamenti annuali o mensili. </w:t>
      </w:r>
    </w:p>
    <w:p w14:paraId="270EC631" w14:textId="77777777" w:rsidR="00C40CFF" w:rsidRDefault="00000000">
      <w:pPr>
        <w:spacing w:after="0" w:line="259" w:lineRule="auto"/>
        <w:jc w:val="both"/>
        <w:rPr>
          <w:rFonts w:ascii="Inter" w:eastAsia="Inter" w:hAnsi="Inter" w:cs="Inter"/>
          <w:color w:val="000000"/>
          <w:sz w:val="22"/>
          <w:szCs w:val="22"/>
        </w:rPr>
      </w:pPr>
      <w:r>
        <w:rPr>
          <w:rFonts w:ascii="Inter" w:eastAsia="Inter" w:hAnsi="Inter" w:cs="Inter"/>
          <w:color w:val="000000"/>
        </w:rPr>
        <w:lastRenderedPageBreak/>
        <w:t xml:space="preserve">Infine, oltre la metà degli italiani, il 55%, ritiene che le aziende potrebbero fare di più per sostenere il terzo settore, mentre più di un terzo, il 37%, afferma che, se non può donare nel modo che preferisce, rinuncia del tutto a farlo. </w:t>
      </w:r>
    </w:p>
    <w:p w14:paraId="7CD61B24" w14:textId="77777777" w:rsidR="00C40CFF" w:rsidRDefault="00C40CFF">
      <w:pPr>
        <w:spacing w:after="0" w:line="259" w:lineRule="auto"/>
        <w:jc w:val="both"/>
        <w:rPr>
          <w:rFonts w:ascii="Inter" w:eastAsia="Inter" w:hAnsi="Inter" w:cs="Inter"/>
          <w:color w:val="000000"/>
        </w:rPr>
      </w:pPr>
    </w:p>
    <w:p w14:paraId="3CDC3003" w14:textId="77777777" w:rsidR="00C40CFF" w:rsidRDefault="00000000">
      <w:pPr>
        <w:spacing w:line="259" w:lineRule="auto"/>
        <w:jc w:val="both"/>
        <w:rPr>
          <w:rFonts w:ascii="Inter" w:eastAsia="Inter" w:hAnsi="Inter" w:cs="Inter"/>
          <w:color w:val="000000"/>
          <w:sz w:val="22"/>
          <w:szCs w:val="22"/>
        </w:rPr>
      </w:pPr>
      <w:r>
        <w:rPr>
          <w:rFonts w:ascii="Inter" w:eastAsia="Inter" w:hAnsi="Inter" w:cs="Inter"/>
          <w:color w:val="000000"/>
        </w:rPr>
        <w:t>Nonostante questi dati, solo il 20% delle aziende italiane consente ai clienti di effettuare donazioni in negozio, e la stessa percentuale offre questa possibilità online. Inoltre, il 9% dichiara di non avere le risorse o le competenze per gestire la raccolta di donazioni, ad esempio tramite la funzione di round-up, pur desiderando offrire questa opportunità.</w:t>
      </w:r>
    </w:p>
    <w:p w14:paraId="662AA733" w14:textId="77777777" w:rsidR="00C40CFF" w:rsidRPr="008F4B8F" w:rsidRDefault="00000000">
      <w:pPr>
        <w:spacing w:after="0"/>
        <w:jc w:val="both"/>
        <w:rPr>
          <w:rFonts w:ascii="Inter" w:eastAsia="Inter" w:hAnsi="Inter" w:cs="Inter"/>
        </w:rPr>
      </w:pPr>
      <w:r>
        <w:rPr>
          <w:rFonts w:ascii="Inter" w:eastAsia="Inter" w:hAnsi="Inter" w:cs="Inter"/>
          <w:color w:val="000000"/>
        </w:rPr>
        <w:t xml:space="preserve">In questo scenario, la soluzione Giving di </w:t>
      </w:r>
      <w:proofErr w:type="spellStart"/>
      <w:r>
        <w:rPr>
          <w:rFonts w:ascii="Inter" w:eastAsia="Inter" w:hAnsi="Inter" w:cs="Inter"/>
          <w:color w:val="000000"/>
        </w:rPr>
        <w:t>Adyen</w:t>
      </w:r>
      <w:proofErr w:type="spellEnd"/>
      <w:r>
        <w:rPr>
          <w:rFonts w:ascii="Inter" w:eastAsia="Inter" w:hAnsi="Inter" w:cs="Inter"/>
          <w:color w:val="000000"/>
        </w:rPr>
        <w:t xml:space="preserve"> si conferma uno strumento strategico per facilitare la generosità di consumatori e aziende, permettendo ai clienti di donare direttamente al checkout, sia online che in negozio, tramite un importo fisso o un arrotondamento del totale degli acquisti. </w:t>
      </w:r>
      <w:r w:rsidRPr="008F4B8F">
        <w:rPr>
          <w:rFonts w:ascii="Inter" w:eastAsia="Inter" w:hAnsi="Inter" w:cs="Inter"/>
          <w:color w:val="000000"/>
        </w:rPr>
        <w:t>Proprio quest'anno, Giving ha superato i 25 milioni di dollari in donazioni a livello globale, re</w:t>
      </w:r>
      <w:r w:rsidRPr="008F4B8F">
        <w:rPr>
          <w:rFonts w:ascii="Inter" w:eastAsia="Inter" w:hAnsi="Inter" w:cs="Inter"/>
        </w:rPr>
        <w:t xml:space="preserve">gistrando anche il miglior risultato di sempre in termini di volumi, </w:t>
      </w:r>
      <w:r w:rsidRPr="008F4B8F">
        <w:rPr>
          <w:rFonts w:ascii="Inter" w:eastAsia="Inter" w:hAnsi="Inter" w:cs="Inter"/>
          <w:color w:val="000000"/>
        </w:rPr>
        <w:t xml:space="preserve">con </w:t>
      </w:r>
      <w:proofErr w:type="gramStart"/>
      <w:r w:rsidRPr="008F4B8F">
        <w:rPr>
          <w:rFonts w:ascii="Inter" w:eastAsia="Inter" w:hAnsi="Inter" w:cs="Inter"/>
          <w:color w:val="000000"/>
        </w:rPr>
        <w:t>brand</w:t>
      </w:r>
      <w:proofErr w:type="gramEnd"/>
      <w:r w:rsidRPr="008F4B8F">
        <w:rPr>
          <w:rFonts w:ascii="Inter" w:eastAsia="Inter" w:hAnsi="Inter" w:cs="Inter"/>
          <w:color w:val="000000"/>
        </w:rPr>
        <w:t xml:space="preserve"> di tutto il mondo che utilizzano questa soluzione per coinvolgere i propri clienti nel sostegno a cause benefiche. </w:t>
      </w:r>
      <w:r w:rsidRPr="008F4B8F">
        <w:rPr>
          <w:rFonts w:ascii="Inter" w:eastAsia="Inter" w:hAnsi="Inter" w:cs="Inter"/>
        </w:rPr>
        <w:t>Dal lancio nel 2020, sono state effettuate ben 35 milioni di micro-transazioni tramite la piattaforma.</w:t>
      </w:r>
    </w:p>
    <w:p w14:paraId="0D5D2DA4" w14:textId="77777777" w:rsidR="00C40CFF" w:rsidRDefault="00C40CFF">
      <w:pPr>
        <w:spacing w:after="0"/>
        <w:jc w:val="both"/>
        <w:rPr>
          <w:rFonts w:ascii="Inter" w:eastAsia="Inter" w:hAnsi="Inter" w:cs="Inter"/>
          <w:color w:val="000000"/>
        </w:rPr>
      </w:pPr>
    </w:p>
    <w:p w14:paraId="4AACA573" w14:textId="77777777" w:rsidR="00C40CFF" w:rsidRDefault="00000000">
      <w:pPr>
        <w:spacing w:after="0"/>
        <w:jc w:val="both"/>
        <w:rPr>
          <w:rFonts w:ascii="Inter" w:eastAsia="Inter" w:hAnsi="Inter" w:cs="Inter"/>
          <w:color w:val="000000"/>
          <w:sz w:val="22"/>
          <w:szCs w:val="22"/>
        </w:rPr>
      </w:pPr>
      <w:r>
        <w:rPr>
          <w:rFonts w:ascii="Inter" w:eastAsia="Inter" w:hAnsi="Inter" w:cs="Inter"/>
          <w:color w:val="000000"/>
        </w:rPr>
        <w:t xml:space="preserve">“I dati della ricerca confermano che gli italiani sono pronti a sostenere il terzo settore, soprattutto quando la tecnologia rende il gesto semplice e trasparente”, afferma Gabriele Bellezze, Country Manager </w:t>
      </w:r>
      <w:proofErr w:type="spellStart"/>
      <w:r>
        <w:rPr>
          <w:rFonts w:ascii="Inter" w:eastAsia="Inter" w:hAnsi="Inter" w:cs="Inter"/>
          <w:color w:val="000000"/>
        </w:rPr>
        <w:t>Adyen</w:t>
      </w:r>
      <w:proofErr w:type="spellEnd"/>
      <w:r>
        <w:rPr>
          <w:rFonts w:ascii="Inter" w:eastAsia="Inter" w:hAnsi="Inter" w:cs="Inter"/>
          <w:color w:val="000000"/>
        </w:rPr>
        <w:t xml:space="preserve"> Italia. “Grazie a soluzioni innovative integrate nei pagamenti, come Giving, il momento del checkout diventa un’opportunità concreta per fare la differenza e sostenere le cause che stanno più a cuore alle persone. I risultati raggiunti in questi anni dimostrano che, quando donare è facile e parte dell’esperienza di acquisto, la generosità cresce e si diffonde”.</w:t>
      </w:r>
    </w:p>
    <w:p w14:paraId="5C540172" w14:textId="77777777" w:rsidR="00C40CFF" w:rsidRDefault="00C40CFF">
      <w:pPr>
        <w:spacing w:after="0"/>
        <w:jc w:val="both"/>
        <w:rPr>
          <w:rFonts w:ascii="Inter" w:eastAsia="Inter" w:hAnsi="Inter" w:cs="Inter"/>
          <w:color w:val="000000"/>
        </w:rPr>
      </w:pPr>
    </w:p>
    <w:p w14:paraId="1DC855FF" w14:textId="77777777" w:rsidR="00C40CFF" w:rsidRPr="008F4B8F" w:rsidRDefault="00000000">
      <w:pPr>
        <w:spacing w:after="0"/>
        <w:jc w:val="both"/>
        <w:rPr>
          <w:rFonts w:ascii="Inter" w:eastAsia="Inter" w:hAnsi="Inter" w:cs="Inter"/>
          <w:sz w:val="22"/>
          <w:szCs w:val="22"/>
        </w:rPr>
      </w:pPr>
      <w:r w:rsidRPr="008F4B8F">
        <w:rPr>
          <w:rFonts w:ascii="Inter" w:eastAsia="Inter" w:hAnsi="Inter" w:cs="Inter"/>
        </w:rPr>
        <w:t xml:space="preserve">Per celebrare il traguardo raggiunto, nel 2025, </w:t>
      </w:r>
      <w:proofErr w:type="spellStart"/>
      <w:r w:rsidRPr="008F4B8F">
        <w:rPr>
          <w:rFonts w:ascii="Inter" w:eastAsia="Inter" w:hAnsi="Inter" w:cs="Inter"/>
        </w:rPr>
        <w:t>Adyen</w:t>
      </w:r>
      <w:proofErr w:type="spellEnd"/>
      <w:r w:rsidRPr="008F4B8F">
        <w:rPr>
          <w:rFonts w:ascii="Inter" w:eastAsia="Inter" w:hAnsi="Inter" w:cs="Inter"/>
        </w:rPr>
        <w:t xml:space="preserve"> ha deciso di raddoppiare l’impatto delle donazioni effettuate tramite Giving a livello globale, impegnandosi a eguagliare ogni contributo versato dai consumatori al checkout. Questa iniziativa si inserisce in un percorso più ampio, che vede l’azienda puntare a superare i 100 milioni di euro (≈108 milioni di dollari) di donazioni processate entro il 2030.</w:t>
      </w:r>
    </w:p>
    <w:p w14:paraId="41A52EB2" w14:textId="77777777" w:rsidR="00C40CFF" w:rsidRDefault="00C40CFF">
      <w:pPr>
        <w:spacing w:after="0"/>
        <w:jc w:val="both"/>
        <w:rPr>
          <w:rFonts w:ascii="Inter" w:eastAsia="Inter" w:hAnsi="Inter" w:cs="Inter"/>
          <w:color w:val="000000"/>
        </w:rPr>
      </w:pPr>
    </w:p>
    <w:p w14:paraId="06931203" w14:textId="77777777" w:rsidR="008F4B8F" w:rsidRDefault="008F4B8F">
      <w:pPr>
        <w:spacing w:after="0"/>
        <w:jc w:val="both"/>
        <w:rPr>
          <w:rFonts w:ascii="Inter" w:eastAsia="Inter" w:hAnsi="Inter" w:cs="Inter"/>
          <w:color w:val="000000"/>
        </w:rPr>
      </w:pPr>
    </w:p>
    <w:p w14:paraId="78FD3B3A" w14:textId="77777777" w:rsidR="00C40CFF" w:rsidRDefault="00000000">
      <w:pPr>
        <w:spacing w:before="220" w:after="220" w:line="252" w:lineRule="auto"/>
        <w:jc w:val="both"/>
        <w:rPr>
          <w:rFonts w:ascii="Inter" w:eastAsia="Inter" w:hAnsi="Inter" w:cs="Inter"/>
          <w:color w:val="000000"/>
          <w:sz w:val="21"/>
          <w:szCs w:val="21"/>
        </w:rPr>
      </w:pPr>
      <w:r>
        <w:rPr>
          <w:rFonts w:ascii="Inter" w:eastAsia="Inter" w:hAnsi="Inter" w:cs="Inter"/>
          <w:b/>
          <w:bCs/>
          <w:color w:val="000000"/>
          <w:sz w:val="21"/>
          <w:szCs w:val="21"/>
        </w:rPr>
        <w:t xml:space="preserve">Note </w:t>
      </w:r>
    </w:p>
    <w:p w14:paraId="25D614BC" w14:textId="77777777" w:rsidR="00C40CFF" w:rsidRDefault="00000000">
      <w:pPr>
        <w:spacing w:before="220" w:after="220" w:line="252" w:lineRule="auto"/>
        <w:jc w:val="both"/>
        <w:rPr>
          <w:rFonts w:ascii="Inter" w:eastAsia="Inter" w:hAnsi="Inter" w:cs="Inter"/>
          <w:color w:val="000000"/>
          <w:sz w:val="21"/>
          <w:szCs w:val="21"/>
        </w:rPr>
      </w:pPr>
      <w:r>
        <w:rPr>
          <w:rFonts w:ascii="Inter" w:eastAsia="Inter" w:hAnsi="Inter" w:cs="Inter"/>
          <w:b/>
          <w:bCs/>
          <w:color w:val="000000"/>
          <w:sz w:val="21"/>
          <w:szCs w:val="21"/>
        </w:rPr>
        <w:t>Metodologia della ricerca</w:t>
      </w:r>
    </w:p>
    <w:p w14:paraId="20E64318" w14:textId="77777777" w:rsidR="00C40CFF" w:rsidRDefault="00000000">
      <w:pPr>
        <w:spacing w:before="220" w:after="220" w:line="252" w:lineRule="auto"/>
        <w:jc w:val="both"/>
        <w:rPr>
          <w:rFonts w:ascii="Inter" w:eastAsia="Inter" w:hAnsi="Inter" w:cs="Inter"/>
          <w:color w:val="000000"/>
          <w:sz w:val="21"/>
          <w:szCs w:val="21"/>
        </w:rPr>
      </w:pPr>
      <w:r>
        <w:rPr>
          <w:rFonts w:ascii="Inter" w:eastAsia="Inter" w:hAnsi="Inter" w:cs="Inter"/>
          <w:b/>
          <w:bCs/>
          <w:color w:val="000000"/>
          <w:sz w:val="21"/>
          <w:szCs w:val="21"/>
        </w:rPr>
        <w:t xml:space="preserve">L’indagine sui consumatori </w:t>
      </w:r>
    </w:p>
    <w:p w14:paraId="3CA8BE8B" w14:textId="77777777" w:rsidR="00C40CFF" w:rsidRDefault="00000000">
      <w:pPr>
        <w:spacing w:before="220" w:after="220" w:line="252" w:lineRule="auto"/>
        <w:jc w:val="both"/>
        <w:rPr>
          <w:rFonts w:ascii="Inter" w:eastAsia="Inter" w:hAnsi="Inter" w:cs="Inter"/>
          <w:color w:val="000000"/>
          <w:sz w:val="21"/>
          <w:szCs w:val="21"/>
        </w:rPr>
      </w:pPr>
      <w:r>
        <w:rPr>
          <w:rFonts w:ascii="Inter" w:eastAsia="Inter" w:hAnsi="Inter" w:cs="Inter"/>
          <w:color w:val="000000"/>
          <w:sz w:val="21"/>
          <w:szCs w:val="21"/>
        </w:rPr>
        <w:lastRenderedPageBreak/>
        <w:t xml:space="preserve">La ricerca è stata condotta da </w:t>
      </w:r>
      <w:proofErr w:type="spellStart"/>
      <w:r>
        <w:rPr>
          <w:rFonts w:ascii="Inter" w:eastAsia="Inter" w:hAnsi="Inter" w:cs="Inter"/>
          <w:color w:val="000000"/>
          <w:sz w:val="21"/>
          <w:szCs w:val="21"/>
        </w:rPr>
        <w:t>Censuswide</w:t>
      </w:r>
      <w:proofErr w:type="spellEnd"/>
      <w:r>
        <w:rPr>
          <w:rFonts w:ascii="Inter" w:eastAsia="Inter" w:hAnsi="Inter" w:cs="Inter"/>
          <w:color w:val="000000"/>
          <w:sz w:val="21"/>
          <w:szCs w:val="21"/>
        </w:rPr>
        <w:t xml:space="preserve"> su un campione di 41.089 consumatori rappresentativi a livello nazionale in Hong Kong, India, Malesia, Singapore, Belgio, Repubblica Ceca, Danimarca, Irlanda, Norvegia, Polonia, Portogallo, Emirati Arabi Uniti, Estonia, Lettonia, Lituania, Australia, Giappone, Francia, Germania, Italia, Paesi Bassi, Spagna, Svezia, Regno Unito, Brasile, Messico, Canada e USA (di età superiore ai 16 anni). I dati sono stati raccolti tra il 26.02.2025 e il 12.03.2025.</w:t>
      </w:r>
    </w:p>
    <w:p w14:paraId="30A2B7A2" w14:textId="77777777" w:rsidR="00C40CFF" w:rsidRDefault="00000000">
      <w:pPr>
        <w:spacing w:before="220" w:after="220" w:line="252" w:lineRule="auto"/>
        <w:jc w:val="both"/>
        <w:rPr>
          <w:rFonts w:ascii="Inter" w:eastAsia="Inter" w:hAnsi="Inter" w:cs="Inter"/>
          <w:color w:val="000000"/>
          <w:sz w:val="21"/>
          <w:szCs w:val="21"/>
        </w:rPr>
      </w:pPr>
      <w:r>
        <w:rPr>
          <w:rFonts w:ascii="Inter" w:eastAsia="Inter" w:hAnsi="Inter" w:cs="Inter"/>
          <w:b/>
          <w:bCs/>
          <w:color w:val="000000"/>
          <w:sz w:val="21"/>
          <w:szCs w:val="21"/>
        </w:rPr>
        <w:t>L’indagine sugli esercenti</w:t>
      </w:r>
    </w:p>
    <w:p w14:paraId="6D6B9339" w14:textId="77777777" w:rsidR="00C40CFF" w:rsidRDefault="00000000">
      <w:pPr>
        <w:spacing w:before="220" w:after="220" w:line="252" w:lineRule="auto"/>
        <w:jc w:val="both"/>
        <w:rPr>
          <w:rFonts w:ascii="Inter" w:eastAsia="Inter" w:hAnsi="Inter" w:cs="Inter"/>
          <w:color w:val="000000"/>
          <w:sz w:val="21"/>
          <w:szCs w:val="21"/>
        </w:rPr>
      </w:pPr>
      <w:r>
        <w:rPr>
          <w:rFonts w:ascii="Inter" w:eastAsia="Inter" w:hAnsi="Inter" w:cs="Inter"/>
          <w:color w:val="000000"/>
          <w:sz w:val="21"/>
          <w:szCs w:val="21"/>
        </w:rPr>
        <w:t xml:space="preserve">La ricerca è stata condotta da </w:t>
      </w:r>
      <w:proofErr w:type="spellStart"/>
      <w:r>
        <w:rPr>
          <w:rFonts w:ascii="Inter" w:eastAsia="Inter" w:hAnsi="Inter" w:cs="Inter"/>
          <w:color w:val="000000"/>
          <w:sz w:val="21"/>
          <w:szCs w:val="21"/>
        </w:rPr>
        <w:t>Censuswide</w:t>
      </w:r>
      <w:proofErr w:type="spellEnd"/>
      <w:r>
        <w:rPr>
          <w:rFonts w:ascii="Inter" w:eastAsia="Inter" w:hAnsi="Inter" w:cs="Inter"/>
          <w:color w:val="000000"/>
          <w:sz w:val="21"/>
          <w:szCs w:val="21"/>
        </w:rPr>
        <w:t xml:space="preserve"> su un campione di 14.003 retailer (di età superiore ai 18 anni) in Regno Unito, Stati Uniti, Canada, Australia, Cina, Hong Kong, Giappone, Malesia, Singapore, Belgio, Repubblica Ceca, Danimarca, Francia, Germania, Irlanda, Italia, Paesi Bassi, Norvegia, Polonia, Portogallo, Spagna, Svezia, Emirati Arabi Uniti, Estonia, Lettonia, Lituania, Brasile e Messico. I dati sono stati raccolti tra il 10.02.2025 e il 12.03.2025.</w:t>
      </w:r>
    </w:p>
    <w:p w14:paraId="52FBD596" w14:textId="77777777" w:rsidR="00C40CFF" w:rsidRDefault="00000000">
      <w:pPr>
        <w:spacing w:before="220" w:after="220" w:line="252" w:lineRule="auto"/>
        <w:jc w:val="both"/>
        <w:rPr>
          <w:rFonts w:ascii="Inter" w:eastAsia="Inter" w:hAnsi="Inter" w:cs="Inter"/>
          <w:color w:val="000000"/>
          <w:sz w:val="18"/>
          <w:szCs w:val="18"/>
        </w:rPr>
      </w:pPr>
      <w:proofErr w:type="spellStart"/>
      <w:r>
        <w:rPr>
          <w:rFonts w:ascii="Inter" w:eastAsia="Inter" w:hAnsi="Inter" w:cs="Inter"/>
          <w:color w:val="000000"/>
          <w:sz w:val="21"/>
          <w:szCs w:val="21"/>
        </w:rPr>
        <w:t>Censuswide</w:t>
      </w:r>
      <w:proofErr w:type="spellEnd"/>
      <w:r>
        <w:rPr>
          <w:rFonts w:ascii="Inter" w:eastAsia="Inter" w:hAnsi="Inter" w:cs="Inter"/>
          <w:color w:val="000000"/>
          <w:sz w:val="21"/>
          <w:szCs w:val="21"/>
        </w:rPr>
        <w:t xml:space="preserve"> aderisce e impiega membri della Market </w:t>
      </w:r>
      <w:proofErr w:type="spellStart"/>
      <w:r>
        <w:rPr>
          <w:rFonts w:ascii="Inter" w:eastAsia="Inter" w:hAnsi="Inter" w:cs="Inter"/>
          <w:color w:val="000000"/>
          <w:sz w:val="21"/>
          <w:szCs w:val="21"/>
        </w:rPr>
        <w:t>Research</w:t>
      </w:r>
      <w:proofErr w:type="spellEnd"/>
      <w:r>
        <w:rPr>
          <w:rFonts w:ascii="Inter" w:eastAsia="Inter" w:hAnsi="Inter" w:cs="Inter"/>
          <w:color w:val="000000"/>
          <w:sz w:val="21"/>
          <w:szCs w:val="21"/>
        </w:rPr>
        <w:t xml:space="preserve"> Society e segue il codice di condotta MRS e i principi ESOMAR. </w:t>
      </w:r>
      <w:proofErr w:type="spellStart"/>
      <w:r>
        <w:rPr>
          <w:rFonts w:ascii="Inter" w:eastAsia="Inter" w:hAnsi="Inter" w:cs="Inter"/>
          <w:color w:val="000000"/>
          <w:sz w:val="21"/>
          <w:szCs w:val="21"/>
        </w:rPr>
        <w:t>Censuswide</w:t>
      </w:r>
      <w:proofErr w:type="spellEnd"/>
      <w:r>
        <w:rPr>
          <w:rFonts w:ascii="Inter" w:eastAsia="Inter" w:hAnsi="Inter" w:cs="Inter"/>
          <w:color w:val="000000"/>
          <w:sz w:val="21"/>
          <w:szCs w:val="21"/>
        </w:rPr>
        <w:t xml:space="preserve"> è anche membro del British Polling </w:t>
      </w:r>
      <w:proofErr w:type="spellStart"/>
      <w:r>
        <w:rPr>
          <w:rFonts w:ascii="Inter" w:eastAsia="Inter" w:hAnsi="Inter" w:cs="Inter"/>
          <w:color w:val="000000"/>
          <w:sz w:val="21"/>
          <w:szCs w:val="21"/>
        </w:rPr>
        <w:t>Council</w:t>
      </w:r>
      <w:proofErr w:type="spellEnd"/>
      <w:r>
        <w:rPr>
          <w:rFonts w:ascii="Inter" w:eastAsia="Inter" w:hAnsi="Inter" w:cs="Inter"/>
          <w:color w:val="000000"/>
          <w:sz w:val="21"/>
          <w:szCs w:val="21"/>
        </w:rPr>
        <w:t>.</w:t>
      </w:r>
    </w:p>
    <w:p w14:paraId="223DBA47" w14:textId="77777777" w:rsidR="00C40CFF" w:rsidRDefault="00C40CFF">
      <w:pPr>
        <w:spacing w:before="220" w:after="220" w:line="252" w:lineRule="auto"/>
        <w:jc w:val="both"/>
        <w:rPr>
          <w:rFonts w:ascii="Inter" w:eastAsia="Inter" w:hAnsi="Inter" w:cs="Inter"/>
          <w:color w:val="000000"/>
          <w:sz w:val="22"/>
          <w:szCs w:val="22"/>
        </w:rPr>
      </w:pPr>
    </w:p>
    <w:p w14:paraId="35200704" w14:textId="77777777" w:rsidR="00C40CFF"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r>
        <w:rPr>
          <w:rFonts w:ascii="Inter" w:eastAsia="Inter" w:hAnsi="Inter" w:cs="Inter"/>
          <w:b/>
          <w:bCs/>
          <w:i/>
          <w:iCs/>
          <w:color w:val="00112C"/>
          <w:sz w:val="20"/>
          <w:szCs w:val="20"/>
        </w:rPr>
        <w:t xml:space="preserve">A proposito di </w:t>
      </w:r>
      <w:proofErr w:type="spellStart"/>
      <w:r>
        <w:rPr>
          <w:rFonts w:ascii="Inter" w:eastAsia="Inter" w:hAnsi="Inter" w:cs="Inter"/>
          <w:b/>
          <w:bCs/>
          <w:i/>
          <w:iCs/>
          <w:color w:val="00112C"/>
          <w:sz w:val="20"/>
          <w:szCs w:val="20"/>
        </w:rPr>
        <w:t>Adyen</w:t>
      </w:r>
      <w:proofErr w:type="spellEnd"/>
    </w:p>
    <w:p w14:paraId="28B9FA66" w14:textId="77777777" w:rsidR="00C40CFF"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(AMS: ADYEN) è la piattaforma tecnologico finanziaria scelta da molte delle aziende leader a livello mondiale che fornisce una moderna infrastruttura di pagamento end-to-end, approfondimenti data-</w:t>
      </w:r>
      <w:proofErr w:type="spellStart"/>
      <w:r>
        <w:rPr>
          <w:rFonts w:ascii="Inter" w:eastAsia="Inter" w:hAnsi="Inter" w:cs="Inter"/>
          <w:color w:val="00112C"/>
          <w:sz w:val="20"/>
          <w:szCs w:val="20"/>
        </w:rPr>
        <w:t>driven</w:t>
      </w:r>
      <w:proofErr w:type="spellEnd"/>
      <w:r>
        <w:rPr>
          <w:rFonts w:ascii="Inter" w:eastAsia="Inter" w:hAnsi="Inter" w:cs="Inter"/>
          <w:color w:val="00112C"/>
          <w:sz w:val="20"/>
          <w:szCs w:val="20"/>
        </w:rPr>
        <w:t xml:space="preserve"> e prodotti finanziari in un'unica soluzione integrata per aiutare le aziende a raggiungere le loro ambizioni, più velocemente. Con uffici in tutto il mondo, </w:t>
      </w: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collabora con marchi del calibro di Meta, Uber, H&amp;M, eBay e Microsoft.</w:t>
      </w:r>
    </w:p>
    <w:p w14:paraId="01C7DBA6" w14:textId="77777777" w:rsidR="00C40CFF" w:rsidRDefault="00C40CFF">
      <w:pPr>
        <w:pBdr>
          <w:top w:val="nil"/>
          <w:left w:val="nil"/>
          <w:bottom w:val="nil"/>
          <w:right w:val="nil"/>
          <w:between w:val="nil"/>
        </w:pBdr>
        <w:shd w:val="clear" w:color="auto" w:fill="FFFFFF"/>
        <w:spacing w:line="240" w:lineRule="auto"/>
        <w:jc w:val="both"/>
        <w:rPr>
          <w:rFonts w:ascii="Inter" w:eastAsia="Inter" w:hAnsi="Inter" w:cs="Inter"/>
          <w:color w:val="000000"/>
        </w:rPr>
      </w:pPr>
    </w:p>
    <w:p w14:paraId="6B421272" w14:textId="77777777" w:rsidR="00C40CFF" w:rsidRDefault="00000000">
      <w:pPr>
        <w:spacing w:line="256" w:lineRule="auto"/>
        <w:jc w:val="both"/>
        <w:rPr>
          <w:rFonts w:ascii="Inter" w:eastAsia="Inter" w:hAnsi="Inter" w:cs="Inter"/>
          <w:color w:val="00112C"/>
          <w:sz w:val="20"/>
          <w:szCs w:val="20"/>
        </w:rPr>
      </w:pPr>
      <w:r>
        <w:rPr>
          <w:rFonts w:ascii="Inter" w:eastAsia="Inter" w:hAnsi="Inter" w:cs="Inter"/>
          <w:b/>
          <w:bCs/>
          <w:color w:val="00112C"/>
          <w:sz w:val="20"/>
          <w:szCs w:val="20"/>
        </w:rPr>
        <w:t xml:space="preserve">Contatti </w:t>
      </w:r>
      <w:proofErr w:type="spellStart"/>
      <w:r>
        <w:rPr>
          <w:rFonts w:ascii="Inter" w:eastAsia="Inter" w:hAnsi="Inter" w:cs="Inter"/>
          <w:b/>
          <w:bCs/>
          <w:color w:val="00112C"/>
          <w:sz w:val="20"/>
          <w:szCs w:val="20"/>
        </w:rPr>
        <w:t>Adyen</w:t>
      </w:r>
      <w:proofErr w:type="spellEnd"/>
      <w:r>
        <w:rPr>
          <w:rFonts w:ascii="Inter" w:eastAsia="Inter" w:hAnsi="Inter" w:cs="Inter"/>
          <w:color w:val="00112C"/>
          <w:sz w:val="20"/>
          <w:szCs w:val="20"/>
        </w:rPr>
        <w:t xml:space="preserve"> </w:t>
      </w:r>
    </w:p>
    <w:p w14:paraId="60CA8086" w14:textId="77777777" w:rsidR="00C40CFF" w:rsidRDefault="00000000">
      <w:pPr>
        <w:spacing w:line="256" w:lineRule="auto"/>
        <w:jc w:val="both"/>
        <w:rPr>
          <w:rFonts w:ascii="Inter" w:eastAsia="Inter" w:hAnsi="Inter" w:cs="Inter"/>
          <w:color w:val="00112C"/>
          <w:sz w:val="20"/>
          <w:szCs w:val="20"/>
        </w:rPr>
      </w:pPr>
      <w:r>
        <w:rPr>
          <w:rFonts w:ascii="Inter" w:eastAsia="Inter" w:hAnsi="Inter" w:cs="Inter"/>
          <w:color w:val="00112C"/>
          <w:sz w:val="20"/>
          <w:szCs w:val="20"/>
        </w:rPr>
        <w:t xml:space="preserve">Ufficio stampa TEAM LEWIS </w:t>
      </w:r>
    </w:p>
    <w:p w14:paraId="53B16EAB" w14:textId="77777777" w:rsidR="00C40CFF" w:rsidRDefault="00000000">
      <w:pPr>
        <w:spacing w:line="256" w:lineRule="auto"/>
        <w:jc w:val="both"/>
        <w:rPr>
          <w:rFonts w:ascii="Inter" w:eastAsia="Inter" w:hAnsi="Inter" w:cs="Inter"/>
          <w:color w:val="00112C"/>
          <w:sz w:val="20"/>
          <w:szCs w:val="20"/>
        </w:rPr>
      </w:pPr>
      <w:r>
        <w:rPr>
          <w:rFonts w:ascii="Inter" w:eastAsia="Inter" w:hAnsi="Inter" w:cs="Inter"/>
          <w:color w:val="00112C"/>
          <w:sz w:val="20"/>
          <w:szCs w:val="20"/>
        </w:rPr>
        <w:t>Alessandro Zambetti, Deborah Amato</w:t>
      </w:r>
    </w:p>
    <w:p w14:paraId="58EF75BA" w14:textId="77777777" w:rsidR="00C40CFF" w:rsidRDefault="00000000">
      <w:pPr>
        <w:spacing w:after="100" w:line="256" w:lineRule="auto"/>
        <w:jc w:val="both"/>
        <w:rPr>
          <w:rFonts w:ascii="Inter" w:eastAsia="Inter" w:hAnsi="Inter" w:cs="Inter"/>
          <w:color w:val="00112C"/>
          <w:sz w:val="20"/>
          <w:szCs w:val="20"/>
        </w:rPr>
      </w:pPr>
      <w:hyperlink r:id="rId8">
        <w:r>
          <w:rPr>
            <w:rFonts w:ascii="Inter" w:eastAsia="Inter" w:hAnsi="Inter" w:cs="Inter"/>
            <w:color w:val="467886"/>
            <w:sz w:val="20"/>
            <w:szCs w:val="20"/>
            <w:u w:val="single"/>
          </w:rPr>
          <w:t>AdyenItaly@teamlewis.com</w:t>
        </w:r>
      </w:hyperlink>
      <w:r>
        <w:rPr>
          <w:rFonts w:ascii="Inter" w:eastAsia="Inter" w:hAnsi="Inter" w:cs="Inter"/>
          <w:color w:val="00112C"/>
          <w:sz w:val="20"/>
          <w:szCs w:val="20"/>
        </w:rPr>
        <w:t xml:space="preserve"> Tel. 02 36531375 Cel. +39 3389241387</w:t>
      </w:r>
    </w:p>
    <w:p w14:paraId="75845814" w14:textId="5F9EE9DC" w:rsidR="00C40CFF" w:rsidRDefault="00C40CFF">
      <w:pPr>
        <w:jc w:val="both"/>
        <w:rPr>
          <w:rFonts w:ascii="Inter" w:eastAsia="Inter" w:hAnsi="Inter" w:cs="Inter"/>
        </w:rPr>
      </w:pPr>
    </w:p>
    <w:sectPr w:rsidR="00C40CFF">
      <w:footerReference w:type="even" r:id="rId9"/>
      <w:footerReference w:type="default" r:id="rId10"/>
      <w:footerReference w:type="first" r:id="rId11"/>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BBFF9" w14:textId="77777777" w:rsidR="00B669FE" w:rsidRDefault="00B669FE">
      <w:pPr>
        <w:spacing w:after="0" w:line="240" w:lineRule="auto"/>
      </w:pPr>
      <w:r>
        <w:separator/>
      </w:r>
    </w:p>
  </w:endnote>
  <w:endnote w:type="continuationSeparator" w:id="0">
    <w:p w14:paraId="45B6799B" w14:textId="77777777" w:rsidR="00B669FE" w:rsidRDefault="00B66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9610CA7E-44D2-7B41-8CA8-A2812533DCF8}"/>
  </w:font>
  <w:font w:name="Courier New">
    <w:panose1 w:val="02070309020205020404"/>
    <w:charset w:val="00"/>
    <w:family w:val="modern"/>
    <w:pitch w:val="fixed"/>
    <w:sig w:usb0="E0002EFF" w:usb1="C0007843" w:usb2="00000009" w:usb3="00000000" w:csb0="000001FF" w:csb1="00000000"/>
    <w:embedRegular r:id="rId2" w:fontKey="{DC0591AB-C54E-0144-9F84-68BB5F49D7C0}"/>
  </w:font>
  <w:font w:name="Aptos">
    <w:panose1 w:val="020B0004020202020204"/>
    <w:charset w:val="00"/>
    <w:family w:val="swiss"/>
    <w:pitch w:val="variable"/>
    <w:sig w:usb0="20000287" w:usb1="00000003" w:usb2="00000000" w:usb3="00000000" w:csb0="0000019F" w:csb1="00000000"/>
    <w:embedRegular r:id="rId3" w:fontKey="{4D6B0A96-5264-B945-AC6B-E97FD2B5E8CC}"/>
    <w:embedItalic r:id="rId4" w:fontKey="{C2CB1EB9-04C3-1547-852D-D651D69F2ECE}"/>
  </w:font>
  <w:font w:name="Play">
    <w:panose1 w:val="020B0604020202020204"/>
    <w:charset w:val="00"/>
    <w:family w:val="auto"/>
    <w:pitch w:val="default"/>
    <w:embedRegular r:id="rId5" w:fontKey="{682BBD8D-D292-2C4F-8D64-ECE8F1F0579D}"/>
  </w:font>
  <w:font w:name="Times New Roman">
    <w:panose1 w:val="02020603050405020304"/>
    <w:charset w:val="00"/>
    <w:family w:val="roman"/>
    <w:pitch w:val="variable"/>
    <w:sig w:usb0="E0002EFF" w:usb1="C000785B" w:usb2="00000009" w:usb3="00000000" w:csb0="000001FF" w:csb1="00000000"/>
    <w:embedRegular r:id="rId6" w:fontKey="{FEFC4A30-4433-3D46-BF10-1C4F59CB35ED}"/>
  </w:font>
  <w:font w:name="Inter">
    <w:altName w:val="Calibri"/>
    <w:panose1 w:val="020B0604020202020204"/>
    <w:charset w:val="00"/>
    <w:family w:val="auto"/>
    <w:pitch w:val="default"/>
    <w:embedRegular r:id="rId7" w:fontKey="{E7FD091D-656F-F64A-A8D1-7EC1425F0F7E}"/>
    <w:embedBold r:id="rId8" w:fontKey="{2C9DF8C2-BDC1-1B4C-9F44-0378AAEB8DC1}"/>
    <w:embedBoldItalic r:id="rId9" w:fontKey="{3DEE62FD-DA1C-E448-9FE6-308860DC6773}"/>
  </w:font>
  <w:font w:name="Calibri">
    <w:panose1 w:val="020F0502020204030204"/>
    <w:charset w:val="00"/>
    <w:family w:val="swiss"/>
    <w:pitch w:val="variable"/>
    <w:sig w:usb0="E0002AFF" w:usb1="C000247B" w:usb2="00000009" w:usb3="00000000" w:csb0="000001FF" w:csb1="00000000"/>
    <w:embedRegular r:id="rId10" w:fontKey="{81192EB9-F575-1949-A082-82418285F6D3}"/>
  </w:font>
  <w:font w:name="Cambria">
    <w:panose1 w:val="02040503050406030204"/>
    <w:charset w:val="00"/>
    <w:family w:val="roman"/>
    <w:pitch w:val="variable"/>
    <w:sig w:usb0="E00002FF" w:usb1="400004FF" w:usb2="00000000" w:usb3="00000000" w:csb0="0000019F" w:csb1="00000000"/>
    <w:embedRegular r:id="rId11" w:fontKey="{BC26F616-A859-514F-A1DC-AF092F246D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85E5" w14:textId="77777777" w:rsidR="00C40CFF" w:rsidRDefault="00C40CF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4574" w14:textId="77777777" w:rsidR="00C40CFF" w:rsidRDefault="00C40CF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D932" w14:textId="77777777" w:rsidR="00C40CFF" w:rsidRDefault="00C40CF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9DB9D" w14:textId="77777777" w:rsidR="00B669FE" w:rsidRDefault="00B669FE">
      <w:pPr>
        <w:spacing w:after="0" w:line="240" w:lineRule="auto"/>
      </w:pPr>
      <w:r>
        <w:separator/>
      </w:r>
    </w:p>
  </w:footnote>
  <w:footnote w:type="continuationSeparator" w:id="0">
    <w:p w14:paraId="066CBBAF" w14:textId="77777777" w:rsidR="00B669FE" w:rsidRDefault="00B669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B611F2"/>
    <w:multiLevelType w:val="multilevel"/>
    <w:tmpl w:val="55CE51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D15ECE"/>
    <w:multiLevelType w:val="multilevel"/>
    <w:tmpl w:val="78D4C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4654598">
    <w:abstractNumId w:val="0"/>
  </w:num>
  <w:num w:numId="2" w16cid:durableId="9266203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CFF"/>
    <w:rsid w:val="000D3B55"/>
    <w:rsid w:val="008F4B8F"/>
    <w:rsid w:val="00B669FE"/>
    <w:rsid w:val="00C40C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461E973"/>
  <w15:docId w15:val="{4EA54956-896D-4643-91D5-EDA30026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yenItaly@teamlewi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dyen.com/it_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0bbf2ee-4281-4141-b54d-3de5dd07adf1}" enabled="1" method="Standard" siteId="{633cbf82-b979-478d-8f42-ffc892e59dc3}"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3</Pages>
  <Words>1007</Words>
  <Characters>5742</Characters>
  <Application>Microsoft Office Word</Application>
  <DocSecurity>0</DocSecurity>
  <Lines>47</Lines>
  <Paragraphs>13</Paragraphs>
  <ScaleCrop>false</ScaleCrop>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2</cp:revision>
  <dcterms:created xsi:type="dcterms:W3CDTF">2025-11-26T17:43:00Z</dcterms:created>
  <dcterms:modified xsi:type="dcterms:W3CDTF">2025-11-26T17:52:00Z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MediaServiceImageTags</vt:lpwstr>
  </property>
</Properties>
</file>