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42CE" w14:textId="77777777" w:rsidR="007F2C07" w:rsidRDefault="007F2C07" w:rsidP="00B06578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15225A63" w14:textId="03E78E8C" w:rsidR="00694B17" w:rsidRDefault="00423CA6" w:rsidP="00B06578">
      <w:pPr>
        <w:jc w:val="center"/>
        <w:rPr>
          <w:rFonts w:ascii="Georgia" w:hAnsi="Georgia"/>
          <w:b/>
          <w:bCs/>
          <w:sz w:val="20"/>
          <w:szCs w:val="20"/>
        </w:rPr>
      </w:pPr>
      <w:r w:rsidRPr="00423CA6">
        <w:rPr>
          <w:rFonts w:ascii="Georgia" w:hAnsi="Georgia"/>
          <w:b/>
          <w:bCs/>
          <w:sz w:val="20"/>
          <w:szCs w:val="20"/>
        </w:rPr>
        <w:t xml:space="preserve">Barómetro de Inovação Clínica 2025 revela entraves estruturais à modernização </w:t>
      </w:r>
    </w:p>
    <w:p w14:paraId="0199DAA9" w14:textId="4D261F46" w:rsidR="00423CA6" w:rsidRPr="00B06578" w:rsidRDefault="00423CA6" w:rsidP="00B06578">
      <w:pPr>
        <w:jc w:val="center"/>
        <w:rPr>
          <w:rFonts w:ascii="Georgia" w:hAnsi="Georgia"/>
          <w:b/>
          <w:bCs/>
          <w:sz w:val="28"/>
          <w:szCs w:val="28"/>
        </w:rPr>
      </w:pPr>
      <w:r w:rsidRPr="00F73693">
        <w:rPr>
          <w:rFonts w:ascii="Georgia" w:hAnsi="Georgia"/>
          <w:b/>
          <w:bCs/>
          <w:sz w:val="32"/>
          <w:szCs w:val="32"/>
        </w:rPr>
        <w:t xml:space="preserve">Falta de autonomia dos CIC e </w:t>
      </w:r>
      <w:r w:rsidR="00DC6221">
        <w:rPr>
          <w:rFonts w:ascii="Georgia" w:hAnsi="Georgia"/>
          <w:b/>
          <w:bCs/>
          <w:sz w:val="32"/>
          <w:szCs w:val="32"/>
        </w:rPr>
        <w:t>planos curriculares</w:t>
      </w:r>
      <w:r w:rsidRPr="00F73693">
        <w:rPr>
          <w:rFonts w:ascii="Georgia" w:hAnsi="Georgia"/>
          <w:b/>
          <w:bCs/>
          <w:sz w:val="32"/>
          <w:szCs w:val="32"/>
        </w:rPr>
        <w:t xml:space="preserve"> sem espaço para o digital travam inovação na saúde</w:t>
      </w:r>
    </w:p>
    <w:p w14:paraId="33FAA787" w14:textId="4A8A97B9" w:rsidR="00F245D0" w:rsidRDefault="00B06578" w:rsidP="00B06578">
      <w:pPr>
        <w:jc w:val="both"/>
        <w:rPr>
          <w:sz w:val="20"/>
          <w:szCs w:val="20"/>
        </w:rPr>
      </w:pPr>
      <w:r w:rsidRPr="00B06578">
        <w:rPr>
          <w:b/>
          <w:bCs/>
          <w:sz w:val="20"/>
          <w:szCs w:val="20"/>
        </w:rPr>
        <w:t xml:space="preserve">Lisboa, </w:t>
      </w:r>
      <w:r>
        <w:rPr>
          <w:b/>
          <w:bCs/>
          <w:sz w:val="20"/>
          <w:szCs w:val="20"/>
        </w:rPr>
        <w:t xml:space="preserve">26 </w:t>
      </w:r>
      <w:r w:rsidRPr="00B06578">
        <w:rPr>
          <w:b/>
          <w:bCs/>
          <w:sz w:val="20"/>
          <w:szCs w:val="20"/>
        </w:rPr>
        <w:t>de novembro de 2025 –</w:t>
      </w:r>
      <w:r w:rsidRPr="00B06578">
        <w:rPr>
          <w:sz w:val="20"/>
          <w:szCs w:val="20"/>
        </w:rPr>
        <w:t xml:space="preserve"> </w:t>
      </w:r>
      <w:r w:rsidR="00F245D0" w:rsidRPr="00F245D0">
        <w:rPr>
          <w:sz w:val="20"/>
          <w:szCs w:val="20"/>
        </w:rPr>
        <w:t xml:space="preserve">O </w:t>
      </w:r>
      <w:r w:rsidR="00F245D0" w:rsidRPr="00F73693">
        <w:rPr>
          <w:b/>
          <w:bCs/>
          <w:sz w:val="20"/>
          <w:szCs w:val="20"/>
        </w:rPr>
        <w:t>Barómetro de Inovação Clínica 2025</w:t>
      </w:r>
      <w:r w:rsidR="00F245D0" w:rsidRPr="00F245D0">
        <w:rPr>
          <w:sz w:val="20"/>
          <w:szCs w:val="20"/>
        </w:rPr>
        <w:t xml:space="preserve">, apresentado pela </w:t>
      </w:r>
      <w:r w:rsidR="00F245D0" w:rsidRPr="00F73693">
        <w:rPr>
          <w:b/>
          <w:bCs/>
          <w:sz w:val="20"/>
          <w:szCs w:val="20"/>
        </w:rPr>
        <w:t>NTT DATA</w:t>
      </w:r>
      <w:r w:rsidR="00F245D0" w:rsidRPr="00F245D0">
        <w:rPr>
          <w:sz w:val="20"/>
          <w:szCs w:val="20"/>
        </w:rPr>
        <w:t xml:space="preserve">, </w:t>
      </w:r>
      <w:r w:rsidR="00F245D0">
        <w:rPr>
          <w:sz w:val="20"/>
          <w:szCs w:val="20"/>
        </w:rPr>
        <w:t xml:space="preserve">consultora global de negócio e tecnologia, </w:t>
      </w:r>
      <w:r w:rsidR="00F245D0" w:rsidRPr="00F245D0">
        <w:rPr>
          <w:sz w:val="20"/>
          <w:szCs w:val="20"/>
        </w:rPr>
        <w:t xml:space="preserve">identifica </w:t>
      </w:r>
      <w:r w:rsidR="00F245D0" w:rsidRPr="00F73693">
        <w:rPr>
          <w:b/>
          <w:bCs/>
          <w:sz w:val="20"/>
          <w:szCs w:val="20"/>
        </w:rPr>
        <w:t xml:space="preserve">dois </w:t>
      </w:r>
      <w:r w:rsidR="00825E33" w:rsidRPr="00F73693">
        <w:rPr>
          <w:b/>
          <w:bCs/>
          <w:sz w:val="20"/>
          <w:szCs w:val="20"/>
        </w:rPr>
        <w:t>desafios à construção de um ecossistema de saúde moderno, digital e centrado no conhecimento</w:t>
      </w:r>
      <w:r w:rsidR="00F245D0" w:rsidRPr="00F245D0">
        <w:rPr>
          <w:sz w:val="20"/>
          <w:szCs w:val="20"/>
        </w:rPr>
        <w:t xml:space="preserve">: a </w:t>
      </w:r>
      <w:r w:rsidR="00F245D0" w:rsidRPr="00F73693">
        <w:rPr>
          <w:b/>
          <w:bCs/>
          <w:sz w:val="20"/>
          <w:szCs w:val="20"/>
        </w:rPr>
        <w:t>reduzida autonomia dos Centros de Investigação Clínica (CIC) na gestão de recursos humanos e incentivos</w:t>
      </w:r>
      <w:r w:rsidR="00F245D0" w:rsidRPr="00F245D0">
        <w:rPr>
          <w:sz w:val="20"/>
          <w:szCs w:val="20"/>
        </w:rPr>
        <w:t xml:space="preserve">, e a </w:t>
      </w:r>
      <w:r w:rsidR="00F245D0" w:rsidRPr="00F73693">
        <w:rPr>
          <w:b/>
          <w:bCs/>
          <w:sz w:val="20"/>
          <w:szCs w:val="20"/>
        </w:rPr>
        <w:t xml:space="preserve">falta de tempo nos planos curriculares </w:t>
      </w:r>
      <w:r w:rsidR="00A068E9">
        <w:rPr>
          <w:b/>
          <w:bCs/>
          <w:sz w:val="20"/>
          <w:szCs w:val="20"/>
        </w:rPr>
        <w:t>dos cursos</w:t>
      </w:r>
      <w:r w:rsidR="00F245D0" w:rsidRPr="00F73693">
        <w:rPr>
          <w:b/>
          <w:bCs/>
          <w:sz w:val="20"/>
          <w:szCs w:val="20"/>
        </w:rPr>
        <w:t xml:space="preserve"> de medicina para integrar competências digitais</w:t>
      </w:r>
      <w:r w:rsidR="00F245D0" w:rsidRPr="00F245D0">
        <w:rPr>
          <w:sz w:val="20"/>
          <w:szCs w:val="20"/>
        </w:rPr>
        <w:t xml:space="preserve">. </w:t>
      </w:r>
    </w:p>
    <w:p w14:paraId="42D0682E" w14:textId="59A04344" w:rsidR="001852E2" w:rsidRDefault="42F3E5FC" w:rsidP="00BA236A">
      <w:pPr>
        <w:jc w:val="both"/>
        <w:rPr>
          <w:sz w:val="20"/>
          <w:szCs w:val="20"/>
        </w:rPr>
      </w:pPr>
      <w:r w:rsidRPr="1FD81DB0">
        <w:rPr>
          <w:sz w:val="20"/>
          <w:szCs w:val="20"/>
        </w:rPr>
        <w:t>Os resultados mostram que esta dupla limitação se manifesta de forma clara no terreno</w:t>
      </w:r>
      <w:r w:rsidR="211A1FEF" w:rsidRPr="1FD81DB0">
        <w:rPr>
          <w:sz w:val="20"/>
          <w:szCs w:val="20"/>
        </w:rPr>
        <w:t xml:space="preserve"> e revela a distância entre intenções e capacidade real de execução</w:t>
      </w:r>
      <w:r w:rsidR="7A9F14A7" w:rsidRPr="1FD81DB0">
        <w:rPr>
          <w:sz w:val="20"/>
          <w:szCs w:val="20"/>
        </w:rPr>
        <w:t>. N</w:t>
      </w:r>
      <w:r w:rsidR="283C0D97" w:rsidRPr="1FD81DB0">
        <w:rPr>
          <w:sz w:val="20"/>
          <w:szCs w:val="20"/>
        </w:rPr>
        <w:t xml:space="preserve">as faculdades de medicina, </w:t>
      </w:r>
      <w:r w:rsidR="45C5FFA5" w:rsidRPr="1FD81DB0">
        <w:rPr>
          <w:sz w:val="20"/>
          <w:szCs w:val="20"/>
        </w:rPr>
        <w:t xml:space="preserve">todas as Direções classificaram esta área como uma prioridade muito elevada, mas </w:t>
      </w:r>
      <w:r w:rsidR="283C0D97" w:rsidRPr="1FD81DB0">
        <w:rPr>
          <w:sz w:val="20"/>
          <w:szCs w:val="20"/>
        </w:rPr>
        <w:t xml:space="preserve">mais de metade das </w:t>
      </w:r>
      <w:r w:rsidR="632FF32D" w:rsidRPr="1FD81DB0">
        <w:rPr>
          <w:sz w:val="20"/>
          <w:szCs w:val="20"/>
        </w:rPr>
        <w:t>A</w:t>
      </w:r>
      <w:r w:rsidR="283C0D97" w:rsidRPr="1FD81DB0">
        <w:rPr>
          <w:sz w:val="20"/>
          <w:szCs w:val="20"/>
        </w:rPr>
        <w:t xml:space="preserve">ssociações de </w:t>
      </w:r>
      <w:r w:rsidR="632FF32D" w:rsidRPr="1FD81DB0">
        <w:rPr>
          <w:sz w:val="20"/>
          <w:szCs w:val="20"/>
        </w:rPr>
        <w:t>E</w:t>
      </w:r>
      <w:r w:rsidR="283C0D97" w:rsidRPr="1FD81DB0">
        <w:rPr>
          <w:sz w:val="20"/>
          <w:szCs w:val="20"/>
        </w:rPr>
        <w:t>studantes considera que a preparação digital dos futuros médicos é insuficiente</w:t>
      </w:r>
      <w:r w:rsidR="3F768226" w:rsidRPr="1FD81DB0">
        <w:rPr>
          <w:sz w:val="20"/>
          <w:szCs w:val="20"/>
        </w:rPr>
        <w:t>.</w:t>
      </w:r>
      <w:r w:rsidR="283C0D97" w:rsidRPr="1FD81DB0">
        <w:rPr>
          <w:sz w:val="20"/>
          <w:szCs w:val="20"/>
        </w:rPr>
        <w:t xml:space="preserve"> Já nos hospitais, os </w:t>
      </w:r>
      <w:r w:rsidR="1E3D70AA" w:rsidRPr="1FD81DB0">
        <w:rPr>
          <w:sz w:val="20"/>
          <w:szCs w:val="20"/>
        </w:rPr>
        <w:t>CIC</w:t>
      </w:r>
      <w:r w:rsidR="283C0D97" w:rsidRPr="1FD81DB0">
        <w:rPr>
          <w:sz w:val="20"/>
          <w:szCs w:val="20"/>
        </w:rPr>
        <w:t xml:space="preserve"> continuam limitados por modelos de gestão que não permitem contratar equipas ou definir incentivos de forma autónoma, uma fragilidade que compromete a agilidade necessária para competir internacionalmente.</w:t>
      </w:r>
    </w:p>
    <w:p w14:paraId="4F41258D" w14:textId="0F4B0B4E" w:rsidR="008C536B" w:rsidRDefault="008C536B" w:rsidP="00B06578">
      <w:pPr>
        <w:jc w:val="both"/>
        <w:rPr>
          <w:sz w:val="20"/>
          <w:szCs w:val="20"/>
        </w:rPr>
      </w:pPr>
      <w:r w:rsidRPr="656AFA74">
        <w:rPr>
          <w:sz w:val="20"/>
          <w:szCs w:val="20"/>
        </w:rPr>
        <w:t xml:space="preserve">A segunda edição do Barómetro amplia o horizonte de análise iniciado em 2024, ao integrar pela primeira vez as faculdades de medicina – </w:t>
      </w:r>
      <w:r w:rsidR="00C8564B" w:rsidRPr="656AFA74">
        <w:rPr>
          <w:sz w:val="20"/>
          <w:szCs w:val="20"/>
        </w:rPr>
        <w:t>com</w:t>
      </w:r>
      <w:r w:rsidRPr="656AFA74">
        <w:rPr>
          <w:sz w:val="20"/>
          <w:szCs w:val="20"/>
        </w:rPr>
        <w:t xml:space="preserve"> </w:t>
      </w:r>
      <w:r w:rsidR="007D7AAD" w:rsidRPr="656AFA74">
        <w:rPr>
          <w:sz w:val="20"/>
          <w:szCs w:val="20"/>
        </w:rPr>
        <w:t>D</w:t>
      </w:r>
      <w:r w:rsidRPr="656AFA74">
        <w:rPr>
          <w:sz w:val="20"/>
          <w:szCs w:val="20"/>
        </w:rPr>
        <w:t xml:space="preserve">ireções e </w:t>
      </w:r>
      <w:r w:rsidR="007D7AAD" w:rsidRPr="656AFA74">
        <w:rPr>
          <w:sz w:val="20"/>
          <w:szCs w:val="20"/>
        </w:rPr>
        <w:t>A</w:t>
      </w:r>
      <w:r w:rsidRPr="656AFA74">
        <w:rPr>
          <w:sz w:val="20"/>
          <w:szCs w:val="20"/>
        </w:rPr>
        <w:t xml:space="preserve">ssociações de </w:t>
      </w:r>
      <w:r w:rsidR="007D7AAD" w:rsidRPr="656AFA74">
        <w:rPr>
          <w:sz w:val="20"/>
          <w:szCs w:val="20"/>
        </w:rPr>
        <w:t>E</w:t>
      </w:r>
      <w:r w:rsidRPr="656AFA74">
        <w:rPr>
          <w:sz w:val="20"/>
          <w:szCs w:val="20"/>
        </w:rPr>
        <w:t xml:space="preserve">studantes – permitindo uma leitura mais abrangente da inovação clínica em Portugal. No total, o estudo envolveu </w:t>
      </w:r>
      <w:r w:rsidRPr="656AFA74">
        <w:rPr>
          <w:b/>
          <w:bCs/>
          <w:sz w:val="20"/>
          <w:szCs w:val="20"/>
        </w:rPr>
        <w:t xml:space="preserve">48 </w:t>
      </w:r>
      <w:r w:rsidR="062E0A06" w:rsidRPr="656AFA74">
        <w:rPr>
          <w:b/>
          <w:bCs/>
          <w:sz w:val="20"/>
          <w:szCs w:val="20"/>
        </w:rPr>
        <w:t xml:space="preserve">instituições </w:t>
      </w:r>
      <w:r w:rsidR="36D3F351" w:rsidRPr="656AFA74">
        <w:rPr>
          <w:b/>
          <w:bCs/>
          <w:sz w:val="20"/>
          <w:szCs w:val="20"/>
        </w:rPr>
        <w:t xml:space="preserve">clínicas </w:t>
      </w:r>
      <w:r w:rsidRPr="656AFA74">
        <w:rPr>
          <w:b/>
          <w:bCs/>
          <w:sz w:val="20"/>
          <w:szCs w:val="20"/>
        </w:rPr>
        <w:t>e 10 faculdades de medicina</w:t>
      </w:r>
      <w:r w:rsidRPr="656AFA74">
        <w:rPr>
          <w:sz w:val="20"/>
          <w:szCs w:val="20"/>
        </w:rPr>
        <w:t xml:space="preserve">, </w:t>
      </w:r>
      <w:r w:rsidR="00A4266E" w:rsidRPr="656AFA74">
        <w:rPr>
          <w:sz w:val="20"/>
          <w:szCs w:val="20"/>
        </w:rPr>
        <w:t xml:space="preserve">o que </w:t>
      </w:r>
      <w:r w:rsidRPr="656AFA74">
        <w:rPr>
          <w:sz w:val="20"/>
          <w:szCs w:val="20"/>
        </w:rPr>
        <w:t>reforça a capacidade de diagnóstico do ecossistema.</w:t>
      </w:r>
    </w:p>
    <w:p w14:paraId="77C6B42A" w14:textId="77777777" w:rsidR="00F73693" w:rsidRDefault="00F73693" w:rsidP="00B06578">
      <w:pPr>
        <w:jc w:val="both"/>
        <w:rPr>
          <w:sz w:val="20"/>
          <w:szCs w:val="20"/>
        </w:rPr>
      </w:pPr>
    </w:p>
    <w:p w14:paraId="73B75022" w14:textId="4CFD67E8" w:rsidR="00A4266E" w:rsidRPr="007E032C" w:rsidRDefault="00A4266E" w:rsidP="00A4266E">
      <w:pPr>
        <w:jc w:val="both"/>
        <w:rPr>
          <w:b/>
          <w:bCs/>
          <w:color w:val="0070C0"/>
          <w:sz w:val="20"/>
          <w:szCs w:val="20"/>
        </w:rPr>
      </w:pPr>
      <w:r w:rsidRPr="007E032C">
        <w:rPr>
          <w:b/>
          <w:bCs/>
          <w:color w:val="0070C0"/>
          <w:sz w:val="20"/>
          <w:szCs w:val="20"/>
        </w:rPr>
        <w:t xml:space="preserve">Faculdades de Medicina: vontade de inovar travada por </w:t>
      </w:r>
      <w:r w:rsidR="00753A31">
        <w:rPr>
          <w:b/>
          <w:bCs/>
          <w:color w:val="0070C0"/>
          <w:sz w:val="20"/>
          <w:szCs w:val="20"/>
        </w:rPr>
        <w:t>planos curriculares</w:t>
      </w:r>
      <w:r w:rsidR="00753A31" w:rsidRPr="007E032C">
        <w:rPr>
          <w:b/>
          <w:bCs/>
          <w:color w:val="0070C0"/>
          <w:sz w:val="20"/>
          <w:szCs w:val="20"/>
        </w:rPr>
        <w:t xml:space="preserve"> </w:t>
      </w:r>
      <w:r w:rsidRPr="007E032C">
        <w:rPr>
          <w:b/>
          <w:bCs/>
          <w:color w:val="0070C0"/>
          <w:sz w:val="20"/>
          <w:szCs w:val="20"/>
        </w:rPr>
        <w:t>sobrecarregados</w:t>
      </w:r>
    </w:p>
    <w:p w14:paraId="5A8A1CA4" w14:textId="668B8B3D" w:rsidR="00A4266E" w:rsidRPr="00B06578" w:rsidRDefault="00A4266E" w:rsidP="00A4266E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A auscultação às faculdades revela uma </w:t>
      </w:r>
      <w:r w:rsidRPr="00B06578">
        <w:rPr>
          <w:b/>
          <w:bCs/>
          <w:sz w:val="20"/>
          <w:szCs w:val="20"/>
        </w:rPr>
        <w:t>valorização institucional clara da inovação digital</w:t>
      </w:r>
      <w:r w:rsidRPr="00B06578">
        <w:rPr>
          <w:sz w:val="20"/>
          <w:szCs w:val="20"/>
        </w:rPr>
        <w:t xml:space="preserve">, com todas as direções a reconhecerem a preparação dos alunos para a era digital como uma prioridade muito elevada. No entanto, </w:t>
      </w:r>
      <w:r w:rsidRPr="00B06578">
        <w:rPr>
          <w:b/>
          <w:bCs/>
          <w:sz w:val="20"/>
          <w:szCs w:val="20"/>
        </w:rPr>
        <w:t>56% das associações de estudantes consideram essa prioridade apenas baixa ou moderada</w:t>
      </w:r>
      <w:r w:rsidRPr="00B06578">
        <w:rPr>
          <w:sz w:val="20"/>
          <w:szCs w:val="20"/>
        </w:rPr>
        <w:t xml:space="preserve">, o que revela um desfasamento entre o discurso estratégico e a </w:t>
      </w:r>
      <w:r w:rsidRPr="00CB6BB3">
        <w:rPr>
          <w:sz w:val="20"/>
          <w:szCs w:val="20"/>
        </w:rPr>
        <w:t>pr</w:t>
      </w:r>
      <w:r w:rsidRPr="00CB6BB3">
        <w:rPr>
          <w:rFonts w:hint="eastAsia"/>
          <w:sz w:val="20"/>
          <w:szCs w:val="20"/>
        </w:rPr>
        <w:t>á</w:t>
      </w:r>
      <w:r w:rsidRPr="00CB6BB3">
        <w:rPr>
          <w:sz w:val="20"/>
          <w:szCs w:val="20"/>
        </w:rPr>
        <w:t>tica pedag</w:t>
      </w:r>
      <w:r w:rsidRPr="00CB6BB3">
        <w:rPr>
          <w:rFonts w:hint="eastAsia"/>
          <w:sz w:val="20"/>
          <w:szCs w:val="20"/>
        </w:rPr>
        <w:t>ó</w:t>
      </w:r>
      <w:r w:rsidRPr="00CB6BB3">
        <w:rPr>
          <w:sz w:val="20"/>
          <w:szCs w:val="20"/>
        </w:rPr>
        <w:t>gica.</w:t>
      </w:r>
    </w:p>
    <w:p w14:paraId="7F7995D1" w14:textId="77777777" w:rsidR="00A4266E" w:rsidRPr="00B06578" w:rsidRDefault="00A4266E" w:rsidP="00A4266E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Há </w:t>
      </w:r>
      <w:r w:rsidRPr="00B06578">
        <w:rPr>
          <w:b/>
          <w:bCs/>
          <w:sz w:val="20"/>
          <w:szCs w:val="20"/>
        </w:rPr>
        <w:t>convergência na inclusão de conteúdos como Inteligência Artificial, simuladores digitais e sistemas de apoio à decisão clínica</w:t>
      </w:r>
      <w:r w:rsidRPr="00B06578">
        <w:rPr>
          <w:sz w:val="20"/>
          <w:szCs w:val="20"/>
        </w:rPr>
        <w:t xml:space="preserve">, mas apenas </w:t>
      </w:r>
      <w:r w:rsidRPr="00B06578">
        <w:rPr>
          <w:b/>
          <w:bCs/>
          <w:sz w:val="20"/>
          <w:szCs w:val="20"/>
        </w:rPr>
        <w:t xml:space="preserve">metade das faculdades avançou para áreas mais complexas como </w:t>
      </w:r>
      <w:proofErr w:type="spellStart"/>
      <w:r w:rsidRPr="00B06578">
        <w:rPr>
          <w:b/>
          <w:bCs/>
          <w:sz w:val="20"/>
          <w:szCs w:val="20"/>
        </w:rPr>
        <w:t>Big</w:t>
      </w:r>
      <w:proofErr w:type="spellEnd"/>
      <w:r w:rsidRPr="00B06578">
        <w:rPr>
          <w:b/>
          <w:bCs/>
          <w:sz w:val="20"/>
          <w:szCs w:val="20"/>
        </w:rPr>
        <w:t xml:space="preserve"> Data e análise de dados clínicos</w:t>
      </w:r>
      <w:r w:rsidRPr="00B06578">
        <w:rPr>
          <w:sz w:val="20"/>
          <w:szCs w:val="20"/>
        </w:rPr>
        <w:t>.</w:t>
      </w:r>
    </w:p>
    <w:p w14:paraId="767575BF" w14:textId="0467270F" w:rsidR="00A4266E" w:rsidRPr="00B06578" w:rsidRDefault="00A4266E" w:rsidP="00A4266E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A </w:t>
      </w:r>
      <w:r w:rsidRPr="00B06578">
        <w:rPr>
          <w:b/>
          <w:bCs/>
          <w:sz w:val="20"/>
          <w:szCs w:val="20"/>
        </w:rPr>
        <w:t xml:space="preserve">preparação dos alunos para a </w:t>
      </w:r>
      <w:r w:rsidR="007D5624">
        <w:rPr>
          <w:b/>
          <w:bCs/>
          <w:sz w:val="20"/>
          <w:szCs w:val="20"/>
        </w:rPr>
        <w:t>área</w:t>
      </w:r>
      <w:r w:rsidR="007D5624" w:rsidRPr="00B06578">
        <w:rPr>
          <w:b/>
          <w:bCs/>
          <w:sz w:val="20"/>
          <w:szCs w:val="20"/>
        </w:rPr>
        <w:t xml:space="preserve"> </w:t>
      </w:r>
      <w:r w:rsidRPr="00B06578">
        <w:rPr>
          <w:b/>
          <w:bCs/>
          <w:sz w:val="20"/>
          <w:szCs w:val="20"/>
        </w:rPr>
        <w:t>digital</w:t>
      </w:r>
      <w:r w:rsidRPr="00B06578">
        <w:rPr>
          <w:sz w:val="20"/>
          <w:szCs w:val="20"/>
        </w:rPr>
        <w:t xml:space="preserve"> é vista </w:t>
      </w:r>
      <w:r w:rsidR="00F05954">
        <w:rPr>
          <w:sz w:val="20"/>
          <w:szCs w:val="20"/>
        </w:rPr>
        <w:t xml:space="preserve">de forma </w:t>
      </w:r>
      <w:r w:rsidR="00C40ABA">
        <w:rPr>
          <w:sz w:val="20"/>
          <w:szCs w:val="20"/>
        </w:rPr>
        <w:t>mais</w:t>
      </w:r>
      <w:r w:rsidR="00F05954">
        <w:rPr>
          <w:sz w:val="20"/>
          <w:szCs w:val="20"/>
        </w:rPr>
        <w:t xml:space="preserve"> positiva pelas Dire</w:t>
      </w:r>
      <w:r w:rsidR="00E102A9">
        <w:rPr>
          <w:sz w:val="20"/>
          <w:szCs w:val="20"/>
        </w:rPr>
        <w:t>ções</w:t>
      </w:r>
      <w:r w:rsidR="007A60BE">
        <w:rPr>
          <w:sz w:val="20"/>
          <w:szCs w:val="20"/>
        </w:rPr>
        <w:t xml:space="preserve">, </w:t>
      </w:r>
      <w:r w:rsidR="00F729B5">
        <w:rPr>
          <w:sz w:val="20"/>
          <w:szCs w:val="20"/>
        </w:rPr>
        <w:t>com</w:t>
      </w:r>
      <w:r w:rsidR="007A60BE">
        <w:rPr>
          <w:sz w:val="20"/>
          <w:szCs w:val="20"/>
        </w:rPr>
        <w:t xml:space="preserve"> </w:t>
      </w:r>
      <w:r w:rsidR="00531ED3">
        <w:rPr>
          <w:sz w:val="20"/>
          <w:szCs w:val="20"/>
        </w:rPr>
        <w:t xml:space="preserve">87% </w:t>
      </w:r>
      <w:r w:rsidR="007A60BE">
        <w:rPr>
          <w:sz w:val="20"/>
          <w:szCs w:val="20"/>
        </w:rPr>
        <w:t xml:space="preserve">a </w:t>
      </w:r>
      <w:r w:rsidR="00531ED3">
        <w:rPr>
          <w:sz w:val="20"/>
          <w:szCs w:val="20"/>
        </w:rPr>
        <w:t>classifica</w:t>
      </w:r>
      <w:r w:rsidR="00F729B5">
        <w:rPr>
          <w:sz w:val="20"/>
          <w:szCs w:val="20"/>
        </w:rPr>
        <w:t>rem-na</w:t>
      </w:r>
      <w:r w:rsidR="00531ED3">
        <w:rPr>
          <w:sz w:val="20"/>
          <w:szCs w:val="20"/>
        </w:rPr>
        <w:t xml:space="preserve"> como</w:t>
      </w:r>
      <w:r w:rsidR="00531ED3" w:rsidRPr="00B06578">
        <w:rPr>
          <w:sz w:val="20"/>
          <w:szCs w:val="20"/>
        </w:rPr>
        <w:t xml:space="preserve"> </w:t>
      </w:r>
      <w:r w:rsidRPr="00B06578">
        <w:rPr>
          <w:sz w:val="20"/>
          <w:szCs w:val="20"/>
        </w:rPr>
        <w:t>moderada/bo</w:t>
      </w:r>
      <w:r w:rsidR="00007FF5">
        <w:rPr>
          <w:sz w:val="20"/>
          <w:szCs w:val="20"/>
        </w:rPr>
        <w:t>a</w:t>
      </w:r>
      <w:r w:rsidR="00F729B5">
        <w:rPr>
          <w:sz w:val="20"/>
          <w:szCs w:val="20"/>
        </w:rPr>
        <w:t xml:space="preserve">; </w:t>
      </w:r>
      <w:r w:rsidR="00270ECB">
        <w:rPr>
          <w:sz w:val="20"/>
          <w:szCs w:val="20"/>
        </w:rPr>
        <w:t xml:space="preserve">já </w:t>
      </w:r>
      <w:r w:rsidRPr="00B06578">
        <w:rPr>
          <w:b/>
          <w:bCs/>
          <w:sz w:val="20"/>
          <w:szCs w:val="20"/>
        </w:rPr>
        <w:t xml:space="preserve">67% das </w:t>
      </w:r>
      <w:r w:rsidR="007C55DF">
        <w:rPr>
          <w:b/>
          <w:bCs/>
          <w:sz w:val="20"/>
          <w:szCs w:val="20"/>
        </w:rPr>
        <w:t>A</w:t>
      </w:r>
      <w:r w:rsidRPr="00B06578">
        <w:rPr>
          <w:b/>
          <w:bCs/>
          <w:sz w:val="20"/>
          <w:szCs w:val="20"/>
        </w:rPr>
        <w:t xml:space="preserve">ssociações de </w:t>
      </w:r>
      <w:r w:rsidR="007C55DF">
        <w:rPr>
          <w:b/>
          <w:bCs/>
          <w:sz w:val="20"/>
          <w:szCs w:val="20"/>
        </w:rPr>
        <w:t>E</w:t>
      </w:r>
      <w:r w:rsidRPr="00B06578">
        <w:rPr>
          <w:b/>
          <w:bCs/>
          <w:sz w:val="20"/>
          <w:szCs w:val="20"/>
        </w:rPr>
        <w:t xml:space="preserve">studantes consideram que os </w:t>
      </w:r>
      <w:r>
        <w:rPr>
          <w:b/>
          <w:bCs/>
          <w:sz w:val="20"/>
          <w:szCs w:val="20"/>
        </w:rPr>
        <w:t>alunos</w:t>
      </w:r>
      <w:r w:rsidRPr="00B06578">
        <w:rPr>
          <w:b/>
          <w:bCs/>
          <w:sz w:val="20"/>
          <w:szCs w:val="20"/>
        </w:rPr>
        <w:t xml:space="preserve"> estão pouco ou apenas moderadamente preparados</w:t>
      </w:r>
      <w:r w:rsidRPr="00B06578">
        <w:rPr>
          <w:sz w:val="20"/>
          <w:szCs w:val="20"/>
        </w:rPr>
        <w:t xml:space="preserve">. A </w:t>
      </w:r>
      <w:r w:rsidRPr="00B06578">
        <w:rPr>
          <w:b/>
          <w:bCs/>
          <w:sz w:val="20"/>
          <w:szCs w:val="20"/>
        </w:rPr>
        <w:t>capacitação docente</w:t>
      </w:r>
      <w:r w:rsidRPr="00B06578">
        <w:rPr>
          <w:sz w:val="20"/>
          <w:szCs w:val="20"/>
        </w:rPr>
        <w:t xml:space="preserve"> também é percebida como insuficiente por uma parte significativa dos estudantes (44%).</w:t>
      </w:r>
    </w:p>
    <w:p w14:paraId="13332649" w14:textId="0BDF211D" w:rsidR="00A4266E" w:rsidRPr="00B06578" w:rsidRDefault="00A4266E" w:rsidP="00A4266E">
      <w:pPr>
        <w:jc w:val="both"/>
        <w:rPr>
          <w:sz w:val="20"/>
          <w:szCs w:val="20"/>
        </w:rPr>
      </w:pPr>
      <w:r w:rsidRPr="184B3C94">
        <w:rPr>
          <w:sz w:val="20"/>
          <w:szCs w:val="20"/>
        </w:rPr>
        <w:t xml:space="preserve">As </w:t>
      </w:r>
      <w:r w:rsidRPr="184B3C94">
        <w:rPr>
          <w:b/>
          <w:bCs/>
          <w:sz w:val="20"/>
          <w:szCs w:val="20"/>
        </w:rPr>
        <w:t>infraestruturas tecnológicas</w:t>
      </w:r>
      <w:r w:rsidRPr="184B3C94">
        <w:rPr>
          <w:sz w:val="20"/>
          <w:szCs w:val="20"/>
        </w:rPr>
        <w:t xml:space="preserve"> são reconhecidas com </w:t>
      </w:r>
      <w:r w:rsidRPr="184B3C94">
        <w:rPr>
          <w:b/>
          <w:bCs/>
          <w:sz w:val="20"/>
          <w:szCs w:val="20"/>
        </w:rPr>
        <w:t>centros de simulação clínica digital em todas as faculdades</w:t>
      </w:r>
      <w:r w:rsidRPr="184B3C94">
        <w:rPr>
          <w:sz w:val="20"/>
          <w:szCs w:val="20"/>
        </w:rPr>
        <w:t xml:space="preserve">, mas persistem limitações em áreas emergentes como </w:t>
      </w:r>
      <w:r w:rsidRPr="184B3C94">
        <w:rPr>
          <w:b/>
          <w:bCs/>
          <w:sz w:val="20"/>
          <w:szCs w:val="20"/>
        </w:rPr>
        <w:t xml:space="preserve">telemedicina, </w:t>
      </w:r>
      <w:proofErr w:type="spellStart"/>
      <w:r w:rsidRPr="184B3C94">
        <w:rPr>
          <w:b/>
          <w:bCs/>
          <w:sz w:val="20"/>
          <w:szCs w:val="20"/>
        </w:rPr>
        <w:t>cibersegurança</w:t>
      </w:r>
      <w:proofErr w:type="spellEnd"/>
      <w:r w:rsidRPr="184B3C94">
        <w:rPr>
          <w:b/>
          <w:bCs/>
          <w:sz w:val="20"/>
          <w:szCs w:val="20"/>
        </w:rPr>
        <w:t xml:space="preserve"> e ética digital</w:t>
      </w:r>
      <w:r w:rsidRPr="184B3C94">
        <w:rPr>
          <w:sz w:val="20"/>
          <w:szCs w:val="20"/>
        </w:rPr>
        <w:t xml:space="preserve">. A perceção da qualidade dos recursos varia: </w:t>
      </w:r>
      <w:r w:rsidRPr="184B3C94">
        <w:rPr>
          <w:b/>
          <w:bCs/>
          <w:sz w:val="20"/>
          <w:szCs w:val="20"/>
        </w:rPr>
        <w:t>37% das direções consideram-nos adequados ou totalmente adequados</w:t>
      </w:r>
      <w:r w:rsidRPr="184B3C94">
        <w:rPr>
          <w:sz w:val="20"/>
          <w:szCs w:val="20"/>
        </w:rPr>
        <w:t xml:space="preserve">, enquanto </w:t>
      </w:r>
      <w:r w:rsidRPr="184B3C94">
        <w:rPr>
          <w:b/>
          <w:bCs/>
          <w:sz w:val="20"/>
          <w:szCs w:val="20"/>
        </w:rPr>
        <w:t>56% das associações de estudantes os classificam como pouco ou apenas moderadamente adequados</w:t>
      </w:r>
      <w:r w:rsidRPr="184B3C94">
        <w:rPr>
          <w:sz w:val="20"/>
          <w:szCs w:val="20"/>
        </w:rPr>
        <w:t>.</w:t>
      </w:r>
    </w:p>
    <w:p w14:paraId="2C5088C6" w14:textId="04522725" w:rsidR="00A4266E" w:rsidRPr="00B06578" w:rsidRDefault="00A4266E" w:rsidP="00A4266E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lastRenderedPageBreak/>
        <w:t xml:space="preserve">Apesar de todas as </w:t>
      </w:r>
      <w:r w:rsidR="00A9230B">
        <w:rPr>
          <w:sz w:val="20"/>
          <w:szCs w:val="20"/>
        </w:rPr>
        <w:t>faculdades</w:t>
      </w:r>
      <w:r w:rsidR="00A9230B" w:rsidRPr="00B06578">
        <w:rPr>
          <w:sz w:val="20"/>
          <w:szCs w:val="20"/>
        </w:rPr>
        <w:t xml:space="preserve"> </w:t>
      </w:r>
      <w:r w:rsidRPr="00B06578">
        <w:rPr>
          <w:sz w:val="20"/>
          <w:szCs w:val="20"/>
        </w:rPr>
        <w:t xml:space="preserve">incentivarem projetos de investigação e inovação, </w:t>
      </w:r>
      <w:r w:rsidRPr="00B06578">
        <w:rPr>
          <w:b/>
          <w:bCs/>
          <w:sz w:val="20"/>
          <w:szCs w:val="20"/>
        </w:rPr>
        <w:t>nenhuma associação de estudantes reconhece que a formação atual contribui para o desenvolvimento de competências empreendedoras</w:t>
      </w:r>
      <w:r w:rsidRPr="00B06578">
        <w:rPr>
          <w:sz w:val="20"/>
          <w:szCs w:val="20"/>
        </w:rPr>
        <w:t>.</w:t>
      </w:r>
    </w:p>
    <w:p w14:paraId="289BEDFF" w14:textId="34564F4B" w:rsidR="00A4266E" w:rsidRPr="00B06578" w:rsidRDefault="00A4266E" w:rsidP="00A4266E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O </w:t>
      </w:r>
      <w:r w:rsidRPr="00B06578">
        <w:rPr>
          <w:b/>
          <w:bCs/>
          <w:sz w:val="20"/>
          <w:szCs w:val="20"/>
        </w:rPr>
        <w:t>principal obstáculo à integração de novas temáticas digitais é consensual</w:t>
      </w:r>
      <w:r w:rsidRPr="00B06578">
        <w:rPr>
          <w:sz w:val="20"/>
          <w:szCs w:val="20"/>
        </w:rPr>
        <w:t xml:space="preserve">: </w:t>
      </w:r>
      <w:r w:rsidRPr="00B06578">
        <w:rPr>
          <w:b/>
          <w:bCs/>
          <w:sz w:val="20"/>
          <w:szCs w:val="20"/>
        </w:rPr>
        <w:t>a falta de tempo nos planos curriculares</w:t>
      </w:r>
      <w:r w:rsidRPr="00B06578">
        <w:rPr>
          <w:sz w:val="20"/>
          <w:szCs w:val="20"/>
        </w:rPr>
        <w:t xml:space="preserve">, apontada por </w:t>
      </w:r>
      <w:r w:rsidRPr="00B06578">
        <w:rPr>
          <w:b/>
          <w:bCs/>
          <w:sz w:val="20"/>
          <w:szCs w:val="20"/>
        </w:rPr>
        <w:t>75% das direções e 78% das associações de estudantes</w:t>
      </w:r>
      <w:r w:rsidRPr="00B06578">
        <w:rPr>
          <w:sz w:val="20"/>
          <w:szCs w:val="20"/>
        </w:rPr>
        <w:t xml:space="preserve">. Curiosamente, o </w:t>
      </w:r>
      <w:r w:rsidRPr="00B06578">
        <w:rPr>
          <w:b/>
          <w:bCs/>
          <w:sz w:val="20"/>
          <w:szCs w:val="20"/>
        </w:rPr>
        <w:t xml:space="preserve">financiamento </w:t>
      </w:r>
      <w:r w:rsidR="00F33CF3">
        <w:rPr>
          <w:b/>
          <w:bCs/>
          <w:sz w:val="20"/>
          <w:szCs w:val="20"/>
        </w:rPr>
        <w:t xml:space="preserve">para projetos de inovação pedagógica </w:t>
      </w:r>
      <w:r w:rsidRPr="00B06578">
        <w:rPr>
          <w:b/>
          <w:bCs/>
          <w:sz w:val="20"/>
          <w:szCs w:val="20"/>
        </w:rPr>
        <w:t>não é considerado um fator limitante</w:t>
      </w:r>
      <w:r w:rsidRPr="00B06578">
        <w:rPr>
          <w:sz w:val="20"/>
          <w:szCs w:val="20"/>
        </w:rPr>
        <w:t>, o que reforça a urgência de uma reorganização curricular.</w:t>
      </w:r>
    </w:p>
    <w:p w14:paraId="16210E39" w14:textId="77777777" w:rsidR="00A4266E" w:rsidRDefault="00A4266E" w:rsidP="00B06578">
      <w:pPr>
        <w:jc w:val="both"/>
        <w:rPr>
          <w:b/>
          <w:bCs/>
          <w:color w:val="0070C0"/>
          <w:sz w:val="20"/>
          <w:szCs w:val="20"/>
        </w:rPr>
      </w:pPr>
    </w:p>
    <w:p w14:paraId="50EF544F" w14:textId="3EAD36EE" w:rsidR="00B06578" w:rsidRPr="007E032C" w:rsidRDefault="00B06578" w:rsidP="00B06578">
      <w:pPr>
        <w:jc w:val="both"/>
        <w:rPr>
          <w:b/>
          <w:bCs/>
          <w:color w:val="0070C0"/>
          <w:sz w:val="20"/>
          <w:szCs w:val="20"/>
        </w:rPr>
      </w:pPr>
      <w:r w:rsidRPr="007E032C">
        <w:rPr>
          <w:b/>
          <w:bCs/>
          <w:color w:val="0070C0"/>
          <w:sz w:val="20"/>
          <w:szCs w:val="20"/>
        </w:rPr>
        <w:t>Centros de Investigação Clínica: estruturas reconhecidas, mas ainda pouco autónomas</w:t>
      </w:r>
    </w:p>
    <w:p w14:paraId="08824BB2" w14:textId="7303D43A" w:rsidR="00B06578" w:rsidRPr="00B06578" w:rsidRDefault="00B06578" w:rsidP="00B06578">
      <w:pPr>
        <w:jc w:val="both"/>
        <w:rPr>
          <w:sz w:val="20"/>
          <w:szCs w:val="20"/>
        </w:rPr>
      </w:pPr>
      <w:r w:rsidRPr="0627EC69">
        <w:rPr>
          <w:sz w:val="20"/>
          <w:szCs w:val="20"/>
        </w:rPr>
        <w:t xml:space="preserve">Os CIC continuam a ser </w:t>
      </w:r>
      <w:r w:rsidR="4486B8D1" w:rsidRPr="0627EC69">
        <w:rPr>
          <w:b/>
          <w:bCs/>
          <w:sz w:val="20"/>
          <w:szCs w:val="20"/>
        </w:rPr>
        <w:t>muito</w:t>
      </w:r>
      <w:r w:rsidRPr="0627EC69">
        <w:rPr>
          <w:b/>
          <w:bCs/>
          <w:sz w:val="20"/>
          <w:szCs w:val="20"/>
        </w:rPr>
        <w:t xml:space="preserve"> valorizados pelas administrações hospitalares (67%)</w:t>
      </w:r>
      <w:r w:rsidRPr="0627EC69">
        <w:rPr>
          <w:sz w:val="20"/>
          <w:szCs w:val="20"/>
        </w:rPr>
        <w:t xml:space="preserve"> e mantêm uma </w:t>
      </w:r>
      <w:r w:rsidRPr="0627EC69">
        <w:rPr>
          <w:b/>
          <w:bCs/>
          <w:sz w:val="20"/>
          <w:szCs w:val="20"/>
        </w:rPr>
        <w:t>colaboração ativa com a indústria farmacêutica (75%)</w:t>
      </w:r>
      <w:r w:rsidRPr="0627EC69">
        <w:rPr>
          <w:sz w:val="20"/>
          <w:szCs w:val="20"/>
        </w:rPr>
        <w:t xml:space="preserve">. No entanto, a </w:t>
      </w:r>
      <w:r w:rsidRPr="0627EC69">
        <w:rPr>
          <w:b/>
          <w:bCs/>
          <w:sz w:val="20"/>
          <w:szCs w:val="20"/>
        </w:rPr>
        <w:t>articulação com associações de doentes e com a sociedade em geral permanece muito limitada</w:t>
      </w:r>
      <w:r w:rsidRPr="0627EC69">
        <w:rPr>
          <w:sz w:val="20"/>
          <w:szCs w:val="20"/>
        </w:rPr>
        <w:t>, o que compromete a sua visibilidade e impacto social.</w:t>
      </w:r>
    </w:p>
    <w:p w14:paraId="099E9BD9" w14:textId="77777777" w:rsidR="00B06578" w:rsidRPr="00B06578" w:rsidRDefault="00B06578" w:rsidP="00B06578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A </w:t>
      </w:r>
      <w:r w:rsidRPr="00B06578">
        <w:rPr>
          <w:b/>
          <w:bCs/>
          <w:sz w:val="20"/>
          <w:szCs w:val="20"/>
        </w:rPr>
        <w:t>desmaterialização de processos</w:t>
      </w:r>
      <w:r w:rsidRPr="00B06578">
        <w:rPr>
          <w:sz w:val="20"/>
          <w:szCs w:val="20"/>
        </w:rPr>
        <w:t xml:space="preserve"> é a estratégia mais priorizada (80%), seguida pela </w:t>
      </w:r>
      <w:r w:rsidRPr="00B06578">
        <w:rPr>
          <w:b/>
          <w:bCs/>
          <w:sz w:val="20"/>
          <w:szCs w:val="20"/>
        </w:rPr>
        <w:t>capacitação das equipas</w:t>
      </w:r>
      <w:r w:rsidRPr="00B06578">
        <w:rPr>
          <w:sz w:val="20"/>
          <w:szCs w:val="20"/>
        </w:rPr>
        <w:t xml:space="preserve">, confirmando a importância das competências humanas como fator de sucesso. Por outro lado, </w:t>
      </w:r>
      <w:r w:rsidRPr="00B06578">
        <w:rPr>
          <w:b/>
          <w:bCs/>
          <w:sz w:val="20"/>
          <w:szCs w:val="20"/>
        </w:rPr>
        <w:t>a descentralização dos ensaios clínicos</w:t>
      </w:r>
      <w:r w:rsidRPr="00B06578">
        <w:rPr>
          <w:sz w:val="20"/>
          <w:szCs w:val="20"/>
        </w:rPr>
        <w:t xml:space="preserve"> e o </w:t>
      </w:r>
      <w:r w:rsidRPr="00B06578">
        <w:rPr>
          <w:b/>
          <w:bCs/>
          <w:sz w:val="20"/>
          <w:szCs w:val="20"/>
        </w:rPr>
        <w:t>aumento da literacia da população</w:t>
      </w:r>
      <w:r w:rsidRPr="00B06578">
        <w:rPr>
          <w:sz w:val="20"/>
          <w:szCs w:val="20"/>
        </w:rPr>
        <w:t xml:space="preserve"> continuam a ser áreas pouco valorizadas e com baixo investimento.</w:t>
      </w:r>
    </w:p>
    <w:p w14:paraId="24CD7F71" w14:textId="77777777" w:rsidR="00B06578" w:rsidRPr="00B06578" w:rsidRDefault="00B06578" w:rsidP="00B06578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A </w:t>
      </w:r>
      <w:r w:rsidRPr="00B06578">
        <w:rPr>
          <w:b/>
          <w:bCs/>
          <w:sz w:val="20"/>
          <w:szCs w:val="20"/>
        </w:rPr>
        <w:t>autonomia estratégica</w:t>
      </w:r>
      <w:r w:rsidRPr="00B06578">
        <w:rPr>
          <w:sz w:val="20"/>
          <w:szCs w:val="20"/>
        </w:rPr>
        <w:t xml:space="preserve"> dos CIC é considerada elevada em áreas como a definição de indicadores de desempenho (57%) e de estratégia (60%). Contudo, </w:t>
      </w:r>
      <w:r w:rsidRPr="00B06578">
        <w:rPr>
          <w:b/>
          <w:bCs/>
          <w:sz w:val="20"/>
          <w:szCs w:val="20"/>
        </w:rPr>
        <w:t>a falta de autonomia na contratação de recursos humanos e na definição de políticas de incentivos permanece como uma limitação estrutural importante</w:t>
      </w:r>
      <w:r w:rsidRPr="00B06578">
        <w:rPr>
          <w:sz w:val="20"/>
          <w:szCs w:val="20"/>
        </w:rPr>
        <w:t>, que compromete a agilidade e a capacidade de atração de talento.</w:t>
      </w:r>
    </w:p>
    <w:p w14:paraId="7A9EE0F2" w14:textId="30546A65" w:rsidR="00B06578" w:rsidRPr="00B06578" w:rsidRDefault="00B06578" w:rsidP="00B06578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O </w:t>
      </w:r>
      <w:r w:rsidRPr="00B06578">
        <w:rPr>
          <w:b/>
          <w:bCs/>
          <w:sz w:val="20"/>
          <w:szCs w:val="20"/>
        </w:rPr>
        <w:t>Despacho n.º 1739/2024</w:t>
      </w:r>
      <w:r w:rsidRPr="00B06578">
        <w:rPr>
          <w:sz w:val="20"/>
          <w:szCs w:val="20"/>
        </w:rPr>
        <w:t xml:space="preserve">, que prevê medidas para reforçar a autonomia dos CIC, </w:t>
      </w:r>
      <w:r w:rsidR="00632EB8">
        <w:rPr>
          <w:sz w:val="20"/>
          <w:szCs w:val="20"/>
        </w:rPr>
        <w:t>não revelou ainda o seu potencial transformador</w:t>
      </w:r>
      <w:r w:rsidRPr="00B06578">
        <w:rPr>
          <w:sz w:val="20"/>
          <w:szCs w:val="20"/>
        </w:rPr>
        <w:t xml:space="preserve">: </w:t>
      </w:r>
      <w:r w:rsidRPr="00B06578">
        <w:rPr>
          <w:b/>
          <w:bCs/>
          <w:sz w:val="20"/>
          <w:szCs w:val="20"/>
        </w:rPr>
        <w:t>45% dos centros não pretendem fazer uso das medidas previstas</w:t>
      </w:r>
      <w:r w:rsidRPr="00B06578">
        <w:rPr>
          <w:sz w:val="20"/>
          <w:szCs w:val="20"/>
        </w:rPr>
        <w:t xml:space="preserve">, e apenas </w:t>
      </w:r>
      <w:r w:rsidR="00C04A9A">
        <w:rPr>
          <w:b/>
          <w:bCs/>
          <w:sz w:val="20"/>
          <w:szCs w:val="20"/>
        </w:rPr>
        <w:t>dois</w:t>
      </w:r>
      <w:r w:rsidR="00C04A9A" w:rsidRPr="00B06578">
        <w:rPr>
          <w:b/>
          <w:bCs/>
          <w:sz w:val="20"/>
          <w:szCs w:val="20"/>
        </w:rPr>
        <w:t xml:space="preserve"> </w:t>
      </w:r>
      <w:r w:rsidRPr="00B06578">
        <w:rPr>
          <w:b/>
          <w:bCs/>
          <w:sz w:val="20"/>
          <w:szCs w:val="20"/>
        </w:rPr>
        <w:t>centros se constituír</w:t>
      </w:r>
      <w:r w:rsidR="00C04A9A">
        <w:rPr>
          <w:b/>
          <w:bCs/>
          <w:sz w:val="20"/>
          <w:szCs w:val="20"/>
        </w:rPr>
        <w:t>a</w:t>
      </w:r>
      <w:r w:rsidRPr="00B06578">
        <w:rPr>
          <w:b/>
          <w:bCs/>
          <w:sz w:val="20"/>
          <w:szCs w:val="20"/>
        </w:rPr>
        <w:t xml:space="preserve">m </w:t>
      </w:r>
      <w:r w:rsidR="00C04A9A">
        <w:rPr>
          <w:b/>
          <w:bCs/>
          <w:sz w:val="20"/>
          <w:szCs w:val="20"/>
        </w:rPr>
        <w:t xml:space="preserve">até à data </w:t>
      </w:r>
      <w:r w:rsidRPr="00B06578">
        <w:rPr>
          <w:b/>
          <w:bCs/>
          <w:sz w:val="20"/>
          <w:szCs w:val="20"/>
        </w:rPr>
        <w:t>como associações de direito privado sem fins lucrativos</w:t>
      </w:r>
      <w:r w:rsidRPr="00B06578">
        <w:rPr>
          <w:sz w:val="20"/>
          <w:szCs w:val="20"/>
        </w:rPr>
        <w:t>.</w:t>
      </w:r>
    </w:p>
    <w:p w14:paraId="03F195CC" w14:textId="553053AD" w:rsidR="0049567B" w:rsidRDefault="00B06578" w:rsidP="00B06578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No plano digital, a </w:t>
      </w:r>
      <w:r w:rsidRPr="00B06578">
        <w:rPr>
          <w:b/>
          <w:bCs/>
          <w:sz w:val="20"/>
          <w:szCs w:val="20"/>
        </w:rPr>
        <w:t>maturidade dos CIC ainda é reduzida</w:t>
      </w:r>
      <w:r w:rsidRPr="00B06578">
        <w:rPr>
          <w:sz w:val="20"/>
          <w:szCs w:val="20"/>
        </w:rPr>
        <w:t xml:space="preserve">, com destaque para a </w:t>
      </w:r>
      <w:r w:rsidRPr="00B06578">
        <w:rPr>
          <w:b/>
          <w:bCs/>
          <w:sz w:val="20"/>
          <w:szCs w:val="20"/>
        </w:rPr>
        <w:t>automação de processos operacionais (37%)</w:t>
      </w:r>
      <w:r w:rsidRPr="00B06578">
        <w:rPr>
          <w:sz w:val="20"/>
          <w:szCs w:val="20"/>
        </w:rPr>
        <w:t xml:space="preserve"> e a </w:t>
      </w:r>
      <w:r w:rsidRPr="00B06578">
        <w:rPr>
          <w:b/>
          <w:bCs/>
          <w:sz w:val="20"/>
          <w:szCs w:val="20"/>
        </w:rPr>
        <w:t>gestão e integração de dados (32%)</w:t>
      </w:r>
      <w:r w:rsidRPr="00B06578">
        <w:rPr>
          <w:sz w:val="20"/>
          <w:szCs w:val="20"/>
        </w:rPr>
        <w:t xml:space="preserve">. A prioridade vai para a </w:t>
      </w:r>
      <w:r w:rsidRPr="00B06578">
        <w:rPr>
          <w:b/>
          <w:bCs/>
          <w:sz w:val="20"/>
          <w:szCs w:val="20"/>
        </w:rPr>
        <w:t>implementação de plataformas de gestão de ensaios clínicos (65%)</w:t>
      </w:r>
      <w:r w:rsidRPr="00B06578">
        <w:rPr>
          <w:sz w:val="20"/>
          <w:szCs w:val="20"/>
        </w:rPr>
        <w:t xml:space="preserve">, enquanto as </w:t>
      </w:r>
      <w:r w:rsidRPr="00B06578">
        <w:rPr>
          <w:b/>
          <w:bCs/>
          <w:sz w:val="20"/>
          <w:szCs w:val="20"/>
        </w:rPr>
        <w:t>plataformas de recrutamento de doentes (55%)</w:t>
      </w:r>
      <w:r w:rsidRPr="00B06578">
        <w:rPr>
          <w:sz w:val="20"/>
          <w:szCs w:val="20"/>
        </w:rPr>
        <w:t xml:space="preserve"> ganham relevância crescente.</w:t>
      </w:r>
    </w:p>
    <w:p w14:paraId="30E8ADA0" w14:textId="43E3A28B" w:rsidR="0049567B" w:rsidRPr="00642110" w:rsidRDefault="0049567B" w:rsidP="00B06578">
      <w:pPr>
        <w:jc w:val="both"/>
        <w:rPr>
          <w:b/>
          <w:bCs/>
        </w:rPr>
      </w:pPr>
      <w:r w:rsidRPr="00642110">
        <w:rPr>
          <w:i/>
          <w:iCs/>
        </w:rPr>
        <w:t xml:space="preserve">“A inovação clínica não depende apenas de tecnologia, depende de pessoas capacitadas e estruturas ágeis. O Barómetro 2025 mostra que, sem autonomia nos </w:t>
      </w:r>
      <w:r w:rsidR="00F65667" w:rsidRPr="00642110">
        <w:rPr>
          <w:i/>
          <w:iCs/>
        </w:rPr>
        <w:t>C</w:t>
      </w:r>
      <w:r w:rsidRPr="00642110">
        <w:rPr>
          <w:i/>
          <w:iCs/>
        </w:rPr>
        <w:t xml:space="preserve">entros </w:t>
      </w:r>
      <w:r w:rsidR="00F65667" w:rsidRPr="00642110">
        <w:rPr>
          <w:i/>
          <w:iCs/>
        </w:rPr>
        <w:t xml:space="preserve">de Investigação Clínica </w:t>
      </w:r>
      <w:r w:rsidRPr="00642110">
        <w:rPr>
          <w:i/>
          <w:iCs/>
        </w:rPr>
        <w:t xml:space="preserve">e tempo nos </w:t>
      </w:r>
      <w:r w:rsidR="00D107E8" w:rsidRPr="00642110">
        <w:rPr>
          <w:i/>
          <w:iCs/>
        </w:rPr>
        <w:t>planos curriculares dos cursos de medicina</w:t>
      </w:r>
      <w:r w:rsidRPr="00642110">
        <w:rPr>
          <w:i/>
          <w:iCs/>
        </w:rPr>
        <w:t>, Portugal arrisca perder o ritmo da transformação digital na saúde</w:t>
      </w:r>
      <w:r w:rsidR="00F73693" w:rsidRPr="00642110">
        <w:rPr>
          <w:i/>
          <w:iCs/>
        </w:rPr>
        <w:t xml:space="preserve">, o que será muito penalizador para a qualidade da prestação de cuidados, mas também para a capacidade que o país terá de captar grandes investimentos em investigação e inovação </w:t>
      </w:r>
      <w:r w:rsidR="001D3F15" w:rsidRPr="00642110">
        <w:rPr>
          <w:i/>
          <w:iCs/>
        </w:rPr>
        <w:t>clínica</w:t>
      </w:r>
      <w:r w:rsidRPr="00642110">
        <w:rPr>
          <w:i/>
          <w:iCs/>
        </w:rPr>
        <w:t>”</w:t>
      </w:r>
      <w:r w:rsidRPr="00642110">
        <w:t xml:space="preserve">, afirma </w:t>
      </w:r>
      <w:r w:rsidRPr="00642110">
        <w:rPr>
          <w:b/>
          <w:bCs/>
        </w:rPr>
        <w:t>Patr</w:t>
      </w:r>
      <w:r w:rsidR="00E57160" w:rsidRPr="00642110">
        <w:rPr>
          <w:b/>
          <w:bCs/>
        </w:rPr>
        <w:t>í</w:t>
      </w:r>
      <w:r w:rsidRPr="00642110">
        <w:rPr>
          <w:b/>
          <w:bCs/>
        </w:rPr>
        <w:t>cia Calado</w:t>
      </w:r>
      <w:r w:rsidRPr="00642110">
        <w:t xml:space="preserve">, </w:t>
      </w:r>
      <w:proofErr w:type="spellStart"/>
      <w:r w:rsidRPr="00642110">
        <w:rPr>
          <w:b/>
          <w:bCs/>
        </w:rPr>
        <w:t>Head</w:t>
      </w:r>
      <w:proofErr w:type="spellEnd"/>
      <w:r w:rsidRPr="00642110">
        <w:rPr>
          <w:b/>
          <w:bCs/>
        </w:rPr>
        <w:t xml:space="preserve"> </w:t>
      </w:r>
      <w:proofErr w:type="spellStart"/>
      <w:r w:rsidRPr="00642110">
        <w:rPr>
          <w:b/>
          <w:bCs/>
        </w:rPr>
        <w:t>of</w:t>
      </w:r>
      <w:proofErr w:type="spellEnd"/>
      <w:r w:rsidRPr="00642110">
        <w:rPr>
          <w:b/>
          <w:bCs/>
        </w:rPr>
        <w:t xml:space="preserve"> </w:t>
      </w:r>
      <w:proofErr w:type="spellStart"/>
      <w:r w:rsidRPr="00642110">
        <w:rPr>
          <w:b/>
          <w:bCs/>
        </w:rPr>
        <w:t>Clinical</w:t>
      </w:r>
      <w:proofErr w:type="spellEnd"/>
      <w:r w:rsidRPr="00642110">
        <w:rPr>
          <w:b/>
          <w:bCs/>
        </w:rPr>
        <w:t xml:space="preserve"> </w:t>
      </w:r>
      <w:proofErr w:type="spellStart"/>
      <w:r w:rsidRPr="00642110">
        <w:rPr>
          <w:b/>
          <w:bCs/>
        </w:rPr>
        <w:t>Innovation</w:t>
      </w:r>
      <w:proofErr w:type="spellEnd"/>
      <w:r w:rsidRPr="00642110">
        <w:rPr>
          <w:b/>
          <w:bCs/>
        </w:rPr>
        <w:t xml:space="preserve"> da NTT DATA Portugal.</w:t>
      </w:r>
    </w:p>
    <w:p w14:paraId="23BC8AA7" w14:textId="77777777" w:rsidR="00F73693" w:rsidRPr="00F73693" w:rsidRDefault="00F73693" w:rsidP="00B06578">
      <w:pPr>
        <w:jc w:val="both"/>
        <w:rPr>
          <w:b/>
          <w:bCs/>
          <w:sz w:val="28"/>
          <w:szCs w:val="28"/>
        </w:rPr>
      </w:pPr>
    </w:p>
    <w:p w14:paraId="66DD53C3" w14:textId="77777777" w:rsidR="00B06578" w:rsidRPr="00B06578" w:rsidRDefault="00B06578" w:rsidP="00B06578">
      <w:pPr>
        <w:jc w:val="both"/>
        <w:rPr>
          <w:b/>
          <w:bCs/>
          <w:color w:val="0070C0"/>
          <w:sz w:val="20"/>
          <w:szCs w:val="20"/>
        </w:rPr>
      </w:pPr>
      <w:r w:rsidRPr="00B06578">
        <w:rPr>
          <w:b/>
          <w:bCs/>
          <w:color w:val="0070C0"/>
          <w:sz w:val="20"/>
          <w:szCs w:val="20"/>
        </w:rPr>
        <w:t>Um sistema de saúde mais inovador, mais digital e mais próximo dos cidadãos</w:t>
      </w:r>
    </w:p>
    <w:p w14:paraId="53E35088" w14:textId="325E2751" w:rsidR="00B06578" w:rsidRPr="00B06578" w:rsidRDefault="00B06578" w:rsidP="00B06578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lastRenderedPageBreak/>
        <w:t xml:space="preserve">O Barómetro de Inovação Clínica 2025 reforça a necessidade de uma </w:t>
      </w:r>
      <w:r w:rsidRPr="00B06578">
        <w:rPr>
          <w:b/>
          <w:bCs/>
          <w:sz w:val="20"/>
          <w:szCs w:val="20"/>
        </w:rPr>
        <w:t>dupla transformação</w:t>
      </w:r>
      <w:r w:rsidRPr="00B06578">
        <w:rPr>
          <w:sz w:val="20"/>
          <w:szCs w:val="20"/>
        </w:rPr>
        <w:t xml:space="preserve">: </w:t>
      </w:r>
      <w:r w:rsidRPr="00B06578">
        <w:rPr>
          <w:b/>
          <w:bCs/>
          <w:sz w:val="20"/>
          <w:szCs w:val="20"/>
        </w:rPr>
        <w:t>CIC mais autónomos, digitalizados e eficientes</w:t>
      </w:r>
      <w:r w:rsidRPr="00B06578">
        <w:rPr>
          <w:sz w:val="20"/>
          <w:szCs w:val="20"/>
        </w:rPr>
        <w:t xml:space="preserve">, e </w:t>
      </w:r>
      <w:r w:rsidRPr="00B06578">
        <w:rPr>
          <w:b/>
          <w:bCs/>
          <w:sz w:val="20"/>
          <w:szCs w:val="20"/>
        </w:rPr>
        <w:t>profissionais de saúde preparados para trabalhar com tecnologia</w:t>
      </w:r>
      <w:r w:rsidR="008728D6">
        <w:rPr>
          <w:b/>
          <w:bCs/>
          <w:sz w:val="20"/>
          <w:szCs w:val="20"/>
        </w:rPr>
        <w:t>s digitais</w:t>
      </w:r>
      <w:r w:rsidRPr="00B06578">
        <w:rPr>
          <w:b/>
          <w:bCs/>
          <w:sz w:val="20"/>
          <w:szCs w:val="20"/>
        </w:rPr>
        <w:t xml:space="preserve">, </w:t>
      </w:r>
      <w:r w:rsidR="002C5975">
        <w:rPr>
          <w:b/>
          <w:bCs/>
          <w:sz w:val="20"/>
          <w:szCs w:val="20"/>
        </w:rPr>
        <w:t xml:space="preserve">ciência de </w:t>
      </w:r>
      <w:r w:rsidRPr="00B06578">
        <w:rPr>
          <w:b/>
          <w:bCs/>
          <w:sz w:val="20"/>
          <w:szCs w:val="20"/>
        </w:rPr>
        <w:t xml:space="preserve">dados e novas </w:t>
      </w:r>
      <w:r w:rsidR="006F06AA">
        <w:rPr>
          <w:b/>
          <w:bCs/>
          <w:sz w:val="20"/>
          <w:szCs w:val="20"/>
        </w:rPr>
        <w:t>abordagens</w:t>
      </w:r>
      <w:r w:rsidR="006F06AA" w:rsidRPr="00B06578">
        <w:rPr>
          <w:b/>
          <w:bCs/>
          <w:sz w:val="20"/>
          <w:szCs w:val="20"/>
        </w:rPr>
        <w:t xml:space="preserve"> </w:t>
      </w:r>
      <w:r w:rsidR="00217577">
        <w:rPr>
          <w:b/>
          <w:bCs/>
          <w:sz w:val="20"/>
          <w:szCs w:val="20"/>
        </w:rPr>
        <w:t>clínicas</w:t>
      </w:r>
      <w:r w:rsidRPr="00B06578">
        <w:rPr>
          <w:sz w:val="20"/>
          <w:szCs w:val="20"/>
        </w:rPr>
        <w:t>.</w:t>
      </w:r>
    </w:p>
    <w:p w14:paraId="52955270" w14:textId="77777777" w:rsidR="00B06578" w:rsidRDefault="00B06578" w:rsidP="00B06578">
      <w:pPr>
        <w:jc w:val="both"/>
        <w:rPr>
          <w:sz w:val="20"/>
          <w:szCs w:val="20"/>
        </w:rPr>
      </w:pPr>
      <w:r w:rsidRPr="00B06578">
        <w:rPr>
          <w:sz w:val="20"/>
          <w:szCs w:val="20"/>
        </w:rPr>
        <w:t xml:space="preserve">A NTT DATA acredita que só com esta visão integrada será possível construir um </w:t>
      </w:r>
      <w:r w:rsidRPr="00B06578">
        <w:rPr>
          <w:b/>
          <w:bCs/>
          <w:sz w:val="20"/>
          <w:szCs w:val="20"/>
        </w:rPr>
        <w:t>ecossistema de inovação clínica sustentável</w:t>
      </w:r>
      <w:r w:rsidRPr="00B06578">
        <w:rPr>
          <w:sz w:val="20"/>
          <w:szCs w:val="20"/>
        </w:rPr>
        <w:t>, capaz de gerar valor para os doentes, para as instituições e para o país.</w:t>
      </w:r>
    </w:p>
    <w:p w14:paraId="0A16F44E" w14:textId="2CAE844D" w:rsidR="00B06578" w:rsidRDefault="00854D42" w:rsidP="00B06578">
      <w:pPr>
        <w:jc w:val="both"/>
        <w:rPr>
          <w:sz w:val="20"/>
          <w:szCs w:val="20"/>
        </w:rPr>
      </w:pPr>
      <w:r w:rsidRPr="00854D42">
        <w:rPr>
          <w:sz w:val="20"/>
          <w:szCs w:val="20"/>
        </w:rPr>
        <w:t>O Barómetro foi apresentado durante a atribuição dos Prémios Inovação em Saúde – Todos pela Sustentabilidade, uma iniciativa conjunta da Faculdade de Medicina da Universidade de Lisboa, da Sanofi e da NTT DATA, que teve lugar na aula magna da FMUL.</w:t>
      </w:r>
    </w:p>
    <w:p w14:paraId="36A70AF1" w14:textId="77777777" w:rsidR="00827121" w:rsidRDefault="00827121" w:rsidP="00B06578">
      <w:pPr>
        <w:jc w:val="both"/>
        <w:rPr>
          <w:sz w:val="20"/>
          <w:szCs w:val="20"/>
        </w:rPr>
      </w:pPr>
    </w:p>
    <w:p w14:paraId="41A99653" w14:textId="69DF9A3F" w:rsidR="00B06578" w:rsidRDefault="00EF4714" w:rsidP="00B06578">
      <w:p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B065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relatório completo do </w:t>
      </w:r>
      <w:r w:rsidR="00B06578">
        <w:rPr>
          <w:sz w:val="20"/>
          <w:szCs w:val="20"/>
        </w:rPr>
        <w:t xml:space="preserve">Barómetro de Inovação Clínica </w:t>
      </w:r>
      <w:r>
        <w:rPr>
          <w:sz w:val="20"/>
          <w:szCs w:val="20"/>
        </w:rPr>
        <w:t xml:space="preserve">2025 pode ser consultado </w:t>
      </w:r>
      <w:r w:rsidR="00B06578">
        <w:rPr>
          <w:sz w:val="20"/>
          <w:szCs w:val="20"/>
        </w:rPr>
        <w:t xml:space="preserve">em </w:t>
      </w:r>
      <w:hyperlink r:id="rId9" w:history="1">
        <w:r w:rsidR="00A74182" w:rsidRPr="00A74182">
          <w:rPr>
            <w:rStyle w:val="Hiperligao"/>
            <w:sz w:val="20"/>
            <w:szCs w:val="20"/>
          </w:rPr>
          <w:t>pt.nt</w:t>
        </w:r>
        <w:r w:rsidR="00A74182" w:rsidRPr="00A74182">
          <w:rPr>
            <w:rStyle w:val="Hiperligao"/>
            <w:sz w:val="20"/>
            <w:szCs w:val="20"/>
          </w:rPr>
          <w:t>t</w:t>
        </w:r>
        <w:r w:rsidR="00A74182" w:rsidRPr="00A74182">
          <w:rPr>
            <w:rStyle w:val="Hiperligao"/>
            <w:sz w:val="20"/>
            <w:szCs w:val="20"/>
          </w:rPr>
          <w:t>data.com</w:t>
        </w:r>
      </w:hyperlink>
    </w:p>
    <w:p w14:paraId="5772C86A" w14:textId="77777777" w:rsidR="00E12D3D" w:rsidRDefault="00E12D3D" w:rsidP="00B06578">
      <w:pPr>
        <w:jc w:val="both"/>
        <w:rPr>
          <w:sz w:val="20"/>
          <w:szCs w:val="20"/>
        </w:rPr>
      </w:pPr>
    </w:p>
    <w:p w14:paraId="5930855F" w14:textId="1ECBC622" w:rsidR="00E12D3D" w:rsidRPr="00F73693" w:rsidRDefault="00827121" w:rsidP="00B06578">
      <w:pPr>
        <w:jc w:val="both"/>
        <w:rPr>
          <w:b/>
          <w:bCs/>
          <w:sz w:val="16"/>
          <w:szCs w:val="16"/>
        </w:rPr>
      </w:pPr>
      <w:r w:rsidRPr="00F73693">
        <w:rPr>
          <w:b/>
          <w:bCs/>
          <w:sz w:val="16"/>
          <w:szCs w:val="16"/>
        </w:rPr>
        <w:t>Sobre a NTT DATA</w:t>
      </w:r>
    </w:p>
    <w:p w14:paraId="4FFFB63B" w14:textId="77777777" w:rsidR="00827121" w:rsidRPr="00F73693" w:rsidRDefault="00827121" w:rsidP="00827121">
      <w:pPr>
        <w:jc w:val="both"/>
        <w:rPr>
          <w:sz w:val="16"/>
          <w:szCs w:val="16"/>
        </w:rPr>
      </w:pPr>
      <w:r w:rsidRPr="00F73693">
        <w:rPr>
          <w:sz w:val="16"/>
          <w:szCs w:val="16"/>
        </w:rPr>
        <w:t>A NTT DATA é uma empresa líder em serviços de negócio e tecnologia, com um volume de negócios superior a 30 mil milhões de dólares, que presta serviços a 75% das empresas do Fortune Global 100. Estamos empenhados em acelerar o sucesso dos clientes e em ter um impacto positivo na sociedade através da inovação responsável. </w:t>
      </w:r>
    </w:p>
    <w:p w14:paraId="1FFEDE30" w14:textId="77777777" w:rsidR="00827121" w:rsidRPr="00F73693" w:rsidRDefault="00827121" w:rsidP="00827121">
      <w:pPr>
        <w:jc w:val="both"/>
        <w:rPr>
          <w:sz w:val="16"/>
          <w:szCs w:val="16"/>
        </w:rPr>
      </w:pPr>
      <w:r w:rsidRPr="00F73693">
        <w:rPr>
          <w:sz w:val="16"/>
          <w:szCs w:val="16"/>
        </w:rPr>
        <w:t xml:space="preserve">Somos um dos principais fornecedores mundiais de infraestruturas digitais e inteligência artificial, com capacidades incomparáveis em IA à escala empresarial, </w:t>
      </w:r>
      <w:proofErr w:type="spellStart"/>
      <w:r w:rsidRPr="00F73693">
        <w:rPr>
          <w:i/>
          <w:iCs/>
          <w:sz w:val="16"/>
          <w:szCs w:val="16"/>
        </w:rPr>
        <w:t>cloud</w:t>
      </w:r>
      <w:proofErr w:type="spellEnd"/>
      <w:r w:rsidRPr="00F73693">
        <w:rPr>
          <w:i/>
          <w:iCs/>
          <w:sz w:val="16"/>
          <w:szCs w:val="16"/>
        </w:rPr>
        <w:t>,</w:t>
      </w:r>
      <w:r w:rsidRPr="00F73693">
        <w:rPr>
          <w:sz w:val="16"/>
          <w:szCs w:val="16"/>
        </w:rPr>
        <w:t xml:space="preserve"> segurança, conectividade, centros de dados e serviços de aplicações. As nossas soluções de consultoria e de especialização setorial ajudam organizações e comunidades a avançar com confiança e sustentabilidade em direção ao futuro digital. </w:t>
      </w:r>
    </w:p>
    <w:p w14:paraId="0F9E885E" w14:textId="4583DCE3" w:rsidR="00827121" w:rsidRPr="00F73693" w:rsidRDefault="00827121" w:rsidP="00827121">
      <w:pPr>
        <w:jc w:val="both"/>
        <w:rPr>
          <w:sz w:val="16"/>
          <w:szCs w:val="16"/>
        </w:rPr>
      </w:pPr>
      <w:r w:rsidRPr="00F73693">
        <w:rPr>
          <w:sz w:val="16"/>
          <w:szCs w:val="16"/>
        </w:rPr>
        <w:t xml:space="preserve">Como </w:t>
      </w:r>
      <w:r w:rsidRPr="00F73693">
        <w:rPr>
          <w:i/>
          <w:iCs/>
          <w:sz w:val="16"/>
          <w:szCs w:val="16"/>
        </w:rPr>
        <w:t xml:space="preserve">Global Top </w:t>
      </w:r>
      <w:proofErr w:type="spellStart"/>
      <w:r w:rsidRPr="00F73693">
        <w:rPr>
          <w:i/>
          <w:iCs/>
          <w:sz w:val="16"/>
          <w:szCs w:val="16"/>
        </w:rPr>
        <w:t>Employer</w:t>
      </w:r>
      <w:proofErr w:type="spellEnd"/>
      <w:r w:rsidRPr="00F73693">
        <w:rPr>
          <w:sz w:val="16"/>
          <w:szCs w:val="16"/>
        </w:rPr>
        <w:t xml:space="preserve">, contamos com especialistas em mais de 50 países. Oferecemos também aos nossos clientes acesso a um ecossistema robusto de centros de inovação, bem como a parceiros consolidados e </w:t>
      </w:r>
      <w:r w:rsidR="00F73693" w:rsidRPr="00F73693">
        <w:rPr>
          <w:i/>
          <w:iCs/>
          <w:sz w:val="16"/>
          <w:szCs w:val="16"/>
        </w:rPr>
        <w:t>start-ups</w:t>
      </w:r>
      <w:r w:rsidRPr="00F73693">
        <w:rPr>
          <w:sz w:val="16"/>
          <w:szCs w:val="16"/>
        </w:rPr>
        <w:t>. A NTT DATA faz parte do Grupo NTT, que investe mais de 3 mil milhões de dólares por ano em investigação e desenvolvimento. </w:t>
      </w:r>
    </w:p>
    <w:p w14:paraId="723D4A38" w14:textId="77777777" w:rsidR="00827121" w:rsidRPr="00B06578" w:rsidRDefault="00827121" w:rsidP="00B06578">
      <w:pPr>
        <w:jc w:val="both"/>
        <w:rPr>
          <w:sz w:val="20"/>
          <w:szCs w:val="20"/>
        </w:rPr>
      </w:pPr>
    </w:p>
    <w:p w14:paraId="676452EC" w14:textId="77777777" w:rsidR="00573365" w:rsidRDefault="00573365" w:rsidP="00B06578">
      <w:pPr>
        <w:jc w:val="both"/>
      </w:pPr>
    </w:p>
    <w:sectPr w:rsidR="0057336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C2C7" w14:textId="77777777" w:rsidR="00FD503E" w:rsidRDefault="00FD503E" w:rsidP="00E12D3D">
      <w:pPr>
        <w:spacing w:after="0" w:line="240" w:lineRule="auto"/>
      </w:pPr>
      <w:r>
        <w:separator/>
      </w:r>
    </w:p>
  </w:endnote>
  <w:endnote w:type="continuationSeparator" w:id="0">
    <w:p w14:paraId="17B45CC1" w14:textId="77777777" w:rsidR="00FD503E" w:rsidRDefault="00FD503E" w:rsidP="00E1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67A1" w14:textId="77777777" w:rsidR="00FD503E" w:rsidRDefault="00FD503E" w:rsidP="00E12D3D">
      <w:pPr>
        <w:spacing w:after="0" w:line="240" w:lineRule="auto"/>
      </w:pPr>
      <w:r>
        <w:separator/>
      </w:r>
    </w:p>
  </w:footnote>
  <w:footnote w:type="continuationSeparator" w:id="0">
    <w:p w14:paraId="055A259B" w14:textId="77777777" w:rsidR="00FD503E" w:rsidRDefault="00FD503E" w:rsidP="00E1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AFA6" w14:textId="6505B6A3" w:rsidR="00E12D3D" w:rsidRDefault="00E12D3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0A4917" wp14:editId="6674C88D">
          <wp:simplePos x="0" y="0"/>
          <wp:positionH relativeFrom="margin">
            <wp:align>right</wp:align>
          </wp:positionH>
          <wp:positionV relativeFrom="paragraph">
            <wp:posOffset>-175847</wp:posOffset>
          </wp:positionV>
          <wp:extent cx="1638935" cy="450215"/>
          <wp:effectExtent l="0" t="0" r="0" b="0"/>
          <wp:wrapTight wrapText="bothSides">
            <wp:wrapPolygon edited="0">
              <wp:start x="2260" y="1828"/>
              <wp:lineTo x="1506" y="7312"/>
              <wp:lineTo x="1506" y="12795"/>
              <wp:lineTo x="2511" y="19193"/>
              <wp:lineTo x="4770" y="19193"/>
              <wp:lineTo x="19583" y="14623"/>
              <wp:lineTo x="19583" y="5484"/>
              <wp:lineTo x="5021" y="1828"/>
              <wp:lineTo x="2260" y="1828"/>
            </wp:wrapPolygon>
          </wp:wrapTight>
          <wp:docPr id="1704100274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Comunicado de imprensa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78"/>
    <w:rsid w:val="00007FF5"/>
    <w:rsid w:val="000222BF"/>
    <w:rsid w:val="000246B4"/>
    <w:rsid w:val="00040F97"/>
    <w:rsid w:val="0004583E"/>
    <w:rsid w:val="00076DD6"/>
    <w:rsid w:val="0007771B"/>
    <w:rsid w:val="00083746"/>
    <w:rsid w:val="000973ED"/>
    <w:rsid w:val="000C2F19"/>
    <w:rsid w:val="000C5938"/>
    <w:rsid w:val="000D3AB2"/>
    <w:rsid w:val="000F3389"/>
    <w:rsid w:val="00114A2F"/>
    <w:rsid w:val="0015164B"/>
    <w:rsid w:val="001852E2"/>
    <w:rsid w:val="001A00B4"/>
    <w:rsid w:val="001A6867"/>
    <w:rsid w:val="001B5183"/>
    <w:rsid w:val="001C0D8C"/>
    <w:rsid w:val="001D3F15"/>
    <w:rsid w:val="001F29C0"/>
    <w:rsid w:val="00207C83"/>
    <w:rsid w:val="00217577"/>
    <w:rsid w:val="00270ECB"/>
    <w:rsid w:val="00273A20"/>
    <w:rsid w:val="002750CA"/>
    <w:rsid w:val="00293160"/>
    <w:rsid w:val="002A7C27"/>
    <w:rsid w:val="002B59A8"/>
    <w:rsid w:val="002B7632"/>
    <w:rsid w:val="002C0F94"/>
    <w:rsid w:val="002C5975"/>
    <w:rsid w:val="002C78F7"/>
    <w:rsid w:val="002E1B32"/>
    <w:rsid w:val="002F405E"/>
    <w:rsid w:val="00316FBF"/>
    <w:rsid w:val="00320AFF"/>
    <w:rsid w:val="00394198"/>
    <w:rsid w:val="003C083B"/>
    <w:rsid w:val="003F3C17"/>
    <w:rsid w:val="00423CA6"/>
    <w:rsid w:val="00426BCA"/>
    <w:rsid w:val="0045603F"/>
    <w:rsid w:val="00494ABF"/>
    <w:rsid w:val="0049567B"/>
    <w:rsid w:val="004C0EFE"/>
    <w:rsid w:val="004C14BF"/>
    <w:rsid w:val="004D4503"/>
    <w:rsid w:val="005301D2"/>
    <w:rsid w:val="00531ED3"/>
    <w:rsid w:val="00534549"/>
    <w:rsid w:val="00562C2B"/>
    <w:rsid w:val="00573365"/>
    <w:rsid w:val="00575205"/>
    <w:rsid w:val="00575DE3"/>
    <w:rsid w:val="00576380"/>
    <w:rsid w:val="005B1CA4"/>
    <w:rsid w:val="005B5E86"/>
    <w:rsid w:val="005C4DF5"/>
    <w:rsid w:val="005D2AF0"/>
    <w:rsid w:val="005D70A5"/>
    <w:rsid w:val="005E1D24"/>
    <w:rsid w:val="005F78B7"/>
    <w:rsid w:val="00603A7A"/>
    <w:rsid w:val="00605778"/>
    <w:rsid w:val="00632EB8"/>
    <w:rsid w:val="00636AE2"/>
    <w:rsid w:val="00642110"/>
    <w:rsid w:val="00651DC7"/>
    <w:rsid w:val="00662AB1"/>
    <w:rsid w:val="00694B17"/>
    <w:rsid w:val="006A2502"/>
    <w:rsid w:val="006B19B1"/>
    <w:rsid w:val="006B5ED7"/>
    <w:rsid w:val="006B6634"/>
    <w:rsid w:val="006D2C53"/>
    <w:rsid w:val="006D7744"/>
    <w:rsid w:val="006F06AA"/>
    <w:rsid w:val="007055F2"/>
    <w:rsid w:val="00711B8D"/>
    <w:rsid w:val="007149FF"/>
    <w:rsid w:val="00731A54"/>
    <w:rsid w:val="0073296E"/>
    <w:rsid w:val="00753A31"/>
    <w:rsid w:val="0078284A"/>
    <w:rsid w:val="007A0E95"/>
    <w:rsid w:val="007A60BE"/>
    <w:rsid w:val="007C4A54"/>
    <w:rsid w:val="007C55DF"/>
    <w:rsid w:val="007D5624"/>
    <w:rsid w:val="007D7AAD"/>
    <w:rsid w:val="007E032C"/>
    <w:rsid w:val="007F2C07"/>
    <w:rsid w:val="008044F2"/>
    <w:rsid w:val="008209E9"/>
    <w:rsid w:val="00823F09"/>
    <w:rsid w:val="00825E33"/>
    <w:rsid w:val="00827121"/>
    <w:rsid w:val="008317A1"/>
    <w:rsid w:val="00854D42"/>
    <w:rsid w:val="008728D6"/>
    <w:rsid w:val="00885E66"/>
    <w:rsid w:val="008A0D60"/>
    <w:rsid w:val="008C4D18"/>
    <w:rsid w:val="008C536B"/>
    <w:rsid w:val="008F7C3D"/>
    <w:rsid w:val="00922CBD"/>
    <w:rsid w:val="00930441"/>
    <w:rsid w:val="0093541F"/>
    <w:rsid w:val="0093745D"/>
    <w:rsid w:val="00937F79"/>
    <w:rsid w:val="00951FA5"/>
    <w:rsid w:val="009726F9"/>
    <w:rsid w:val="009C263B"/>
    <w:rsid w:val="009C36E0"/>
    <w:rsid w:val="009E3AE2"/>
    <w:rsid w:val="009E40F7"/>
    <w:rsid w:val="009F3400"/>
    <w:rsid w:val="009F728E"/>
    <w:rsid w:val="00A068E9"/>
    <w:rsid w:val="00A35663"/>
    <w:rsid w:val="00A4266E"/>
    <w:rsid w:val="00A50684"/>
    <w:rsid w:val="00A55187"/>
    <w:rsid w:val="00A57991"/>
    <w:rsid w:val="00A63FAB"/>
    <w:rsid w:val="00A66C2D"/>
    <w:rsid w:val="00A72FE5"/>
    <w:rsid w:val="00A74182"/>
    <w:rsid w:val="00A850C0"/>
    <w:rsid w:val="00A9230B"/>
    <w:rsid w:val="00A97FDD"/>
    <w:rsid w:val="00AA0DFC"/>
    <w:rsid w:val="00B04A3A"/>
    <w:rsid w:val="00B06578"/>
    <w:rsid w:val="00B215E9"/>
    <w:rsid w:val="00B34C16"/>
    <w:rsid w:val="00B94ACD"/>
    <w:rsid w:val="00BA236A"/>
    <w:rsid w:val="00BA7FFC"/>
    <w:rsid w:val="00BC6B08"/>
    <w:rsid w:val="00BD09B2"/>
    <w:rsid w:val="00BF0098"/>
    <w:rsid w:val="00C04A9A"/>
    <w:rsid w:val="00C1453E"/>
    <w:rsid w:val="00C15D6B"/>
    <w:rsid w:val="00C40ABA"/>
    <w:rsid w:val="00C546A4"/>
    <w:rsid w:val="00C759B2"/>
    <w:rsid w:val="00C76436"/>
    <w:rsid w:val="00C8564B"/>
    <w:rsid w:val="00C935FD"/>
    <w:rsid w:val="00CA1DDA"/>
    <w:rsid w:val="00CB6BB3"/>
    <w:rsid w:val="00CE2BCC"/>
    <w:rsid w:val="00D107E8"/>
    <w:rsid w:val="00D156CC"/>
    <w:rsid w:val="00D638A7"/>
    <w:rsid w:val="00D758C8"/>
    <w:rsid w:val="00D80AF0"/>
    <w:rsid w:val="00DA65A4"/>
    <w:rsid w:val="00DB1F26"/>
    <w:rsid w:val="00DC6221"/>
    <w:rsid w:val="00E102A9"/>
    <w:rsid w:val="00E12D3D"/>
    <w:rsid w:val="00E36AAC"/>
    <w:rsid w:val="00E56D35"/>
    <w:rsid w:val="00E57160"/>
    <w:rsid w:val="00E60C3C"/>
    <w:rsid w:val="00E76ECD"/>
    <w:rsid w:val="00E924AB"/>
    <w:rsid w:val="00EA592E"/>
    <w:rsid w:val="00EE71F7"/>
    <w:rsid w:val="00EF4714"/>
    <w:rsid w:val="00F05954"/>
    <w:rsid w:val="00F245D0"/>
    <w:rsid w:val="00F33CF3"/>
    <w:rsid w:val="00F457E0"/>
    <w:rsid w:val="00F50060"/>
    <w:rsid w:val="00F52FCB"/>
    <w:rsid w:val="00F5714E"/>
    <w:rsid w:val="00F65667"/>
    <w:rsid w:val="00F729B5"/>
    <w:rsid w:val="00F73693"/>
    <w:rsid w:val="00F7554B"/>
    <w:rsid w:val="00F801BD"/>
    <w:rsid w:val="00F86FE9"/>
    <w:rsid w:val="00F96B7F"/>
    <w:rsid w:val="00FA2EC7"/>
    <w:rsid w:val="00FD503E"/>
    <w:rsid w:val="00FF397C"/>
    <w:rsid w:val="00FF486A"/>
    <w:rsid w:val="01D74EF6"/>
    <w:rsid w:val="0627EC69"/>
    <w:rsid w:val="062E0A06"/>
    <w:rsid w:val="15A49EEB"/>
    <w:rsid w:val="184B3C94"/>
    <w:rsid w:val="1E3D70AA"/>
    <w:rsid w:val="1FD81DB0"/>
    <w:rsid w:val="211A1FEF"/>
    <w:rsid w:val="283C0D97"/>
    <w:rsid w:val="2C97B3D0"/>
    <w:rsid w:val="36D3F351"/>
    <w:rsid w:val="3F768226"/>
    <w:rsid w:val="42F3E5FC"/>
    <w:rsid w:val="4486B8D1"/>
    <w:rsid w:val="45C5FFA5"/>
    <w:rsid w:val="4982E990"/>
    <w:rsid w:val="54D7DF84"/>
    <w:rsid w:val="575D458C"/>
    <w:rsid w:val="5AAB55DF"/>
    <w:rsid w:val="632FF32D"/>
    <w:rsid w:val="656AFA74"/>
    <w:rsid w:val="743BB761"/>
    <w:rsid w:val="7A9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818E"/>
  <w15:chartTrackingRefBased/>
  <w15:docId w15:val="{3F7F979D-F349-4BBA-A608-874AB7F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0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0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6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0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06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0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0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0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0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0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0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6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06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065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06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065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06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06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0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0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0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0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0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065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65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065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0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065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0657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12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2D3D"/>
  </w:style>
  <w:style w:type="paragraph" w:styleId="Rodap">
    <w:name w:val="footer"/>
    <w:basedOn w:val="Normal"/>
    <w:link w:val="RodapCarter"/>
    <w:uiPriority w:val="99"/>
    <w:unhideWhenUsed/>
    <w:rsid w:val="00E12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2D3D"/>
  </w:style>
  <w:style w:type="paragraph" w:styleId="Reviso">
    <w:name w:val="Revision"/>
    <w:hidden/>
    <w:uiPriority w:val="99"/>
    <w:semiHidden/>
    <w:rsid w:val="00B34C16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937F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37F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37F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37F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37F79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A7418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7418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421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5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t.nttdata.com/newsfolder/falta-de-autonomia-dos-cic-e-planos-curriculares-sem-espaco-para-o-digital-travam-inovacao-na-sau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b5d46f58f50ff91847c793d897a62e70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c0ac7fd81bee7bad4feb1d6cd531b8f6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Props1.xml><?xml version="1.0" encoding="utf-8"?>
<ds:datastoreItem xmlns:ds="http://schemas.openxmlformats.org/officeDocument/2006/customXml" ds:itemID="{F5786F35-112E-4D2C-B0A3-EF0846712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27ABE-492C-48CE-98A8-EEABCF16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BFF5D-C865-4AD5-BF62-3322571CC38B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6850</Characters>
  <Application>Microsoft Office Word</Application>
  <DocSecurity>0</DocSecurity>
  <Lines>57</Lines>
  <Paragraphs>16</Paragraphs>
  <ScaleCrop>false</ScaleCrop>
  <Company>NTT Data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Figueiredo Augusto</dc:creator>
  <cp:keywords/>
  <dc:description/>
  <cp:lastModifiedBy>Ana Santos</cp:lastModifiedBy>
  <cp:revision>3</cp:revision>
  <dcterms:created xsi:type="dcterms:W3CDTF">2025-11-25T16:36:00Z</dcterms:created>
  <dcterms:modified xsi:type="dcterms:W3CDTF">2025-11-25T17:21:00Z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