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0DCC" w14:textId="77777777" w:rsidR="00380AED" w:rsidRDefault="00380AED" w:rsidP="006F2205">
      <w:pPr>
        <w:jc w:val="center"/>
        <w:rPr>
          <w:b/>
          <w:bCs/>
        </w:rPr>
      </w:pPr>
    </w:p>
    <w:p w14:paraId="01E5DB79" w14:textId="356EBF13" w:rsidR="00695A8B" w:rsidRPr="005931F0" w:rsidRDefault="007D51FD" w:rsidP="006F2205">
      <w:pPr>
        <w:jc w:val="center"/>
      </w:pPr>
      <w:r>
        <w:rPr>
          <w:b/>
          <w:bCs/>
        </w:rPr>
        <w:t xml:space="preserve">Co dalej po badaniu z okazji Movember? </w:t>
      </w:r>
      <w:r w:rsidR="006F2205">
        <w:rPr>
          <w:b/>
          <w:bCs/>
        </w:rPr>
        <w:t>Dowiedz się,</w:t>
      </w:r>
      <w:r w:rsidR="00380AED">
        <w:rPr>
          <w:b/>
          <w:bCs/>
        </w:rPr>
        <w:t xml:space="preserve"> </w:t>
      </w:r>
      <w:r w:rsidR="006F2205">
        <w:rPr>
          <w:b/>
          <w:bCs/>
        </w:rPr>
        <w:t xml:space="preserve">czym jest leczenie </w:t>
      </w:r>
      <w:r w:rsidR="00695A8B" w:rsidRPr="005931F0">
        <w:rPr>
          <w:b/>
          <w:bCs/>
        </w:rPr>
        <w:t>HIFU</w:t>
      </w:r>
    </w:p>
    <w:p w14:paraId="6179741F" w14:textId="2BE3347C" w:rsidR="004047DE" w:rsidRDefault="004047DE" w:rsidP="00BD4F23">
      <w:pPr>
        <w:spacing w:before="0" w:after="0"/>
        <w:rPr>
          <w:b/>
          <w:bCs/>
        </w:rPr>
      </w:pPr>
      <w:r>
        <w:rPr>
          <w:b/>
          <w:bCs/>
        </w:rPr>
        <w:t>Dzięki kampanii</w:t>
      </w:r>
      <w:r w:rsidRPr="004047DE">
        <w:rPr>
          <w:b/>
          <w:bCs/>
        </w:rPr>
        <w:t xml:space="preserve"> Movember wielu mężczyzn po raz pierwszy trafia na badanie prostaty. Czasem kończy się ono ulgą, ale bywa, że lekarz znajduje coś niepokojącego i trzeba podjąć decyzję o leczeniu. Czy w takiej sytuacji zawsze oznacza to rozległą operację lub radioterapię? Coraz częściej zamiast „ciężkiej artylerii” można sięgnąć po celowany zabieg HIFU, który precyzyjnie niszczy ognisko raka. </w:t>
      </w:r>
      <w:r>
        <w:rPr>
          <w:b/>
          <w:bCs/>
        </w:rPr>
        <w:t xml:space="preserve">- </w:t>
      </w:r>
      <w:r w:rsidRPr="004047DE">
        <w:rPr>
          <w:b/>
          <w:bCs/>
        </w:rPr>
        <w:t>To jak uderzenie snajpera – celne i ograniczone tylko do chorego miejsca</w:t>
      </w:r>
      <w:r>
        <w:rPr>
          <w:b/>
          <w:bCs/>
        </w:rPr>
        <w:t xml:space="preserve"> </w:t>
      </w:r>
      <w:r w:rsidRPr="004047DE">
        <w:rPr>
          <w:b/>
          <w:bCs/>
        </w:rPr>
        <w:t>– mówi dr n. med. Marek Filipek, urolog ze Szpitala Carolina Grupy LUX MED.</w:t>
      </w:r>
    </w:p>
    <w:p w14:paraId="1CC95701" w14:textId="0B68B04B" w:rsidR="00695A8B" w:rsidRDefault="00695A8B" w:rsidP="00BD4F23">
      <w:pPr>
        <w:spacing w:before="0" w:after="0"/>
      </w:pPr>
      <w:r w:rsidRPr="005931F0">
        <w:t>Rak prostaty to jeden z najczęstszych nowotworów u mężczyzn. Choć przez lata leczenie opierało się głównie na radykalnej chirurgii lub radioterapii, coraz więcej pacjentów korzysta z terapii celowanych.</w:t>
      </w:r>
    </w:p>
    <w:p w14:paraId="731B76B6" w14:textId="77777777" w:rsidR="00695A8B" w:rsidRPr="005931F0" w:rsidRDefault="00695A8B" w:rsidP="00BD4F23">
      <w:pPr>
        <w:spacing w:before="0" w:after="0"/>
      </w:pPr>
      <w:r>
        <w:t>J</w:t>
      </w:r>
      <w:r w:rsidRPr="005931F0">
        <w:t>edną z nich jest metoda HIFU (High Intensity Focused Ultrasound), która pozwala zniszczyć zmiany nowotworowe precyzyjnie, bez uszkadzania zdrowych tkanek.</w:t>
      </w:r>
    </w:p>
    <w:p w14:paraId="7FA60A8A" w14:textId="77777777" w:rsidR="00695A8B" w:rsidRDefault="00695A8B" w:rsidP="00BD4F23">
      <w:pPr>
        <w:spacing w:before="0" w:after="0"/>
      </w:pPr>
      <w:r w:rsidRPr="005931F0">
        <w:rPr>
          <w:b/>
          <w:bCs/>
        </w:rPr>
        <w:t>Działanie jak snajper</w:t>
      </w:r>
      <w:r w:rsidRPr="005931F0">
        <w:t xml:space="preserve"> </w:t>
      </w:r>
    </w:p>
    <w:p w14:paraId="1FEF5C07" w14:textId="5E371392" w:rsidR="00695A8B" w:rsidRPr="005931F0" w:rsidRDefault="00695A8B" w:rsidP="00BD4F23">
      <w:pPr>
        <w:spacing w:before="0" w:after="0"/>
      </w:pPr>
      <w:r w:rsidRPr="005931F0">
        <w:t xml:space="preserve">Terapia HIFU skupia fale ultradźwiękowe na konkretnym punkcie prostaty, w którym znajduje się zmiana nowotworowa. Pod wpływem wysokiej temperatury </w:t>
      </w:r>
      <w:r>
        <w:t>i efektu kawitacji k</w:t>
      </w:r>
      <w:r w:rsidRPr="005931F0">
        <w:t>omórki nowotworowe ulegają zniszczeniu, przy minimalnym ryzyku uszkodzenia otaczających struktur. To jak uderzenie snajpera – celne i ograniczone tylko do chorego miejsca – mówi dr n. med. Marek Filipek, urolog ze Szpitala Carolina.</w:t>
      </w:r>
    </w:p>
    <w:p w14:paraId="3CAA30D1" w14:textId="77777777" w:rsidR="00695A8B" w:rsidRDefault="00695A8B" w:rsidP="00BD4F23">
      <w:pPr>
        <w:spacing w:before="0" w:after="0"/>
      </w:pPr>
      <w:r w:rsidRPr="005931F0">
        <w:rPr>
          <w:b/>
          <w:bCs/>
        </w:rPr>
        <w:t>Kiedy stosuje się HIFU?</w:t>
      </w:r>
      <w:r w:rsidRPr="005931F0">
        <w:t xml:space="preserve"> </w:t>
      </w:r>
    </w:p>
    <w:p w14:paraId="681F8536" w14:textId="77777777" w:rsidR="00695A8B" w:rsidRPr="005931F0" w:rsidRDefault="00695A8B" w:rsidP="00BD4F23">
      <w:pPr>
        <w:spacing w:before="0" w:after="0"/>
      </w:pPr>
      <w:r w:rsidRPr="005931F0">
        <w:t>HIFU stosuje się u pacjentów, u których zmiana nowotworowa jest ograniczona do jednej</w:t>
      </w:r>
      <w:r>
        <w:t xml:space="preserve"> lub kilku </w:t>
      </w:r>
      <w:r w:rsidRPr="005931F0">
        <w:t>części prostaty i nie ma potrzeby usuwania całego gruczołu. Jest to rozwiązanie dla osób, które nie kwalifikują się do klasycznej operacji lub chcą uniknąć jej powikłań, takich jak nietrzymanie moczu czy zaburzenia erekcji.</w:t>
      </w:r>
    </w:p>
    <w:p w14:paraId="1C4646CE" w14:textId="77777777" w:rsidR="00695A8B" w:rsidRDefault="00695A8B" w:rsidP="00BD4F23">
      <w:pPr>
        <w:spacing w:before="0" w:after="0"/>
      </w:pPr>
      <w:r w:rsidRPr="005931F0">
        <w:rPr>
          <w:b/>
          <w:bCs/>
        </w:rPr>
        <w:t>Jak wygląda zabieg?</w:t>
      </w:r>
      <w:r w:rsidRPr="005931F0">
        <w:t xml:space="preserve"> </w:t>
      </w:r>
    </w:p>
    <w:p w14:paraId="4F170CAD" w14:textId="77777777" w:rsidR="00695A8B" w:rsidRPr="005931F0" w:rsidRDefault="00695A8B" w:rsidP="00BD4F23">
      <w:pPr>
        <w:spacing w:before="0" w:after="0"/>
      </w:pPr>
      <w:r w:rsidRPr="005931F0">
        <w:lastRenderedPageBreak/>
        <w:t>Przed zabiegiem wykonywana jest biopsja fuzyjna prostaty, łącząca obrazowanie USG i rezonansu magnetycznego. Sam zabieg odbywa się przez odbytnicę, bez konieczności cięcia skóry. Całość trwa około 1–2 godzin, w znieczuleniu regionalnym. Pacjent zwykle wraca do domu następnego dnia.</w:t>
      </w:r>
    </w:p>
    <w:p w14:paraId="424E1965" w14:textId="77777777" w:rsidR="00695A8B" w:rsidRDefault="00695A8B" w:rsidP="00BD4F23">
      <w:pPr>
        <w:spacing w:before="0" w:after="0"/>
      </w:pPr>
      <w:r w:rsidRPr="005931F0">
        <w:rPr>
          <w:b/>
          <w:bCs/>
        </w:rPr>
        <w:t>Mniej znaczy więcej</w:t>
      </w:r>
      <w:r w:rsidRPr="005931F0">
        <w:t xml:space="preserve"> </w:t>
      </w:r>
    </w:p>
    <w:p w14:paraId="49311BA5" w14:textId="0CB673E9" w:rsidR="00695A8B" w:rsidRPr="005931F0" w:rsidRDefault="00380AED" w:rsidP="00BD4F23">
      <w:pPr>
        <w:spacing w:before="0" w:after="0"/>
      </w:pPr>
      <w:r>
        <w:t xml:space="preserve">- </w:t>
      </w:r>
      <w:r w:rsidR="00695A8B" w:rsidRPr="005931F0">
        <w:t>Terapia celowana pozwala zmniejszyć liczbę powikłań przy zachowaniu skuteczności onkologicznej</w:t>
      </w:r>
      <w:r w:rsidR="00695A8B">
        <w:t>. Najnowsze metaanalizy utwierdzają nas w 83% skuteczności leczenia, osiągamy zatem praktycznie ten sam efekt onkologiczny co tradycyjna chirurgia i naświetlania – tyle że z &lt;1% ryzykiem istotnych powikłań</w:t>
      </w:r>
      <w:r w:rsidR="00695A8B" w:rsidRPr="005931F0">
        <w:t xml:space="preserve"> – podkreśla dr Stefan W. Czarniecki, urolog i </w:t>
      </w:r>
      <w:r w:rsidR="00695A8B">
        <w:t>O</w:t>
      </w:r>
      <w:r w:rsidR="00695A8B" w:rsidRPr="005931F0">
        <w:t xml:space="preserve">rdynator </w:t>
      </w:r>
      <w:r w:rsidR="00695A8B">
        <w:t>O</w:t>
      </w:r>
      <w:r w:rsidR="00695A8B" w:rsidRPr="005931F0">
        <w:t xml:space="preserve">ddziału </w:t>
      </w:r>
      <w:r w:rsidR="00695A8B">
        <w:t>U</w:t>
      </w:r>
      <w:r w:rsidR="00695A8B" w:rsidRPr="005931F0">
        <w:t>rologii w Szpitalu Carolina. Metoda HIFU świetnie wpisuje się w nowoczesne podejście do leczenia – spersonalizowane, dopasowane do potrzeb pacjenta.</w:t>
      </w:r>
    </w:p>
    <w:p w14:paraId="7BFE6E9E" w14:textId="77777777" w:rsidR="00695A8B" w:rsidRDefault="00695A8B" w:rsidP="00BD4F23">
      <w:pPr>
        <w:spacing w:before="0" w:after="0"/>
      </w:pPr>
      <w:r w:rsidRPr="005931F0">
        <w:rPr>
          <w:b/>
          <w:bCs/>
        </w:rPr>
        <w:t>Konsultacja i kwalifikacja</w:t>
      </w:r>
      <w:r w:rsidRPr="005931F0">
        <w:t xml:space="preserve"> </w:t>
      </w:r>
    </w:p>
    <w:p w14:paraId="6AE68FE4" w14:textId="77777777" w:rsidR="00695A8B" w:rsidRPr="005931F0" w:rsidRDefault="00695A8B" w:rsidP="00BD4F23">
      <w:pPr>
        <w:spacing w:before="0" w:after="0"/>
      </w:pPr>
      <w:r w:rsidRPr="005931F0">
        <w:t>Nie każdy pacjent może skorzystać z HIFU – o kwalifikacji decyduje zespół specjalistów na podstawie wyników badań obrazowych, biopsji oraz ogólnego stanu zdrowia. Warto pamiętać, że wcześniejsze wykrycie choroby daje więcej możliwości leczenia mniej inwazyjnego.</w:t>
      </w:r>
    </w:p>
    <w:p w14:paraId="2A2B1EA2" w14:textId="77777777" w:rsidR="00695A8B" w:rsidRDefault="00695A8B" w:rsidP="00BD4F23">
      <w:pPr>
        <w:spacing w:before="0" w:after="0"/>
      </w:pPr>
      <w:r w:rsidRPr="005931F0">
        <w:rPr>
          <w:b/>
          <w:bCs/>
        </w:rPr>
        <w:t>Profilaktyka nadal kluczowa</w:t>
      </w:r>
      <w:r w:rsidRPr="005931F0">
        <w:t xml:space="preserve"> </w:t>
      </w:r>
    </w:p>
    <w:p w14:paraId="1E3B86F1" w14:textId="77777777" w:rsidR="00BD4F23" w:rsidRDefault="00695A8B" w:rsidP="00BD4F23">
      <w:pPr>
        <w:spacing w:before="0" w:after="0"/>
      </w:pPr>
      <w:r w:rsidRPr="005931F0">
        <w:t xml:space="preserve">W Polsce śmiertelność z powodu raka prostaty rośnie, dlatego lekarze apelują o regularne badania kontrolne, szczególnie u mężczyzn po </w:t>
      </w:r>
      <w:r>
        <w:t>4</w:t>
      </w:r>
      <w:r w:rsidRPr="005931F0">
        <w:t>0. roku życia. „To od wczesnej diagnostyki zależy, czy pacjent będzie kwalifikował się do leczenia oszczędzającego” – zaznacza dr Filipek.</w:t>
      </w:r>
    </w:p>
    <w:p w14:paraId="16AD3477" w14:textId="77777777" w:rsidR="00BD4F23" w:rsidRDefault="00BD4F23" w:rsidP="00BD4F23">
      <w:pPr>
        <w:spacing w:before="0" w:after="0"/>
        <w:rPr>
          <w:b/>
          <w:bCs/>
        </w:rPr>
      </w:pPr>
    </w:p>
    <w:p w14:paraId="23F01663" w14:textId="7F16544E" w:rsidR="00695A8B" w:rsidRPr="00BD4F23" w:rsidRDefault="00695A8B" w:rsidP="00BD4F23">
      <w:pPr>
        <w:spacing w:before="0" w:after="0"/>
      </w:pPr>
      <w:r w:rsidRPr="005931F0">
        <w:rPr>
          <w:b/>
          <w:bCs/>
        </w:rPr>
        <w:t>Dla kogo terapia HIFU?</w:t>
      </w:r>
    </w:p>
    <w:p w14:paraId="4C979109" w14:textId="77777777" w:rsidR="00695A8B" w:rsidRPr="005931F0" w:rsidRDefault="00695A8B" w:rsidP="00BD4F23">
      <w:pPr>
        <w:spacing w:before="0" w:after="0"/>
      </w:pPr>
      <w:r w:rsidRPr="005931F0">
        <w:t>Z terapii celowanej HIFU mogą skorzystać mężczyźni:</w:t>
      </w:r>
    </w:p>
    <w:p w14:paraId="6DA3D22B" w14:textId="77777777" w:rsidR="00695A8B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</w:pPr>
      <w:r w:rsidRPr="005931F0">
        <w:t xml:space="preserve">z nowotworem ograniczonym do jednej </w:t>
      </w:r>
      <w:r>
        <w:t xml:space="preserve">lub kilku </w:t>
      </w:r>
      <w:r w:rsidRPr="005931F0">
        <w:t>części prostaty</w:t>
      </w:r>
    </w:p>
    <w:p w14:paraId="40C2BBE6" w14:textId="77777777" w:rsidR="00695A8B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</w:pPr>
      <w:r w:rsidRPr="005931F0">
        <w:t xml:space="preserve"> u kt</w:t>
      </w:r>
      <w:r w:rsidRPr="005931F0">
        <w:rPr>
          <w:rFonts w:ascii="Aptos" w:hAnsi="Aptos" w:cs="Aptos"/>
        </w:rPr>
        <w:t>ó</w:t>
      </w:r>
      <w:r w:rsidRPr="005931F0">
        <w:t>rych nie ma konieczno</w:t>
      </w:r>
      <w:r w:rsidRPr="005931F0">
        <w:rPr>
          <w:rFonts w:ascii="Aptos" w:hAnsi="Aptos" w:cs="Aptos"/>
        </w:rPr>
        <w:t>ś</w:t>
      </w:r>
      <w:r w:rsidRPr="005931F0">
        <w:t>ci usuni</w:t>
      </w:r>
      <w:r w:rsidRPr="005931F0">
        <w:rPr>
          <w:rFonts w:ascii="Aptos" w:hAnsi="Aptos" w:cs="Aptos"/>
        </w:rPr>
        <w:t>ę</w:t>
      </w:r>
      <w:r w:rsidRPr="005931F0">
        <w:t>cia ca</w:t>
      </w:r>
      <w:r w:rsidRPr="005931F0">
        <w:rPr>
          <w:rFonts w:ascii="Aptos" w:hAnsi="Aptos" w:cs="Aptos"/>
        </w:rPr>
        <w:t>ł</w:t>
      </w:r>
      <w:r w:rsidRPr="005931F0">
        <w:t>ego gruczo</w:t>
      </w:r>
      <w:r w:rsidRPr="005931F0">
        <w:rPr>
          <w:rFonts w:ascii="Aptos" w:hAnsi="Aptos" w:cs="Aptos"/>
        </w:rPr>
        <w:t>ł</w:t>
      </w:r>
      <w:r w:rsidRPr="005931F0">
        <w:t>u</w:t>
      </w:r>
    </w:p>
    <w:p w14:paraId="09AF3F33" w14:textId="77777777" w:rsidR="00695A8B" w:rsidRPr="00695A8B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  <w:rPr>
          <w:rFonts w:asciiTheme="minorHAnsi" w:hAnsiTheme="minorHAnsi"/>
        </w:rPr>
      </w:pPr>
      <w:r w:rsidRPr="005931F0">
        <w:t xml:space="preserve"> kt</w:t>
      </w:r>
      <w:r w:rsidRPr="005931F0">
        <w:rPr>
          <w:rFonts w:ascii="Aptos" w:hAnsi="Aptos" w:cs="Aptos"/>
        </w:rPr>
        <w:t>ó</w:t>
      </w:r>
      <w:r w:rsidRPr="005931F0">
        <w:t>rzy nie kwalifikuj</w:t>
      </w:r>
      <w:r w:rsidRPr="005931F0">
        <w:rPr>
          <w:rFonts w:ascii="Aptos" w:hAnsi="Aptos" w:cs="Aptos"/>
        </w:rPr>
        <w:t>ą</w:t>
      </w:r>
      <w:r w:rsidRPr="005931F0">
        <w:t xml:space="preserve"> si</w:t>
      </w:r>
      <w:r w:rsidRPr="005931F0">
        <w:rPr>
          <w:rFonts w:ascii="Aptos" w:hAnsi="Aptos" w:cs="Aptos"/>
        </w:rPr>
        <w:t>ę</w:t>
      </w:r>
      <w:r w:rsidRPr="005931F0">
        <w:t xml:space="preserve"> do klasycznej operacji lub chc</w:t>
      </w:r>
      <w:r w:rsidRPr="005931F0">
        <w:rPr>
          <w:rFonts w:ascii="Aptos" w:hAnsi="Aptos" w:cs="Aptos"/>
        </w:rPr>
        <w:t>ą</w:t>
      </w:r>
      <w:r w:rsidRPr="005931F0">
        <w:t xml:space="preserve"> unikn</w:t>
      </w:r>
      <w:r w:rsidRPr="005931F0">
        <w:rPr>
          <w:rFonts w:ascii="Aptos" w:hAnsi="Aptos" w:cs="Aptos"/>
        </w:rPr>
        <w:t>ąć</w:t>
      </w:r>
      <w:r w:rsidRPr="005931F0">
        <w:t xml:space="preserve"> jej powik</w:t>
      </w:r>
      <w:r w:rsidRPr="005931F0">
        <w:rPr>
          <w:rFonts w:ascii="Aptos" w:hAnsi="Aptos" w:cs="Aptos"/>
        </w:rPr>
        <w:t>ł</w:t>
      </w:r>
      <w:r w:rsidRPr="005931F0">
        <w:t>a</w:t>
      </w:r>
      <w:r w:rsidRPr="005931F0">
        <w:rPr>
          <w:rFonts w:ascii="Aptos" w:hAnsi="Aptos" w:cs="Aptos"/>
        </w:rPr>
        <w:t>ń</w:t>
      </w:r>
    </w:p>
    <w:p w14:paraId="2318366F" w14:textId="77777777" w:rsidR="00695A8B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</w:pPr>
      <w:r>
        <w:rPr>
          <w:rFonts w:ascii="Aptos" w:hAnsi="Aptos" w:cs="Aptos"/>
        </w:rPr>
        <w:t xml:space="preserve">którzy chcą uniknąć radioterapii </w:t>
      </w:r>
    </w:p>
    <w:p w14:paraId="72ED0EEC" w14:textId="77777777" w:rsidR="00695A8B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</w:pPr>
      <w:r w:rsidRPr="005931F0">
        <w:t xml:space="preserve"> u kt</w:t>
      </w:r>
      <w:r w:rsidRPr="005931F0">
        <w:rPr>
          <w:rFonts w:ascii="Aptos" w:hAnsi="Aptos" w:cs="Aptos"/>
        </w:rPr>
        <w:t>ó</w:t>
      </w:r>
      <w:r w:rsidRPr="005931F0">
        <w:t>rych nie stwierdzono przerzut</w:t>
      </w:r>
      <w:r w:rsidRPr="005931F0">
        <w:rPr>
          <w:rFonts w:ascii="Aptos" w:hAnsi="Aptos" w:cs="Aptos"/>
        </w:rPr>
        <w:t>ó</w:t>
      </w:r>
      <w:r w:rsidRPr="005931F0">
        <w:t>w</w:t>
      </w:r>
    </w:p>
    <w:p w14:paraId="0B626255" w14:textId="77777777" w:rsidR="00695A8B" w:rsidRPr="005931F0" w:rsidRDefault="00695A8B" w:rsidP="00BD4F23">
      <w:pPr>
        <w:pStyle w:val="Akapitzlist"/>
        <w:numPr>
          <w:ilvl w:val="0"/>
          <w:numId w:val="9"/>
        </w:numPr>
        <w:spacing w:before="0" w:after="0" w:line="259" w:lineRule="auto"/>
        <w:ind w:right="0"/>
        <w:jc w:val="left"/>
      </w:pPr>
      <w:r w:rsidRPr="005931F0">
        <w:t>po wykonaniu biopsji fuzyjnej i diagnostyki obrazowej (USG + rezonans)</w:t>
      </w:r>
    </w:p>
    <w:p w14:paraId="683191D1" w14:textId="77777777" w:rsidR="00BD4F23" w:rsidRDefault="00695A8B" w:rsidP="00BD4F23">
      <w:pPr>
        <w:spacing w:before="0" w:after="0"/>
      </w:pPr>
      <w:r w:rsidRPr="005931F0">
        <w:t>Kwalifikację przeprowadza zespół specjalistów na podstawie badań i ogólnego stanu zdrowia pacjenta.</w:t>
      </w:r>
    </w:p>
    <w:p w14:paraId="46975DF2" w14:textId="0682EFAE" w:rsidR="00AE575A" w:rsidRPr="00BD4F23" w:rsidRDefault="000A48DA" w:rsidP="00BD4F23">
      <w:pPr>
        <w:spacing w:before="0" w:after="0"/>
      </w:pPr>
      <w:r w:rsidRPr="00CE094D">
        <w:rPr>
          <w:b/>
          <w:sz w:val="16"/>
          <w:szCs w:val="14"/>
        </w:rPr>
        <w:lastRenderedPageBreak/>
        <w:br/>
      </w:r>
      <w:r w:rsidR="00AE575A" w:rsidRPr="00CE094D">
        <w:rPr>
          <w:b/>
          <w:sz w:val="16"/>
          <w:szCs w:val="14"/>
        </w:rPr>
        <w:t>Więcej o Grupie LUX MED:</w:t>
      </w:r>
    </w:p>
    <w:p w14:paraId="73695EB1" w14:textId="601F0C03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C35A7D">
        <w:rPr>
          <w:sz w:val="16"/>
          <w:szCs w:val="14"/>
        </w:rPr>
        <w:t>6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6022" w14:textId="77777777" w:rsidR="00BF2269" w:rsidRDefault="00BF2269" w:rsidP="00A66B18">
      <w:pPr>
        <w:spacing w:before="0" w:after="0"/>
      </w:pPr>
      <w:r>
        <w:separator/>
      </w:r>
    </w:p>
  </w:endnote>
  <w:endnote w:type="continuationSeparator" w:id="0">
    <w:p w14:paraId="5CE08C5C" w14:textId="77777777" w:rsidR="00BF2269" w:rsidRDefault="00BF226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C77F" w14:textId="77777777" w:rsidR="00BF2269" w:rsidRDefault="00BF2269" w:rsidP="00A66B18">
      <w:pPr>
        <w:spacing w:before="0" w:after="0"/>
      </w:pPr>
      <w:r>
        <w:separator/>
      </w:r>
    </w:p>
  </w:footnote>
  <w:footnote w:type="continuationSeparator" w:id="0">
    <w:p w14:paraId="7E9DCC40" w14:textId="77777777" w:rsidR="00BF2269" w:rsidRDefault="00BF226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8112DC6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619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37195817" w:rsidR="00B24126" w:rsidRPr="009A0C4E" w:rsidRDefault="009A0C4E" w:rsidP="00695A8B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695A8B"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31F7A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wqDAIAAPY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" stroked="f">
              <v:textbox>
                <w:txbxContent>
                  <w:p w14:paraId="2399D91C" w14:textId="37195817" w:rsidR="00B24126" w:rsidRPr="009A0C4E" w:rsidRDefault="009A0C4E" w:rsidP="00695A8B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695A8B">
                      <w:rPr>
                        <w:sz w:val="16"/>
                        <w:szCs w:val="16"/>
                      </w:rPr>
                      <w:t>24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31F7A">
                      <w:rPr>
                        <w:sz w:val="16"/>
                        <w:szCs w:val="16"/>
                      </w:rPr>
                      <w:t>11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D64DB"/>
    <w:multiLevelType w:val="hybridMultilevel"/>
    <w:tmpl w:val="E74AA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8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6"/>
  </w:num>
  <w:num w:numId="7" w16cid:durableId="1266228797">
    <w:abstractNumId w:val="3"/>
  </w:num>
  <w:num w:numId="8" w16cid:durableId="177669941">
    <w:abstractNumId w:val="7"/>
  </w:num>
  <w:num w:numId="9" w16cid:durableId="625157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2C00"/>
    <w:rsid w:val="000A48DA"/>
    <w:rsid w:val="000B5FA5"/>
    <w:rsid w:val="000B6D07"/>
    <w:rsid w:val="000C1231"/>
    <w:rsid w:val="000C364F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62A8D"/>
    <w:rsid w:val="00364BC6"/>
    <w:rsid w:val="00380AED"/>
    <w:rsid w:val="003859D6"/>
    <w:rsid w:val="00394757"/>
    <w:rsid w:val="003A0150"/>
    <w:rsid w:val="003A6536"/>
    <w:rsid w:val="003D1341"/>
    <w:rsid w:val="003D42CD"/>
    <w:rsid w:val="003E1537"/>
    <w:rsid w:val="003E24DF"/>
    <w:rsid w:val="004047DE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5A8B"/>
    <w:rsid w:val="006976FB"/>
    <w:rsid w:val="006A1F28"/>
    <w:rsid w:val="006A51A4"/>
    <w:rsid w:val="006C267F"/>
    <w:rsid w:val="006C2859"/>
    <w:rsid w:val="006C2BF1"/>
    <w:rsid w:val="006D0278"/>
    <w:rsid w:val="006D5E34"/>
    <w:rsid w:val="006E5387"/>
    <w:rsid w:val="006E546E"/>
    <w:rsid w:val="006F2205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B17F6"/>
    <w:rsid w:val="007B5AE8"/>
    <w:rsid w:val="007C34DE"/>
    <w:rsid w:val="007D2114"/>
    <w:rsid w:val="007D51FD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252BF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D4F23"/>
    <w:rsid w:val="00BE2E51"/>
    <w:rsid w:val="00BF2269"/>
    <w:rsid w:val="00C2230D"/>
    <w:rsid w:val="00C25CF1"/>
    <w:rsid w:val="00C31F74"/>
    <w:rsid w:val="00C35A7D"/>
    <w:rsid w:val="00C36632"/>
    <w:rsid w:val="00C40294"/>
    <w:rsid w:val="00C52E88"/>
    <w:rsid w:val="00C54C34"/>
    <w:rsid w:val="00C6100F"/>
    <w:rsid w:val="00C6151E"/>
    <w:rsid w:val="00C66F40"/>
    <w:rsid w:val="00C701F7"/>
    <w:rsid w:val="00C70786"/>
    <w:rsid w:val="00C73880"/>
    <w:rsid w:val="00C75F3D"/>
    <w:rsid w:val="00CA0181"/>
    <w:rsid w:val="00CB015A"/>
    <w:rsid w:val="00CC1034"/>
    <w:rsid w:val="00CC2501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5D74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429F776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qFormat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12</TotalTime>
  <Pages>3</Pages>
  <Words>629</Words>
  <Characters>4142</Characters>
  <Application>Microsoft Office Word</Application>
  <DocSecurity>0</DocSecurity>
  <Lines>73</Lines>
  <Paragraphs>35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9</cp:revision>
  <dcterms:created xsi:type="dcterms:W3CDTF">2025-11-24T08:59:00Z</dcterms:created>
  <dcterms:modified xsi:type="dcterms:W3CDTF">2025-11-24T09:44:00Z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