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      Wrocław, 24.11.2025 r.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Useme wprowadza alternatywę dla JDG: ubezpieczenie i benefity dla freelancerów bez firmy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Źródło: Adobe Stock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Według raportu “Global Entrepreneurship Monitor 2025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b w:val="1"/>
          <w:bCs w:val="1"/>
          <w:rtl w:val="0"/>
        </w:rPr>
        <w:t xml:space="preserve"> wśród czynników utrudniających rozwój młodych firm przedsiębiorcy wskazują najczęściej obciążenia podatkowe (55 proc. wskazań) oraz biurokrację i formalności (48 proc.). Odpowiedzią na te wyzwania jest Useme </w:t>
      </w:r>
      <w:r w:rsidDel="00000000" w:rsidR="00000000" w:rsidRPr="00000000">
        <w:rPr>
          <w:b w:val="1"/>
          <w:bCs w:val="1"/>
          <w:rtl w:val="0"/>
        </w:rPr>
        <w:t xml:space="preserve">Plus</w:t>
      </w:r>
      <w:r w:rsidDel="00000000" w:rsidR="00000000" w:rsidRPr="00000000">
        <w:rPr>
          <w:b w:val="1"/>
          <w:bCs w:val="1"/>
          <w:rtl w:val="0"/>
        </w:rPr>
        <w:t xml:space="preserve"> – usługa uruchomiona pilotażowo przez specjalizującą się w rozliczeniach “wolnych strzelców” platformę Useme. Umożliwia ona freelancerom legalną pracę z pełnym ubezpieczeniem i benefitami, bez konieczności zakładania firmy.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Zgodnie z raportem “Global Entrepreneurship Monitor”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Polskiej Agencji Rozwoju Przedsiębiorczości i Uniwersytetu Ekonomicznego w Katowicach tylko 3 proc. Polaków planuje otworzyć biznes w ciągu najbliższych trzech lat, podczas gdy średnia europejska to 15 proc. Z tej samej publikacji wynika, że w Polsce spada liczba młodych firm: z 9,1 proc. w 2011 roku do jedynie 2,5 proc. obecnie, podczas gdy udział przedsiębiorstw dojrzałych rośnie. To wyraźny sygnał, że młodzi przedsiębiorcy potrzebują większego wsparcia na starcie.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Równocześnie na polskim rynku od kilku lat rośnie w siłę nowa klasa pracownicza - freelancerzy, dla których zakładanie jednoosobowej działalności gospodarczej staje się coraz większym wyzwaniem. Wśród największych barier dla rozwijania własnego biznesu najczęściej wymieniają oni kwestie psychologiczne - obawę przed porażką, jak również wysokie, stałe koszty prowadzenia działalności przy jednoczesnych, niepewnych przychodach, zwłaszcza na początkowych etapach rozwoju. Nie pomaga w tym także zapowiadana podwyżka składki zdrowotnej w 2026 roku.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W efekcie wielu specjalistów z rynku “wolnych strzelców” szuka alternatywy dla JDG. Część z nich działa w tzw. „szarej strefie” freelancingu, korzystając z działalności nierejestrowanej (z limitem 3499,50 zł miesięcznie), co ogranicza ich możliwości współpracy z większymi firmami. Inni wybierają model pośredni – wystawianie faktur przez platformy lub rozliczanie się przez firmy zewnętrzne – aby uniknąć nadmiaru formalności.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Z naszych analiz wynika, że ponad 20 tysięcy użytkowników platformy Useme prowadzi JDG, ale deklaruje chęć rezygnacji z niej ze względu na rosnące koszty i brak przewidywalności finansowej. Zdają sobie oni jednak sprawę, że brak działalności oznacza ograniczenia w kontekście możliwości fakturowania i budowania własnej marki, a także brak bezpieczeństwa socjalnego. To właśnie z myślą o tej grupie pracowników - freelancerów, którzy wciąż jeszcze budują swoje portfolio i nie mają zapewnionej ciągłości zleceń, a jednocześnie chcą się rozwijać, powstała usługa Useme Plus, która ma być w założeniu prostszą, tańszą i zgodną z przepisami alternatywą dla samozatrudnienia </w:t>
      </w:r>
      <w:r w:rsidDel="00000000" w:rsidR="00000000" w:rsidRPr="00000000">
        <w:rPr>
          <w:rtl w:val="0"/>
        </w:rPr>
        <w:t xml:space="preserve">– mówi Przemysław Głośny, CEO Useme, która łączy freelancerów i zleceniodawców oraz ułatwia ich rozliczenia.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Useme Plus - bezpieczeństwo przedsiębiorcy i swoboda freelancera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Uruchomione jesienią 2025 roku Useme </w:t>
      </w:r>
      <w:r w:rsidDel="00000000" w:rsidR="00000000" w:rsidRPr="00000000">
        <w:rPr>
          <w:rtl w:val="0"/>
        </w:rPr>
        <w:t xml:space="preserve">Plus </w:t>
      </w:r>
      <w:r w:rsidDel="00000000" w:rsidR="00000000" w:rsidRPr="00000000">
        <w:rPr>
          <w:rtl w:val="0"/>
        </w:rPr>
        <w:t xml:space="preserve"> to rozwiązanie, które powstało z potrzeby rynku, w tym przede wszystkim postępującego rozwoju elastycznych form pracy i poszukiwania balansu między wolnością i niezależnością freelancerów, przy jednoczesnym  poszukiwaniu przez nich zabezpieczenia i ochrony dla dalszego, komfortowego rozwoju.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Useme Plus zapewnia freelancerom dostęp do ubezpieczenia i benefitów pozapłacowych bez konieczności prowadzenia działalności gospodarczej. W ramach stałej, abonamentowej kwoty użytkownik otrzymuje pełne ubezpieczenie ZUS (zdrowotne, emerytalne, rentowe), nielimitowaną opcję wystawiania faktur bez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przez platformę bez dodatkowych opłat oraz dostęp do pakietów benefitów. Oznacza to, poza korzyściami socjalnymi, zmniejszenie comiesięcznych kosztów i uproszczenie systemu rozliczania pracy.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Freelancing w Polsce potrzebuje prostych, dostępnych narzędzi. Nie takich, które zmieniają sposób pracy, ale takich, które zdejmują z freelancerów ciężar biurokracji i pozwalają im skupić się na tym, co naprawdę tworzą. Dzięki Useme Plus freelancerzy mogą nie tylko rozliczać zlecenia bez zakładania działalności, ale również korzystać z benefitów i pełnego ubezpieczenia. To coś, co dotąd było zarezerwowane wyłącznie dla pracowników etatowych. To pierwszy tego typu model na polskim rynku, który łączy legalność, bezpieczeństwo i elastyczność w jednym rozwiązaniu </w:t>
      </w:r>
      <w:r w:rsidDel="00000000" w:rsidR="00000000" w:rsidRPr="00000000">
        <w:rPr>
          <w:rtl w:val="0"/>
        </w:rPr>
        <w:t xml:space="preserve">– mówi Marta Polowczyk, COO Useme.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Według przedstawicieli platformy Useme Plus to rozwiązanie zarówno dla osób, które prowadzą działalność, ale szukają optymalizacji kosztów, jak i dla freelancerów rozważających uruchomienie JDG, ale obawiają się związanych z tym ryzyk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Useme to istniejąca od 2013 roku platforma dla freelancerów oraz zleceniodawców z siedzibą we Wrocławiu. W bazie Useme znajduje się 185 tys. freelancerów z takich dziedzin jak IT, grafika, copywriting, marketing, tłumaczenia i inne. Platforma zajmuje się wszystkimi kwestiami prawnymi i podatkowymi po stronie freelancera i zleceniodawcy, a także umożliwia rozliczanie podwykonawców zagranicznych. Useme jest liderem rozliczeń pracy zdalnej w Polsce, Europie Centralnej i Wschodniej.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320" w:line="240" w:lineRule="auto"/>
      <w:jc w:val="both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517525</wp:posOffset>
          </wp:positionV>
          <wp:extent cx="187325" cy="25757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25" cy="25757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029.0" w:type="dxa"/>
      <w:jc w:val="right"/>
      <w:tblLayout w:type="fixed"/>
      <w:tblLook w:val="0600"/>
    </w:tblPr>
    <w:tblGrid>
      <w:gridCol w:w="675"/>
      <w:gridCol w:w="6854"/>
      <w:gridCol w:w="1500"/>
      <w:tblGridChange w:id="0">
        <w:tblGrid>
          <w:gridCol w:w="675"/>
          <w:gridCol w:w="6854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58.740157480315" w:type="dxa"/>
            <w:left w:w="158.740157480315" w:type="dxa"/>
            <w:bottom w:w="158.740157480315" w:type="dxa"/>
            <w:right w:w="158.740157480315" w:type="dxa"/>
          </w:tcMar>
          <w:vAlign w:val="bottom"/>
        </w:tcPr>
        <w:p w:rsidR="00000000" w:rsidDel="00000000" w:rsidP="00000000" w:rsidRDefault="00000000" w:rsidRPr="00000000" w14:paraId="00000021">
          <w:pPr>
            <w:spacing w:line="240" w:lineRule="auto"/>
            <w:jc w:val="both"/>
            <w:rPr>
              <w:rFonts w:ascii="Lato" w:cs="Lato" w:eastAsia="Lato" w:hAnsi="Lato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22">
          <w:pPr>
            <w:spacing w:line="240" w:lineRule="auto"/>
            <w:jc w:val="center"/>
            <w:rPr>
              <w:rFonts w:ascii="Lato" w:cs="Lato" w:eastAsia="Lato" w:hAnsi="Lato"/>
              <w:color w:val="787b93"/>
              <w:sz w:val="16"/>
              <w:szCs w:val="16"/>
            </w:rPr>
          </w:pPr>
          <w:r w:rsidDel="00000000" w:rsidR="00000000" w:rsidRPr="00000000">
            <w:rPr>
              <w:rFonts w:ascii="Lato" w:cs="Lato" w:eastAsia="Lato" w:hAnsi="Lato"/>
              <w:color w:val="787b93"/>
              <w:sz w:val="16"/>
              <w:szCs w:val="16"/>
              <w:rtl w:val="0"/>
            </w:rPr>
            <w:t xml:space="preserve">Useme Sp. z o.o. · ul. Świdnicka 12-16 · 50-068 Wrocław · Polska · NIP: 8992744965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23">
          <w:pPr>
            <w:widowControl w:val="0"/>
            <w:spacing w:line="240" w:lineRule="auto"/>
            <w:rPr>
              <w:rFonts w:ascii="Lato" w:cs="Lato" w:eastAsia="Lato" w:hAnsi="Lato"/>
              <w:b w:val="1"/>
              <w:bCs w:val="1"/>
              <w:color w:val="4955ff"/>
              <w:sz w:val="18"/>
              <w:szCs w:val="18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color w:val="4955ff"/>
              <w:sz w:val="18"/>
              <w:szCs w:val="18"/>
              <w:rtl w:val="0"/>
            </w:rPr>
            <w:t xml:space="preserve">useme.com</w:t>
          </w:r>
        </w:p>
      </w:tc>
    </w:tr>
  </w:tbl>
  <w:p w:rsidR="00000000" w:rsidDel="00000000" w:rsidP="00000000" w:rsidRDefault="00000000" w:rsidRPr="00000000" w14:paraId="00000024">
    <w:pPr>
      <w:spacing w:after="320" w:line="240" w:lineRule="auto"/>
      <w:jc w:val="both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https://www.parp.gov.pl/component/publications/publication/gem-polska-2025-raport-z-badania-przedsiebiorczosci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spacing w:line="240" w:lineRule="auto"/>
      <w:rPr/>
    </w:pPr>
    <w:r w:rsidDel="00000000" w:rsidR="00000000" w:rsidRPr="00000000">
      <w:rPr>
        <w:rFonts w:ascii="Lato" w:cs="Lato" w:eastAsia="Lato" w:hAnsi="Lato"/>
        <w:sz w:val="20"/>
        <w:szCs w:val="20"/>
      </w:rPr>
      <w:drawing>
        <wp:inline distB="114300" distT="114300" distL="114300" distR="114300">
          <wp:extent cx="1228725" cy="619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571" t="0"/>
                  <a:stretch>
                    <a:fillRect/>
                  </a:stretch>
                </pic:blipFill>
                <pic:spPr>
                  <a:xfrm>
                    <a:off x="0" y="0"/>
                    <a:ext cx="122872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arp.gov.pl/component/publications/publication/gem-polska-2025-raport-z-badania-przedsiebiorczosc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