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4.11.2025 r.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Raleway" w:cs="Raleway" w:eastAsia="Raleway" w:hAnsi="Raleway"/>
          <w:b w:val="1"/>
          <w:bCs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Value Media wygrało przetarg Mayoly na obsługę mediową marki Smecta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Raleway" w:cs="Raleway" w:eastAsia="Raleway" w:hAnsi="Raleway"/>
          <w:highlight w:val="cyan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Agencja mediowa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Value Media wygrała przetarg Mayoly na kompleksową obsługę mediową marki Smecta w Polsce. We współpracy ze spółkami Salestube i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(również Group One) będzie odpowiedzialna za komunikację w digitalu wspierającą produkty Smecta Sachets i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SmectaGO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, której celem jest zwiększenie rozważania zakupu wśród konsumentów.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Kampania obejmuje szeroki wachlarz działań w kanałach online: paid social (Meta i TikTok), YouTube, działania display i wideo oraz SEM, a także współpracę z twórcami internetowymi. Największy nacisk położono na działania contentowe marki i influencerów na platformach społecznościowych. 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72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Szukaliśmy odważnego partnera, który razem z nami przetestuje zupełnie nowy scenariusz komunikacji, pod prąd tego, jak buduje swoją obecność w mediach cała kategoria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. Rynek OTC wciąż jest zdominowany przez model TV-first, mimo że ścieżka konsumentów już dawno wygląda inaczej. Zdecydowaliśmy się przełamać ten schemat i całość budżetu alokować tam, gdzie powstaje intencja i gdzie konsumenci szukają odpowiedzi i poleceń - do digitalu” –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Aleksandra Hydzik, Brand Manager OTC, Mayoly.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Działania mediowe i komunikacyjne w digitalu, które potrwają do końca grudnia, spółki Group One realizują w modelu w House of Communication. Value Media przygotowała strategia, odpowiada za planowanie i zakup mediów,  Salestube odpowiada za kanały specjalistyczne (Paid Social, Programmatic, SEM, SEO, afiliacja, a Labcon Relevant Stories za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przygotowanie materiałów kreatywnych do kampanii oraz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współpracę twórcami internetowymi. Zakres współpracy obejmuje także konfigurację kont reklamowych w poszczególnych kanałach, uruchomienie profili w social mediach oraz wdrożenie narzędzi raportowania efektów z kampanii.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Value Media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Największa niezależna agencja mediowa w Polsce będąca częścią grupy marketingowo-technologicznej Group One. Zdobywca tytułu “Dom Mediowy Roku” 2018 i 2022 wg magazynu Media i Marketing Polska i wyróżnienia “Bogate Portfolio” 2025 oraz “Sukces Roku 2022” i “Wzrost Roku 2024” wg magazynu PRESS. Od 2021 roku obejmuje pozycję dominującą w światowym rankingu RECMA. W ramach podejścia House of Communication łączy kompetencje ponad 840 ekspertów do budowania silnych marek. Oferując rozwiązania end-to-end bierze odpowiedzialność za wynik biznesowy klientów w obszarach takich jak: strategia, komunikacja, kreacja, media, e-commerce oraz badania i analityka.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Labcon - Relevant Stories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to agencja tworząca komunikację, która angażuje konsumentów. Nagradzana w konkursach takich jak: Effie Awards (3 srebrne statuetki), MIXX Awards (złoto, brąz i wyróżnienie), Innovation Awards (brąz), Złote Spinacze (2 x złoto, srebro, brąz), Young Creatives Cannes (2 x nagroda główna) oraz w konkursie Klubu Twórców Reklamy (srebrny miecz). Wyróżniona nagrodą specjalną Międzynarodowego Festiwalu Kreatywności Golden Drum. Dzięki szerokim kompetencjom (strategia, social media, influencer marketing, PR, branding)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tworzy rekomendacje przez pryzmat potrzeb klienta, a nie wąskiej specjalizacji. </w:t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 Salestube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Spółka e-commerce &amp; MarTech connected. Łączy kompetencje w obszarze e-commerce, technologii, danych i mediów, aby budować najlepsze doświadczenie użytkowników w świecie zakupów na ponad 30 światowych rynkach. Partner technologiczny i sprzedażowy Big Tech w regionie CEE, m.in. Google Marketing Platform, Google Cloud,  Salesforce, Synerise, Facebook, Tealium, Shopware. Jedna z pierwszych agencji na świecie z pełną certyfikacją Google Marketing Platform i największy reseller tej technologii w regionie CEE obsługujący ponad 200 klientów na świecie.  Agencja Digital 2021 oraz 2024 i 2025 wg M&amp;MP, w 2023 roku wyróżniona tytułem “Mistrzowie Efektywności” w Raporcie Agencje Digitalowe M&amp;MP oraz Agencja Roku wg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Performance Marketing Diamonds 2022,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oraz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2023.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2880" w:firstLine="720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14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Emilia Klepacka | Brand Reputation Director Group One</w:t>
      </w:r>
    </w:p>
    <w:p w:rsidR="00000000" w:rsidDel="00000000" w:rsidP="00000000" w:rsidRDefault="00000000" w:rsidRPr="00000000" w14:paraId="00000015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hyperlink r:id="rId6">
        <w:r w:rsidDel="00000000" w:rsidR="00000000" w:rsidRPr="00000000">
          <w:rPr>
            <w:rFonts w:ascii="Raleway" w:cs="Raleway" w:eastAsia="Raleway" w:hAnsi="Raleway"/>
            <w:color w:val="1155cc"/>
            <w:sz w:val="16"/>
            <w:szCs w:val="16"/>
            <w:u w:val="single"/>
            <w:rtl w:val="0"/>
          </w:rPr>
          <w:t xml:space="preserve">emilia.klepacka@groupone.com.pl</w:t>
        </w:r>
      </w:hyperlink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 | 504 830519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300" w:before="22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300" w:before="220" w:lineRule="auto"/>
        <w:ind w:lef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79" l="0" r="0" t="79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720" w:firstLine="720"/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3075150</wp:posOffset>
          </wp:positionH>
          <wp:positionV relativeFrom="page">
            <wp:posOffset>333375</wp:posOffset>
          </wp:positionV>
          <wp:extent cx="1409700" cy="552450"/>
          <wp:effectExtent b="0" l="0" r="0" t="0"/>
          <wp:wrapSquare wrapText="bothSides" distB="114300" distT="114300" distL="114300" distR="11430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28571" l="0" r="0" t="31972"/>
                  <a:stretch>
                    <a:fillRect/>
                  </a:stretch>
                </pic:blipFill>
                <pic:spPr>
                  <a:xfrm>
                    <a:off x="0" y="0"/>
                    <a:ext cx="14097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4010025</wp:posOffset>
          </wp:positionH>
          <wp:positionV relativeFrom="paragraph">
            <wp:posOffset>-57149</wp:posOffset>
          </wp:positionV>
          <wp:extent cx="2239800" cy="423746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40432" l="0" r="0" t="40599"/>
                  <a:stretch>
                    <a:fillRect/>
                  </a:stretch>
                </pic:blipFill>
                <pic:spPr>
                  <a:xfrm>
                    <a:off x="0" y="0"/>
                    <a:ext cx="2239800" cy="4237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-95249</wp:posOffset>
          </wp:positionH>
          <wp:positionV relativeFrom="paragraph">
            <wp:posOffset>1</wp:posOffset>
          </wp:positionV>
          <wp:extent cx="1881188" cy="30099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41930" l="0" r="0" t="42262"/>
                  <a:stretch>
                    <a:fillRect/>
                  </a:stretch>
                </pic:blipFill>
                <pic:spPr>
                  <a:xfrm>
                    <a:off x="0" y="0"/>
                    <a:ext cx="1881188" cy="3009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milia.klepacka@groupone.com.p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