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between w:color="auto" w:space="0" w:sz="0" w:val="none"/>
        </w:pBdr>
        <w:ind w:left="0" w:firstLine="0"/>
        <w:rPr>
          <w:rFonts w:ascii="Roboto" w:cs="Roboto" w:eastAsia="Roboto" w:hAnsi="Roboto"/>
          <w:b w:val="1"/>
          <w:bCs w:val="1"/>
          <w:sz w:val="24"/>
          <w:szCs w:val="24"/>
        </w:rPr>
      </w:pPr>
      <w:r w:rsidDel="00000000" w:rsidR="00000000" w:rsidRPr="00000000">
        <w:rPr>
          <w:rFonts w:ascii="Poppins" w:cs="Poppins" w:eastAsia="Poppins" w:hAnsi="Poppins"/>
          <w:b w:val="1"/>
          <w:bCs w:val="1"/>
          <w:rtl w:val="0"/>
        </w:rPr>
        <w:t xml:space="preserve">Santander Leasing wspiera branżę metalową: nowe zasady finansowania używanych maszyn</w:t>
      </w:r>
      <w:r w:rsidDel="00000000" w:rsidR="00000000" w:rsidRPr="00000000">
        <w:rPr>
          <w:rtl w:val="0"/>
        </w:rPr>
      </w:r>
    </w:p>
    <w:p w:rsidR="00000000" w:rsidDel="00000000" w:rsidP="00000000" w:rsidRDefault="00000000" w:rsidRPr="00000000" w14:paraId="00000002">
      <w:pPr>
        <w:spacing w:after="120" w:before="240" w:lineRule="auto"/>
        <w:jc w:val="both"/>
        <w:rPr>
          <w:rFonts w:ascii="Poppins" w:cs="Poppins" w:eastAsia="Poppins" w:hAnsi="Poppins"/>
        </w:rPr>
      </w:pPr>
      <w:r w:rsidDel="00000000" w:rsidR="00000000" w:rsidRPr="00000000">
        <w:rPr>
          <w:rFonts w:ascii="Poppins" w:cs="Poppins" w:eastAsia="Poppins" w:hAnsi="Poppins"/>
          <w:rtl w:val="0"/>
        </w:rPr>
        <w:t xml:space="preserve">Od listopada Santander Leasing umożliwia klientom finansowanie używanych maszyn do obróbki metali, takich jak tokarki, frezarki, szlifierki czy prasy hydrauliczne, których wiek sięga nawet 10 lat. Decyzje o finansowaniu podejmowane są błyskawicznie - nawet w ciągu kilku godzin - dzięki uproszczonej procedurze, bez konieczności dostarczania dokumentów finansowych. </w:t>
      </w:r>
    </w:p>
    <w:p w:rsidR="00000000" w:rsidDel="00000000" w:rsidP="00000000" w:rsidRDefault="00000000" w:rsidRPr="00000000" w14:paraId="00000003">
      <w:pPr>
        <w:spacing w:after="120" w:before="240" w:lineRule="auto"/>
        <w:jc w:val="both"/>
        <w:rPr>
          <w:rFonts w:ascii="Poppins" w:cs="Poppins" w:eastAsia="Poppins" w:hAnsi="Poppins"/>
        </w:rPr>
      </w:pPr>
      <w:r w:rsidDel="00000000" w:rsidR="00000000" w:rsidRPr="00000000">
        <w:rPr>
          <w:rFonts w:ascii="Poppins" w:cs="Poppins" w:eastAsia="Poppins" w:hAnsi="Poppins"/>
          <w:rtl w:val="0"/>
        </w:rPr>
        <w:t xml:space="preserve">Kluczowe maszyny charakteryzuje długi cykl użyteczności, umożliwiający spełnianie rygorystycznych standardów produkcji także na rynku wtórnym. </w:t>
      </w:r>
    </w:p>
    <w:p w:rsidR="00000000" w:rsidDel="00000000" w:rsidP="00000000" w:rsidRDefault="00000000" w:rsidRPr="00000000" w14:paraId="00000004">
      <w:pPr>
        <w:spacing w:after="120" w:before="240" w:lineRule="auto"/>
        <w:jc w:val="both"/>
        <w:rPr>
          <w:rFonts w:ascii="Poppins" w:cs="Poppins" w:eastAsia="Poppins" w:hAnsi="Poppins"/>
          <w:highlight w:val="white"/>
        </w:rPr>
      </w:pPr>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i w:val="1"/>
          <w:iCs w:val="1"/>
          <w:rtl w:val="0"/>
        </w:rPr>
        <w:t xml:space="preserve">Jesteśmy w stałym kontakcie z dostawcami maszyn z sektora produkcji metalowej, przyglądamy się wspólnie tendencjom zakupowym przedsiębiorców. Badamy też z jakich produktów i rozwiązań korzystają nasi klienci najchętniej i szukamy najlepszych rozwiązań. Chcemy, by więcej firm mogło się rozwijać, korzystając z technologii dostępnej natychmiast i na prostych zasadach. Dlatego zdecydowaliśmy się wydłużyć maksymalny wiek finansowanych przedmiotów do 10 lat, by lepiej odpowiadać na potrzeby rynku.</w:t>
      </w:r>
      <w:r w:rsidDel="00000000" w:rsidR="00000000" w:rsidRPr="00000000">
        <w:rPr>
          <w:rFonts w:ascii="Poppins" w:cs="Poppins" w:eastAsia="Poppins" w:hAnsi="Poppins"/>
          <w:rtl w:val="0"/>
        </w:rPr>
        <w:t xml:space="preserve">” - komentuje Mariusz Artych, dyrektor rynku maszyn</w:t>
      </w:r>
      <w:r w:rsidDel="00000000" w:rsidR="00000000" w:rsidRPr="00000000">
        <w:rPr>
          <w:rFonts w:ascii="Poppins" w:cs="Poppins" w:eastAsia="Poppins" w:hAnsi="Poppins"/>
          <w:highlight w:val="white"/>
          <w:rtl w:val="0"/>
        </w:rPr>
        <w:t xml:space="preserve"> i urządzeń w  Santander Leasing.​</w: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Poppins" w:cs="Poppins" w:eastAsia="Poppins" w:hAnsi="Poppins"/>
          <w:b w:val="1"/>
          <w:bCs w:val="1"/>
          <w:sz w:val="22"/>
          <w:szCs w:val="22"/>
        </w:rPr>
      </w:pPr>
      <w:bookmarkStart w:colFirst="0" w:colLast="0" w:name="_3dnx2h2bjwpl" w:id="0"/>
      <w:bookmarkEnd w:id="0"/>
      <w:r w:rsidDel="00000000" w:rsidR="00000000" w:rsidRPr="00000000">
        <w:rPr>
          <w:rFonts w:ascii="Poppins" w:cs="Poppins" w:eastAsia="Poppins" w:hAnsi="Poppins"/>
          <w:b w:val="1"/>
          <w:bCs w:val="1"/>
          <w:sz w:val="22"/>
          <w:szCs w:val="22"/>
          <w:rtl w:val="0"/>
        </w:rPr>
        <w:t xml:space="preserve">Branża pod presją: inwestycje wyhamowują, rola sprzętu używanego rośnie</w:t>
      </w:r>
    </w:p>
    <w:p w:rsidR="00000000" w:rsidDel="00000000" w:rsidP="00000000" w:rsidRDefault="00000000" w:rsidRPr="00000000" w14:paraId="00000006">
      <w:pPr>
        <w:pStyle w:val="Heading2"/>
        <w:keepNext w:val="0"/>
        <w:keepLines w:val="0"/>
        <w:spacing w:after="80" w:lineRule="auto"/>
        <w:jc w:val="both"/>
        <w:rPr>
          <w:rFonts w:ascii="Poppins" w:cs="Poppins" w:eastAsia="Poppins" w:hAnsi="Poppins"/>
          <w:sz w:val="22"/>
          <w:szCs w:val="22"/>
        </w:rPr>
      </w:pPr>
      <w:bookmarkStart w:colFirst="0" w:colLast="0" w:name="_v3sxf6k123ff" w:id="1"/>
      <w:bookmarkEnd w:id="1"/>
      <w:r w:rsidDel="00000000" w:rsidR="00000000" w:rsidRPr="00000000">
        <w:rPr>
          <w:rFonts w:ascii="Poppins" w:cs="Poppins" w:eastAsia="Poppins" w:hAnsi="Poppins"/>
          <w:sz w:val="22"/>
          <w:szCs w:val="22"/>
          <w:rtl w:val="0"/>
        </w:rPr>
        <w:t xml:space="preserve">Najnowsze </w:t>
      </w:r>
      <w:r w:rsidDel="00000000" w:rsidR="00000000" w:rsidRPr="00000000">
        <w:rPr>
          <w:rFonts w:ascii="Poppins" w:cs="Poppins" w:eastAsia="Poppins" w:hAnsi="Poppins"/>
          <w:sz w:val="22"/>
          <w:szCs w:val="22"/>
          <w:rtl w:val="0"/>
        </w:rPr>
        <w:t xml:space="preserve">dane</w:t>
      </w:r>
      <w:r w:rsidDel="00000000" w:rsidR="00000000" w:rsidRPr="00000000">
        <w:rPr>
          <w:rFonts w:ascii="Poppins" w:cs="Poppins" w:eastAsia="Poppins" w:hAnsi="Poppins"/>
          <w:sz w:val="22"/>
          <w:szCs w:val="22"/>
          <w:rtl w:val="0"/>
        </w:rPr>
        <w:t xml:space="preserve"> rynkowe za 2025 rok potwierdzają, że sektor produkcji i przetwórstwa przemysłowego w Polsce mierzy się obecnie z dynamicznymi zmianami na rynku inwestycji</w:t>
      </w:r>
      <w:r w:rsidDel="00000000" w:rsidR="00000000" w:rsidRPr="00000000">
        <w:rPr>
          <w:rFonts w:ascii="Poppins" w:cs="Poppins" w:eastAsia="Poppins" w:hAnsi="Poppins"/>
          <w:sz w:val="22"/>
          <w:szCs w:val="22"/>
          <w:vertAlign w:val="superscript"/>
        </w:rPr>
        <w:footnoteReference w:customMarkFollows="0" w:id="0"/>
      </w:r>
      <w:r w:rsidDel="00000000" w:rsidR="00000000" w:rsidRPr="00000000">
        <w:rPr>
          <w:rFonts w:ascii="Poppins" w:cs="Poppins" w:eastAsia="Poppins" w:hAnsi="Poppins"/>
          <w:sz w:val="22"/>
          <w:szCs w:val="22"/>
          <w:rtl w:val="0"/>
        </w:rPr>
        <w:t xml:space="preserve">. Z raportów </w:t>
      </w:r>
      <w:r w:rsidDel="00000000" w:rsidR="00000000" w:rsidRPr="00000000">
        <w:rPr>
          <w:rFonts w:ascii="Poppins" w:cs="Poppins" w:eastAsia="Poppins" w:hAnsi="Poppins"/>
          <w:sz w:val="22"/>
          <w:szCs w:val="22"/>
          <w:rtl w:val="0"/>
        </w:rPr>
        <w:t xml:space="preserve">branżowych</w:t>
      </w:r>
      <w:r w:rsidDel="00000000" w:rsidR="00000000" w:rsidRPr="00000000">
        <w:rPr>
          <w:rFonts w:ascii="Poppins" w:cs="Poppins" w:eastAsia="Poppins" w:hAnsi="Poppins"/>
          <w:sz w:val="22"/>
          <w:szCs w:val="22"/>
          <w:rtl w:val="0"/>
        </w:rPr>
        <w:t xml:space="preserve"> i analiz GUS wynika, że produkcja sprzedana przemysłu wzrosła o 3,9% rok do roku w maju 2025, a w okresie styczeń–maj 2025 o 1,6% wobec analogicznego okresu 2024. Szczególnie skutecznie rozwijała się produkcja wyrobów z metali, która wzrosła o 11,8%, oraz hutnictwo z wynikiem 10,5%, co istotnie przewyższa średnią dla całego przemysłu</w:t>
      </w:r>
      <w:r w:rsidDel="00000000" w:rsidR="00000000" w:rsidRPr="00000000">
        <w:rPr>
          <w:rFonts w:ascii="Poppins" w:cs="Poppins" w:eastAsia="Poppins" w:hAnsi="Poppins"/>
          <w:sz w:val="22"/>
          <w:szCs w:val="22"/>
          <w:vertAlign w:val="superscript"/>
        </w:rPr>
        <w:footnoteReference w:customMarkFollows="0" w:id="1"/>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07">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08">
      <w:pPr>
        <w:jc w:val="both"/>
        <w:rPr>
          <w:rFonts w:ascii="Poppins" w:cs="Poppins" w:eastAsia="Poppins" w:hAnsi="Poppins"/>
        </w:rPr>
      </w:pPr>
      <w:r w:rsidDel="00000000" w:rsidR="00000000" w:rsidRPr="00000000">
        <w:rPr>
          <w:rFonts w:ascii="Poppins" w:cs="Poppins" w:eastAsia="Poppins" w:hAnsi="Poppins"/>
          <w:rtl w:val="0"/>
        </w:rPr>
        <w:t xml:space="preserve">Jednak mimo tych pozytywnych sygnałów rynek zmaga się z wieloma wyzwaniami. Branża metalowa odczuwa skutki globalnej wojny handlowej, zwłaszcza ograniczeń handlu między USA a UE oraz spadku zamówień z Niemiec - głównego rynku zbytu polskich producentów. Co więcej, wśród przedsiębiorców aż 47% wskazuje na rosnące ceny energii jako największe zagrożenie dla biznesu, a 38% na drożejące surowce</w:t>
      </w:r>
      <w:r w:rsidDel="00000000" w:rsidR="00000000" w:rsidRPr="00000000">
        <w:rPr>
          <w:rFonts w:ascii="Poppins" w:cs="Poppins" w:eastAsia="Poppins" w:hAnsi="Poppins"/>
          <w:vertAlign w:val="superscript"/>
        </w:rPr>
        <w:footnoteReference w:customMarkFollows="0" w:id="2"/>
      </w:r>
      <w:r w:rsidDel="00000000" w:rsidR="00000000" w:rsidRPr="00000000">
        <w:rPr>
          <w:rFonts w:ascii="Poppins" w:cs="Poppins" w:eastAsia="Poppins" w:hAnsi="Poppins"/>
          <w:rtl w:val="0"/>
        </w:rPr>
        <w:t xml:space="preserve">. Do tego dochodzi kryzys płynnościowy i presja kosztowa, które ograniczają możliwości inwestycyjne i zmuszają do bardziej precyzyjnego zarządzania finansami.</w:t>
      </w:r>
    </w:p>
    <w:p w:rsidR="00000000" w:rsidDel="00000000" w:rsidP="00000000" w:rsidRDefault="00000000" w:rsidRPr="00000000" w14:paraId="00000009">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0A">
      <w:pPr>
        <w:jc w:val="both"/>
        <w:rPr>
          <w:rFonts w:ascii="Poppins" w:cs="Poppins" w:eastAsia="Poppins" w:hAnsi="Poppins"/>
          <w:highlight w:val="white"/>
        </w:rPr>
      </w:pPr>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i w:val="1"/>
          <w:iCs w:val="1"/>
          <w:rtl w:val="0"/>
        </w:rPr>
        <w:t xml:space="preserve">W obliczu wymagającej sytuacji rynku, f</w:t>
      </w:r>
      <w:r w:rsidDel="00000000" w:rsidR="00000000" w:rsidRPr="00000000">
        <w:rPr>
          <w:rFonts w:ascii="Poppins" w:cs="Poppins" w:eastAsia="Poppins" w:hAnsi="Poppins"/>
          <w:i w:val="1"/>
          <w:iCs w:val="1"/>
          <w:rtl w:val="0"/>
        </w:rPr>
        <w:t xml:space="preserve">irmy coraz częściej kierują się w stronę rozwiązań alternatywnych: leasingu sprzętu używanego, wtórnego obrotu maszynami i uproszczonych modeli finansowania. </w:t>
      </w:r>
      <w:r w:rsidDel="00000000" w:rsidR="00000000" w:rsidRPr="00000000">
        <w:rPr>
          <w:rFonts w:ascii="Poppins" w:cs="Poppins" w:eastAsia="Poppins" w:hAnsi="Poppins"/>
          <w:i w:val="1"/>
          <w:iCs w:val="1"/>
          <w:rtl w:val="0"/>
        </w:rPr>
        <w:t xml:space="preserve">Dlatego tak ważne jest, by propozycje finansowania były maksymalnie elastyczne, pozwalając przedsiębiorstwom nie tylko na dostęp do sprawdzonych technologii, ale także na efektywne zarządzanie kapitałem i </w:t>
      </w:r>
      <w:r w:rsidDel="00000000" w:rsidR="00000000" w:rsidRPr="00000000">
        <w:rPr>
          <w:rFonts w:ascii="Poppins" w:cs="Poppins" w:eastAsia="Poppins" w:hAnsi="Poppins"/>
          <w:i w:val="1"/>
          <w:iCs w:val="1"/>
          <w:highlight w:val="white"/>
          <w:rtl w:val="0"/>
        </w:rPr>
        <w:t xml:space="preserve">ryzykiem w zmiennych warunkach gospodarczych</w:t>
      </w:r>
      <w:r w:rsidDel="00000000" w:rsidR="00000000" w:rsidRPr="00000000">
        <w:rPr>
          <w:rFonts w:ascii="Poppins" w:cs="Poppins" w:eastAsia="Poppins" w:hAnsi="Poppins"/>
          <w:highlight w:val="white"/>
          <w:rtl w:val="0"/>
        </w:rPr>
        <w:t xml:space="preserve">” - podkreśla Artych. </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rFonts w:ascii="Poppins" w:cs="Poppins" w:eastAsia="Poppins" w:hAnsi="Poppins"/>
          <w:b w:val="1"/>
          <w:bCs w:val="1"/>
          <w:sz w:val="22"/>
          <w:szCs w:val="22"/>
        </w:rPr>
      </w:pPr>
      <w:bookmarkStart w:colFirst="0" w:colLast="0" w:name="_6pkwcy7mba4n" w:id="2"/>
      <w:bookmarkEnd w:id="2"/>
      <w:r w:rsidDel="00000000" w:rsidR="00000000" w:rsidRPr="00000000">
        <w:rPr>
          <w:rFonts w:ascii="Poppins" w:cs="Poppins" w:eastAsia="Poppins" w:hAnsi="Poppins"/>
          <w:b w:val="1"/>
          <w:bCs w:val="1"/>
          <w:sz w:val="22"/>
          <w:szCs w:val="22"/>
          <w:rtl w:val="0"/>
        </w:rPr>
        <w:t xml:space="preserve">Rynek wtórny: oszczędność, elastyczność i szybki start</w:t>
      </w:r>
      <w:r w:rsidDel="00000000" w:rsidR="00000000" w:rsidRPr="00000000">
        <w:rPr>
          <w:rtl w:val="0"/>
        </w:rPr>
      </w:r>
    </w:p>
    <w:p w:rsidR="00000000" w:rsidDel="00000000" w:rsidP="00000000" w:rsidRDefault="00000000" w:rsidRPr="00000000" w14:paraId="0000000C">
      <w:pPr>
        <w:spacing w:after="120" w:before="120" w:lineRule="auto"/>
        <w:jc w:val="both"/>
        <w:rPr>
          <w:rFonts w:ascii="Poppins" w:cs="Poppins" w:eastAsia="Poppins" w:hAnsi="Poppins"/>
        </w:rPr>
      </w:pPr>
      <w:r w:rsidDel="00000000" w:rsidR="00000000" w:rsidRPr="00000000">
        <w:rPr>
          <w:rFonts w:ascii="Poppins" w:cs="Poppins" w:eastAsia="Poppins" w:hAnsi="Poppins"/>
          <w:rtl w:val="0"/>
        </w:rPr>
        <w:t xml:space="preserve">Dlaczego firmy wybierają używane maszyny? Rynek wtórny maszyn do obróbki metali, choć postrzegany jako niszowy, przeżywa obecnie dynamiczne zmiany. Używane urządzenia trafiają szczególnie do MŚP szukających możliwości produkcyjnych przy mniejszym zaangażowaniu kapitału i szybszym wdrożeniu. </w:t>
      </w:r>
      <w:r w:rsidDel="00000000" w:rsidR="00000000" w:rsidRPr="00000000">
        <w:rPr>
          <w:rFonts w:ascii="Poppins" w:cs="Poppins" w:eastAsia="Poppins" w:hAnsi="Poppins"/>
          <w:rtl w:val="0"/>
        </w:rPr>
        <w:t xml:space="preserve">Cykl życia tych urządzeń pozwala na wieloletnie użytkowanie oraz spełnianie norm jakościowych w różnych gałęziach przemysłu.</w:t>
      </w:r>
    </w:p>
    <w:p w:rsidR="00000000" w:rsidDel="00000000" w:rsidP="00000000" w:rsidRDefault="00000000" w:rsidRPr="00000000" w14:paraId="0000000D">
      <w:pPr>
        <w:spacing w:after="120" w:before="120" w:lineRule="auto"/>
        <w:jc w:val="both"/>
        <w:rPr>
          <w:rFonts w:ascii="Poppins" w:cs="Poppins" w:eastAsia="Poppins" w:hAnsi="Poppins"/>
          <w:highlight w:val="yellow"/>
        </w:rPr>
      </w:pPr>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i w:val="1"/>
          <w:iCs w:val="1"/>
          <w:rtl w:val="0"/>
        </w:rPr>
        <w:t xml:space="preserve">Rynek maszyn używanych jest dla wielu przedsiębiorstw jedyną realną ścieżką modernizacji parku maszynowego. Przedsiębiorcy coraz częściej wybierają używane maszyny, bo  pozwalają im one na znaczące obniżenie kosztów inwestycji początkowej, co jest kluczowe w dobie kryzysu płynnościowego i narastającej presji cenowej. Dlatego dostosowujemy procedury finansowania do rzeczywistych potrzeb.</w:t>
      </w:r>
      <w:r w:rsidDel="00000000" w:rsidR="00000000" w:rsidRPr="00000000">
        <w:rPr>
          <w:rFonts w:ascii="Poppins" w:cs="Poppins" w:eastAsia="Poppins" w:hAnsi="Poppins"/>
          <w:rtl w:val="0"/>
        </w:rPr>
        <w:t xml:space="preserve">” - dodaje ekspert. </w:t>
      </w:r>
      <w:r w:rsidDel="00000000" w:rsidR="00000000" w:rsidRPr="00000000">
        <w:rPr>
          <w:rtl w:val="0"/>
        </w:rPr>
      </w:r>
    </w:p>
    <w:p w:rsidR="00000000" w:rsidDel="00000000" w:rsidP="00000000" w:rsidRDefault="00000000" w:rsidRPr="00000000" w14:paraId="0000000E">
      <w:pPr>
        <w:jc w:val="both"/>
        <w:rPr>
          <w:rFonts w:ascii="Poppins" w:cs="Poppins" w:eastAsia="Poppins" w:hAnsi="Poppins"/>
        </w:rPr>
      </w:pPr>
      <w:r w:rsidDel="00000000" w:rsidR="00000000" w:rsidRPr="00000000">
        <w:rPr>
          <w:rFonts w:ascii="Poppins" w:cs="Poppins" w:eastAsia="Poppins" w:hAnsi="Poppins"/>
          <w:rtl w:val="0"/>
        </w:rPr>
        <w:t xml:space="preserve">Rynek wtórny maszyn do obróbki metali pozostaje odporny na szoki koniunkturalne. Utrzymuje popyt szczególnie w segmencie małych i średnich przedsiębiorstw, dla których kryterium kosztowe oraz elastyczność inwestycyjna są kluczowe dla utrzymania konkurencyjności. </w:t>
      </w:r>
    </w:p>
    <w:p w:rsidR="00000000" w:rsidDel="00000000" w:rsidP="00000000" w:rsidRDefault="00000000" w:rsidRPr="00000000" w14:paraId="0000000F">
      <w:pPr>
        <w:pStyle w:val="Heading2"/>
        <w:keepNext w:val="0"/>
        <w:keepLines w:val="0"/>
        <w:spacing w:after="80" w:lineRule="auto"/>
        <w:jc w:val="both"/>
        <w:rPr>
          <w:rFonts w:ascii="Poppins" w:cs="Poppins" w:eastAsia="Poppins" w:hAnsi="Poppins"/>
          <w:b w:val="1"/>
          <w:bCs w:val="1"/>
          <w:sz w:val="22"/>
          <w:szCs w:val="22"/>
        </w:rPr>
      </w:pPr>
      <w:bookmarkStart w:colFirst="0" w:colLast="0" w:name="_lnlkgzbpc0ft" w:id="3"/>
      <w:bookmarkEnd w:id="3"/>
      <w:r w:rsidDel="00000000" w:rsidR="00000000" w:rsidRPr="00000000">
        <w:rPr>
          <w:rFonts w:ascii="Poppins" w:cs="Poppins" w:eastAsia="Poppins" w:hAnsi="Poppins"/>
          <w:b w:val="1"/>
          <w:bCs w:val="1"/>
          <w:sz w:val="22"/>
          <w:szCs w:val="22"/>
          <w:rtl w:val="0"/>
        </w:rPr>
        <w:t xml:space="preserve">Nowe warunki finansowania w Santander Leasing</w:t>
      </w:r>
    </w:p>
    <w:p w:rsidR="00000000" w:rsidDel="00000000" w:rsidP="00000000" w:rsidRDefault="00000000" w:rsidRPr="00000000" w14:paraId="00000010">
      <w:pPr>
        <w:spacing w:after="120" w:before="120" w:lineRule="auto"/>
        <w:jc w:val="both"/>
        <w:rPr>
          <w:rFonts w:ascii="Poppins" w:cs="Poppins" w:eastAsia="Poppins" w:hAnsi="Poppins"/>
        </w:rPr>
      </w:pPr>
      <w:r w:rsidDel="00000000" w:rsidR="00000000" w:rsidRPr="00000000">
        <w:rPr>
          <w:rFonts w:ascii="Poppins" w:cs="Poppins" w:eastAsia="Poppins" w:hAnsi="Poppins"/>
          <w:rtl w:val="0"/>
        </w:rPr>
        <w:t xml:space="preserve">Santander Leasing wprowadził szereg istotnych zmian w procedurze finansowania używanych maszyn do obróbki metali, które znacząco zwiększają dostępność tej formy wsparcia dla przedsiębiorców z sektora produkcyjnego. Najważniejsze nowości to podniesienie maksymalnego dopuszczalnego wieku finansowanych urządzeń z 6 do 10 lat, co pozwala na szersze wykorzystanie starszych, ale wciąż sprawnych i precyzyjnych maszyn, takich jak obrabiarki kombinowane, tokarki, frezarki, szlifierki oraz prasy hydrauliczne.</w:t>
      </w:r>
    </w:p>
    <w:p w:rsidR="00000000" w:rsidDel="00000000" w:rsidP="00000000" w:rsidRDefault="00000000" w:rsidRPr="00000000" w14:paraId="00000011">
      <w:pPr>
        <w:spacing w:after="120" w:before="240" w:lineRule="auto"/>
        <w:jc w:val="both"/>
        <w:rPr>
          <w:rFonts w:ascii="Poppins" w:cs="Poppins" w:eastAsia="Poppins" w:hAnsi="Poppins"/>
        </w:rPr>
      </w:pPr>
      <w:r w:rsidDel="00000000" w:rsidR="00000000" w:rsidRPr="00000000">
        <w:rPr>
          <w:rFonts w:ascii="Poppins" w:cs="Poppins" w:eastAsia="Poppins" w:hAnsi="Poppins"/>
          <w:rtl w:val="0"/>
        </w:rPr>
        <w:t xml:space="preserve">Jednocześnie firma uściśliła, że suma wieku maszyny i okresu finansowania nie może przekroczyć 13 lat (wcześniej limit wynosił 9 lat). Maksymalny okres leasingu został wydłużony z 5 do 6 lat, co pozwala na rozłożenie kosztów na dłuższy czas i lepsze dopasowanie warunków do potrzeb klientów. Dla maszyn starszych niż 6 lat Santander Leasing wymaga 10% udziału własnego klienta, podczas gdy dla młodszych udział własny pozostaje bez zmian, zaczynając się od 0%.</w:t>
      </w:r>
    </w:p>
    <w:p w:rsidR="00000000" w:rsidDel="00000000" w:rsidP="00000000" w:rsidRDefault="00000000" w:rsidRPr="00000000" w14:paraId="00000012">
      <w:pPr>
        <w:spacing w:after="120" w:before="240" w:lineRule="auto"/>
        <w:jc w:val="both"/>
        <w:rPr>
          <w:rFonts w:ascii="Poppins" w:cs="Poppins" w:eastAsia="Poppins" w:hAnsi="Poppins"/>
        </w:rPr>
      </w:pPr>
      <w:r w:rsidDel="00000000" w:rsidR="00000000" w:rsidRPr="00000000">
        <w:rPr>
          <w:rFonts w:ascii="Poppins" w:cs="Poppins" w:eastAsia="Poppins" w:hAnsi="Poppins"/>
          <w:rtl w:val="0"/>
        </w:rPr>
        <w:t xml:space="preserve">Ponadto uproszczono procedury aplikacyjne - nie jest już konieczne dostarczanie dokumentów finansowych przy ubieganiu się o leasing używanych maszyn, a decyzja może być podjęta nawet w ciągu kilku godzin od złożenia wniosku. To znaczne ułatwienie ma kluczowe znaczenie w warunkach dynamicznie zmieniającego się rynku, gdzie szybkość działania i dostęp do elastycznych źródeł finansowania są niezbędne.</w:t>
      </w:r>
    </w:p>
    <w:p w:rsidR="00000000" w:rsidDel="00000000" w:rsidP="00000000" w:rsidRDefault="00000000" w:rsidRPr="00000000" w14:paraId="00000013">
      <w:pPr>
        <w:spacing w:after="120" w:befor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spacing w:after="120" w:befor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12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rFonts w:ascii="Roboto" w:cs="Roboto" w:eastAsia="Roboto" w:hAnsi="Roboto"/>
            <w:color w:val="0b57d0"/>
            <w:sz w:val="21"/>
            <w:szCs w:val="21"/>
            <w:highlight w:val="white"/>
            <w:rtl w:val="0"/>
          </w:rPr>
          <w:t xml:space="preserve">https://www.infor.pl/prawo/zarobki/zarobki-i-prawo/7302232,sektor-przemyslowy-w-polsce-w-2025-roku-miedzy-presja-kosztowa-a-inwestycjami-w-przyszlosc-raport-wynagrodzen-w-sektorze-przemyslowym.html</w:t>
        </w:r>
      </w:hyperlink>
      <w:r w:rsidDel="00000000" w:rsidR="00000000" w:rsidRPr="00000000">
        <w:rPr>
          <w:sz w:val="20"/>
          <w:szCs w:val="20"/>
          <w:rtl w:val="0"/>
        </w:rPr>
        <w:t xml:space="preserve"> </w:t>
      </w:r>
    </w:p>
  </w:footnote>
  <w:footnote w:id="1">
    <w:p w:rsidR="00000000" w:rsidDel="00000000" w:rsidP="00000000" w:rsidRDefault="00000000" w:rsidRPr="00000000" w14:paraId="0000001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rFonts w:ascii="Roboto" w:cs="Roboto" w:eastAsia="Roboto" w:hAnsi="Roboto"/>
            <w:color w:val="0b57d0"/>
            <w:sz w:val="21"/>
            <w:szCs w:val="21"/>
            <w:highlight w:val="white"/>
            <w:rtl w:val="0"/>
          </w:rPr>
          <w:t xml:space="preserve">https://polskiprzemysl.com.pl/branza-metalowa-w-polsce-2025/</w:t>
        </w:r>
      </w:hyperlink>
      <w:r w:rsidDel="00000000" w:rsidR="00000000" w:rsidRPr="00000000">
        <w:rPr>
          <w:rtl w:val="0"/>
        </w:rPr>
      </w:r>
    </w:p>
  </w:footnote>
  <w:footnote w:id="2">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rFonts w:ascii="Roboto" w:cs="Roboto" w:eastAsia="Roboto" w:hAnsi="Roboto"/>
            <w:color w:val="0b57d0"/>
            <w:sz w:val="21"/>
            <w:szCs w:val="21"/>
            <w:highlight w:val="white"/>
            <w:rtl w:val="0"/>
          </w:rPr>
          <w:t xml:space="preserve">https://polskiprzemysl.com.pl/branza-metalowa-w-polsce-2025/</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nfor.pl/prawo/zarobki/zarobki-i-prawo/7302232,sektor-przemyslowy-w-polsce-w-2025-roku-miedzy-presja-kosztowa-a-inwestycjami-w-przyszlosc-raport-wynagrodzen-w-sektorze-przemyslowym.html" TargetMode="External"/><Relationship Id="rId2" Type="http://schemas.openxmlformats.org/officeDocument/2006/relationships/hyperlink" Target="https://polskiprzemysl.com.pl/branza-metalowa-w-polsce-2025/" TargetMode="External"/><Relationship Id="rId3" Type="http://schemas.openxmlformats.org/officeDocument/2006/relationships/hyperlink" Target="https://polskiprzemysl.com.pl/branza-metalowa-w-polsc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