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8D051" w14:textId="77777777" w:rsidR="00484684" w:rsidRDefault="00484684" w:rsidP="00484684">
      <w:pPr>
        <w:pStyle w:val="Ttulo2"/>
        <w:jc w:val="center"/>
        <w:rPr>
          <w:rFonts w:ascii="Arial" w:hAnsi="Arial" w:cs="Arial"/>
          <w:color w:val="auto"/>
          <w:lang w:val="pt-PT"/>
        </w:rPr>
      </w:pPr>
    </w:p>
    <w:p w14:paraId="12213693" w14:textId="27072559" w:rsidR="00C41738" w:rsidRDefault="00C41738" w:rsidP="00B661DD">
      <w:pPr>
        <w:jc w:val="center"/>
        <w:rPr>
          <w:rFonts w:ascii="Arial" w:eastAsiaTheme="majorEastAsia" w:hAnsi="Arial" w:cs="Arial"/>
          <w:b/>
          <w:bCs/>
          <w:sz w:val="32"/>
          <w:szCs w:val="32"/>
          <w:lang w:val="pt-PT"/>
        </w:rPr>
      </w:pPr>
      <w:r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Lucro 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da Xiaomi </w:t>
      </w:r>
      <w:r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dispara 80,9% 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t>no terceiro trimestre de 2025</w:t>
      </w:r>
      <w:r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, 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t>para 1</w:t>
      </w:r>
      <w:r w:rsidR="009023D7">
        <w:rPr>
          <w:rFonts w:ascii="Arial" w:eastAsiaTheme="majorEastAsia" w:hAnsi="Arial" w:cs="Arial"/>
          <w:b/>
          <w:bCs/>
          <w:sz w:val="32"/>
          <w:szCs w:val="32"/>
          <w:lang w:val="pt-PT"/>
        </w:rPr>
        <w:t>,3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 mil milhões de </w:t>
      </w:r>
      <w:r w:rsidR="00D0518D">
        <w:rPr>
          <w:rFonts w:ascii="Arial" w:eastAsiaTheme="majorEastAsia" w:hAnsi="Arial" w:cs="Arial"/>
          <w:b/>
          <w:bCs/>
          <w:sz w:val="32"/>
          <w:szCs w:val="32"/>
          <w:lang w:val="pt-PT"/>
        </w:rPr>
        <w:t>euros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t>,</w:t>
      </w:r>
      <w:r w:rsidRPr="00C41738">
        <w:rPr>
          <w:rFonts w:ascii="Arial" w:eastAsiaTheme="majorEastAsia" w:hAnsi="Arial" w:cs="Arial"/>
          <w:b/>
          <w:bCs/>
          <w:sz w:val="32"/>
          <w:szCs w:val="32"/>
          <w:lang w:val="pt-PT"/>
        </w:rPr>
        <w:br/>
        <w:t>superando as estimativas do</w:t>
      </w:r>
      <w:r>
        <w:rPr>
          <w:rFonts w:ascii="Arial" w:eastAsiaTheme="majorEastAsia" w:hAnsi="Arial" w:cs="Arial"/>
          <w:b/>
          <w:bCs/>
          <w:sz w:val="32"/>
          <w:szCs w:val="32"/>
          <w:lang w:val="pt-PT"/>
        </w:rPr>
        <w:t xml:space="preserve"> mercado</w:t>
      </w:r>
    </w:p>
    <w:p w14:paraId="2A8A49F3" w14:textId="077AA879" w:rsidR="00C41738" w:rsidRDefault="00C41738" w:rsidP="00C41738">
      <w:pPr>
        <w:jc w:val="center"/>
        <w:rPr>
          <w:rFonts w:ascii="Arial" w:eastAsiaTheme="majorEastAsia" w:hAnsi="Arial" w:cs="Arial"/>
          <w:i/>
          <w:iCs/>
          <w:lang w:val="pt-PT"/>
        </w:rPr>
      </w:pPr>
      <w:r>
        <w:rPr>
          <w:rFonts w:ascii="Arial" w:eastAsiaTheme="majorEastAsia" w:hAnsi="Arial" w:cs="Arial"/>
          <w:i/>
          <w:iCs/>
          <w:lang w:val="pt-PT"/>
        </w:rPr>
        <w:t xml:space="preserve">O resultado líquido </w:t>
      </w:r>
      <w:r w:rsidRPr="00C41738">
        <w:rPr>
          <w:rFonts w:ascii="Arial" w:eastAsiaTheme="majorEastAsia" w:hAnsi="Arial" w:cs="Arial"/>
          <w:i/>
          <w:iCs/>
          <w:lang w:val="pt-PT"/>
        </w:rPr>
        <w:t xml:space="preserve">trimestral atingiu 113,1 mil milhões de </w:t>
      </w:r>
      <w:r w:rsidR="00D0518D" w:rsidRPr="00D0518D">
        <w:rPr>
          <w:rFonts w:ascii="Arial" w:eastAsiaTheme="majorEastAsia" w:hAnsi="Arial" w:cs="Arial"/>
          <w:i/>
          <w:iCs/>
          <w:lang w:val="pt-PT"/>
        </w:rPr>
        <w:t>yuans</w:t>
      </w:r>
      <w:r w:rsidR="00D0518D">
        <w:rPr>
          <w:rFonts w:ascii="Arial" w:eastAsiaTheme="majorEastAsia" w:hAnsi="Arial" w:cs="Arial"/>
          <w:i/>
          <w:iCs/>
          <w:lang w:val="pt-PT"/>
        </w:rPr>
        <w:t xml:space="preserve"> (13,7 mil milhões de euros)</w:t>
      </w:r>
      <w:r w:rsidRPr="00C41738">
        <w:rPr>
          <w:rFonts w:ascii="Arial" w:eastAsiaTheme="majorEastAsia" w:hAnsi="Arial" w:cs="Arial"/>
          <w:i/>
          <w:iCs/>
          <w:lang w:val="pt-PT"/>
        </w:rPr>
        <w:t xml:space="preserve">, ultrapassando a marca dos 100 mil milhões de </w:t>
      </w:r>
      <w:r w:rsidR="00D0518D">
        <w:rPr>
          <w:rFonts w:ascii="Arial" w:eastAsiaTheme="majorEastAsia" w:hAnsi="Arial" w:cs="Arial"/>
          <w:i/>
          <w:iCs/>
          <w:lang w:val="pt-PT"/>
        </w:rPr>
        <w:t>yuans</w:t>
      </w:r>
      <w:r w:rsidRPr="00C41738">
        <w:rPr>
          <w:rFonts w:ascii="Arial" w:eastAsiaTheme="majorEastAsia" w:hAnsi="Arial" w:cs="Arial"/>
          <w:i/>
          <w:iCs/>
          <w:lang w:val="pt-PT"/>
        </w:rPr>
        <w:t xml:space="preserve"> </w:t>
      </w:r>
      <w:r w:rsidR="00D0518D">
        <w:rPr>
          <w:rFonts w:ascii="Arial" w:eastAsiaTheme="majorEastAsia" w:hAnsi="Arial" w:cs="Arial"/>
          <w:i/>
          <w:iCs/>
          <w:lang w:val="pt-PT"/>
        </w:rPr>
        <w:t xml:space="preserve">(12 mil milhões de euros) </w:t>
      </w:r>
      <w:r w:rsidRPr="00C41738">
        <w:rPr>
          <w:rFonts w:ascii="Arial" w:eastAsiaTheme="majorEastAsia" w:hAnsi="Arial" w:cs="Arial"/>
          <w:i/>
          <w:iCs/>
          <w:lang w:val="pt-PT"/>
        </w:rPr>
        <w:t xml:space="preserve">pelo quarto trimestre consecutivo; </w:t>
      </w:r>
    </w:p>
    <w:p w14:paraId="31A39EC4" w14:textId="786E0B57" w:rsidR="00C41738" w:rsidRDefault="00C41738" w:rsidP="00C41738">
      <w:pPr>
        <w:jc w:val="center"/>
        <w:rPr>
          <w:rFonts w:ascii="Arial" w:eastAsiaTheme="majorEastAsia" w:hAnsi="Arial" w:cs="Arial"/>
          <w:i/>
          <w:iCs/>
          <w:lang w:val="pt-PT"/>
        </w:rPr>
      </w:pPr>
      <w:r>
        <w:rPr>
          <w:rFonts w:ascii="Arial" w:eastAsiaTheme="majorEastAsia" w:hAnsi="Arial" w:cs="Arial"/>
          <w:i/>
          <w:iCs/>
          <w:lang w:val="pt-PT"/>
        </w:rPr>
        <w:t>O</w:t>
      </w:r>
      <w:r w:rsidRPr="00C41738">
        <w:rPr>
          <w:rFonts w:ascii="Arial" w:eastAsiaTheme="majorEastAsia" w:hAnsi="Arial" w:cs="Arial"/>
          <w:i/>
          <w:iCs/>
          <w:lang w:val="pt-PT"/>
        </w:rPr>
        <w:t xml:space="preserve"> negócio de veículos elétricos inteligentes da Xiaomi registou, pela primeira vez, um resultado operacional trimestral positivo</w:t>
      </w:r>
      <w:r>
        <w:rPr>
          <w:rFonts w:ascii="Arial" w:eastAsiaTheme="majorEastAsia" w:hAnsi="Arial" w:cs="Arial"/>
          <w:i/>
          <w:iCs/>
          <w:lang w:val="pt-PT"/>
        </w:rPr>
        <w:t>;</w:t>
      </w:r>
    </w:p>
    <w:p w14:paraId="5A4CC60A" w14:textId="687243A5" w:rsidR="0085350E" w:rsidRDefault="00B661DD" w:rsidP="0085350E">
      <w:pPr>
        <w:jc w:val="both"/>
        <w:rPr>
          <w:rFonts w:ascii="Arial" w:hAnsi="Arial" w:cs="Arial"/>
          <w:sz w:val="20"/>
          <w:szCs w:val="20"/>
          <w:lang w:val="pt-PT"/>
        </w:rPr>
      </w:pPr>
      <w:r w:rsidRPr="00BA6FD5">
        <w:rPr>
          <w:rFonts w:ascii="Arial" w:hAnsi="Arial" w:cs="Arial"/>
          <w:b/>
          <w:bCs/>
          <w:sz w:val="20"/>
          <w:szCs w:val="20"/>
          <w:lang w:val="pt-PT"/>
        </w:rPr>
        <w:t>Lisboa</w:t>
      </w:r>
      <w:r w:rsidR="00DB43EA" w:rsidRPr="00BA6FD5">
        <w:rPr>
          <w:rFonts w:ascii="Arial" w:hAnsi="Arial" w:cs="Arial"/>
          <w:b/>
          <w:bCs/>
          <w:sz w:val="20"/>
          <w:szCs w:val="20"/>
          <w:lang w:val="pt-PT"/>
        </w:rPr>
        <w:t xml:space="preserve">, </w:t>
      </w:r>
      <w:r w:rsidR="00962887">
        <w:rPr>
          <w:rFonts w:ascii="Arial" w:hAnsi="Arial" w:cs="Arial"/>
          <w:b/>
          <w:bCs/>
          <w:sz w:val="20"/>
          <w:szCs w:val="20"/>
          <w:lang w:val="pt-PT"/>
        </w:rPr>
        <w:t>18</w:t>
      </w:r>
      <w:r w:rsidR="00DB43EA" w:rsidRPr="00BA6FD5">
        <w:rPr>
          <w:rFonts w:ascii="Arial" w:hAnsi="Arial" w:cs="Arial"/>
          <w:b/>
          <w:bCs/>
          <w:sz w:val="20"/>
          <w:szCs w:val="20"/>
          <w:lang w:val="pt-PT"/>
        </w:rPr>
        <w:t xml:space="preserve"> de </w:t>
      </w:r>
      <w:r w:rsidRPr="00BA6FD5">
        <w:rPr>
          <w:rFonts w:ascii="Arial" w:hAnsi="Arial" w:cs="Arial"/>
          <w:b/>
          <w:bCs/>
          <w:sz w:val="20"/>
          <w:szCs w:val="20"/>
          <w:lang w:val="pt-PT"/>
        </w:rPr>
        <w:t>novembro</w:t>
      </w:r>
      <w:r w:rsidR="00DB43EA" w:rsidRPr="00BA6FD5">
        <w:rPr>
          <w:rFonts w:ascii="Arial" w:hAnsi="Arial" w:cs="Arial"/>
          <w:b/>
          <w:bCs/>
          <w:sz w:val="20"/>
          <w:szCs w:val="20"/>
          <w:lang w:val="pt-PT"/>
        </w:rPr>
        <w:t xml:space="preserve"> de 2025 –</w:t>
      </w:r>
      <w:r w:rsidR="00C41738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A Xiaomi Corporation anunciou os resultados consolidados não auditados relativos aos três meses terminados </w:t>
      </w:r>
      <w:r w:rsidR="00C41738">
        <w:rPr>
          <w:rFonts w:ascii="Arial" w:hAnsi="Arial" w:cs="Arial"/>
          <w:sz w:val="20"/>
          <w:szCs w:val="20"/>
          <w:lang w:val="pt-PT"/>
        </w:rPr>
        <w:t>a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 30 de setembro de 2025. </w:t>
      </w:r>
      <w:r w:rsidR="00C41738">
        <w:rPr>
          <w:rFonts w:ascii="Arial" w:hAnsi="Arial" w:cs="Arial"/>
          <w:sz w:val="20"/>
          <w:szCs w:val="20"/>
          <w:lang w:val="pt-PT"/>
        </w:rPr>
        <w:t xml:space="preserve">Neste trimestre, 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o Grupo manteve um forte impulso de crescimento </w:t>
      </w:r>
      <w:r w:rsidR="00C41738">
        <w:rPr>
          <w:rFonts w:ascii="Arial" w:hAnsi="Arial" w:cs="Arial"/>
          <w:sz w:val="20"/>
          <w:szCs w:val="20"/>
          <w:lang w:val="pt-PT"/>
        </w:rPr>
        <w:t>com o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 lucro líquido ajustado </w:t>
      </w:r>
      <w:r w:rsidR="00C41738">
        <w:rPr>
          <w:rFonts w:ascii="Arial" w:hAnsi="Arial" w:cs="Arial"/>
          <w:sz w:val="20"/>
          <w:szCs w:val="20"/>
          <w:lang w:val="pt-PT"/>
        </w:rPr>
        <w:t xml:space="preserve">a </w:t>
      </w:r>
      <w:r w:rsidR="00C41738" w:rsidRPr="00C41738">
        <w:rPr>
          <w:rFonts w:ascii="Arial" w:hAnsi="Arial" w:cs="Arial"/>
          <w:sz w:val="20"/>
          <w:szCs w:val="20"/>
          <w:lang w:val="pt-PT"/>
        </w:rPr>
        <w:t>atingi</w:t>
      </w:r>
      <w:r w:rsidR="00C41738">
        <w:rPr>
          <w:rFonts w:ascii="Arial" w:hAnsi="Arial" w:cs="Arial"/>
          <w:sz w:val="20"/>
          <w:szCs w:val="20"/>
          <w:lang w:val="pt-PT"/>
        </w:rPr>
        <w:t>r os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 11,3 mil milhões de </w:t>
      </w:r>
      <w:r w:rsidR="00D0518D">
        <w:rPr>
          <w:rFonts w:ascii="Arial" w:hAnsi="Arial" w:cs="Arial"/>
          <w:sz w:val="20"/>
          <w:szCs w:val="20"/>
          <w:lang w:val="pt-PT"/>
        </w:rPr>
        <w:t>yuans (1,3 mil milhões de euros)</w:t>
      </w:r>
      <w:r w:rsidR="00C41738" w:rsidRPr="00C41738">
        <w:rPr>
          <w:rFonts w:ascii="Arial" w:hAnsi="Arial" w:cs="Arial"/>
          <w:sz w:val="20"/>
          <w:szCs w:val="20"/>
          <w:lang w:val="pt-PT"/>
        </w:rPr>
        <w:t xml:space="preserve">, crescendo 80,9% em termos homólogos, superando significativamente as expectativas do mercado e estabelecendo um novo recorde histórico. </w:t>
      </w:r>
      <w:r w:rsidR="0085350E">
        <w:rPr>
          <w:rFonts w:ascii="Arial" w:hAnsi="Arial" w:cs="Arial"/>
          <w:sz w:val="20"/>
          <w:szCs w:val="20"/>
          <w:lang w:val="pt-PT"/>
        </w:rPr>
        <w:t xml:space="preserve">A </w:t>
      </w:r>
      <w:r w:rsidR="0085350E" w:rsidRPr="00C41738">
        <w:rPr>
          <w:rFonts w:ascii="Arial" w:hAnsi="Arial" w:cs="Arial"/>
          <w:sz w:val="20"/>
          <w:szCs w:val="20"/>
          <w:lang w:val="pt-PT"/>
        </w:rPr>
        <w:t>receita total alcanç</w:t>
      </w:r>
      <w:r w:rsidR="0085350E">
        <w:rPr>
          <w:rFonts w:ascii="Arial" w:hAnsi="Arial" w:cs="Arial"/>
          <w:sz w:val="20"/>
          <w:szCs w:val="20"/>
          <w:lang w:val="pt-PT"/>
        </w:rPr>
        <w:t>ou os</w:t>
      </w:r>
      <w:r w:rsidR="0085350E" w:rsidRPr="00C41738">
        <w:rPr>
          <w:rFonts w:ascii="Arial" w:hAnsi="Arial" w:cs="Arial"/>
          <w:sz w:val="20"/>
          <w:szCs w:val="20"/>
          <w:lang w:val="pt-PT"/>
        </w:rPr>
        <w:t xml:space="preserve"> 113,1 mil milhões de </w:t>
      </w:r>
      <w:r w:rsidR="00D0518D">
        <w:rPr>
          <w:rFonts w:ascii="Arial" w:hAnsi="Arial" w:cs="Arial"/>
          <w:sz w:val="20"/>
          <w:szCs w:val="20"/>
          <w:lang w:val="pt-PT"/>
        </w:rPr>
        <w:t>yuans</w:t>
      </w:r>
      <w:r w:rsidR="00B8611C">
        <w:rPr>
          <w:rFonts w:ascii="Arial" w:hAnsi="Arial" w:cs="Arial"/>
          <w:sz w:val="20"/>
          <w:szCs w:val="20"/>
          <w:lang w:val="pt-PT"/>
        </w:rPr>
        <w:t xml:space="preserve"> </w:t>
      </w:r>
      <w:r w:rsidR="00D0518D">
        <w:rPr>
          <w:rFonts w:ascii="Arial" w:hAnsi="Arial" w:cs="Arial"/>
          <w:sz w:val="20"/>
          <w:szCs w:val="20"/>
          <w:lang w:val="pt-PT"/>
        </w:rPr>
        <w:t>(13,7 mil milhões de euros)</w:t>
      </w:r>
      <w:r w:rsidR="0085350E" w:rsidRPr="00C41738">
        <w:rPr>
          <w:rFonts w:ascii="Arial" w:hAnsi="Arial" w:cs="Arial"/>
          <w:sz w:val="20"/>
          <w:szCs w:val="20"/>
          <w:lang w:val="pt-PT"/>
        </w:rPr>
        <w:t xml:space="preserve">, um aumento de 22,3% face ao período homólogo, assinalando o quarto trimestre consecutivo em que a receita supera os 100 mil milhões de </w:t>
      </w:r>
      <w:r w:rsidR="00D0518D">
        <w:rPr>
          <w:rFonts w:ascii="Arial" w:hAnsi="Arial" w:cs="Arial"/>
          <w:sz w:val="20"/>
          <w:szCs w:val="20"/>
          <w:lang w:val="pt-PT"/>
        </w:rPr>
        <w:t>yuans (12 mil milhões de euros)</w:t>
      </w:r>
      <w:r w:rsidR="0085350E" w:rsidRPr="00C41738">
        <w:rPr>
          <w:rFonts w:ascii="Arial" w:hAnsi="Arial" w:cs="Arial"/>
          <w:sz w:val="20"/>
          <w:szCs w:val="20"/>
          <w:lang w:val="pt-PT"/>
        </w:rPr>
        <w:t xml:space="preserve">. </w:t>
      </w:r>
    </w:p>
    <w:p w14:paraId="3135549F" w14:textId="3EBC7FB4" w:rsidR="00C41738" w:rsidRPr="0085350E" w:rsidRDefault="00C41738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C41738">
        <w:rPr>
          <w:rFonts w:ascii="Arial" w:hAnsi="Arial" w:cs="Arial"/>
          <w:sz w:val="20"/>
          <w:szCs w:val="20"/>
          <w:lang w:val="pt-PT"/>
        </w:rPr>
        <w:t>Nos primeiros</w:t>
      </w:r>
      <w:r w:rsidR="0085350E">
        <w:rPr>
          <w:rFonts w:ascii="Arial" w:hAnsi="Arial" w:cs="Arial"/>
          <w:sz w:val="20"/>
          <w:szCs w:val="20"/>
          <w:lang w:val="pt-PT"/>
        </w:rPr>
        <w:t xml:space="preserve"> nove meses </w:t>
      </w:r>
      <w:r w:rsidRPr="00C41738">
        <w:rPr>
          <w:rFonts w:ascii="Arial" w:hAnsi="Arial" w:cs="Arial"/>
          <w:sz w:val="20"/>
          <w:szCs w:val="20"/>
          <w:lang w:val="pt-PT"/>
        </w:rPr>
        <w:t xml:space="preserve">do ano, a receita totalizou 340,4 mil milhões de </w:t>
      </w:r>
      <w:r w:rsidR="00D0518D">
        <w:rPr>
          <w:rFonts w:ascii="Arial" w:hAnsi="Arial" w:cs="Arial"/>
          <w:sz w:val="20"/>
          <w:szCs w:val="20"/>
          <w:lang w:val="pt-PT"/>
        </w:rPr>
        <w:t>yuans (41,3 mil milhões de euros)</w:t>
      </w:r>
      <w:r w:rsidRPr="00C41738">
        <w:rPr>
          <w:rFonts w:ascii="Arial" w:hAnsi="Arial" w:cs="Arial"/>
          <w:sz w:val="20"/>
          <w:szCs w:val="20"/>
          <w:lang w:val="pt-PT"/>
        </w:rPr>
        <w:t xml:space="preserve">, aproximando-se do valor anual de 2024, enquanto o lucro líquido ajustado atingiu 32,8 mil milhões de </w:t>
      </w:r>
      <w:r w:rsidR="00D0518D">
        <w:rPr>
          <w:rFonts w:ascii="Arial" w:hAnsi="Arial" w:cs="Arial"/>
          <w:sz w:val="20"/>
          <w:szCs w:val="20"/>
          <w:lang w:val="pt-PT"/>
        </w:rPr>
        <w:t>yuans (3,8 mil milhões de euros)</w:t>
      </w:r>
      <w:r w:rsidRPr="00C41738">
        <w:rPr>
          <w:rFonts w:ascii="Arial" w:hAnsi="Arial" w:cs="Arial"/>
          <w:sz w:val="20"/>
          <w:szCs w:val="20"/>
          <w:lang w:val="pt-PT"/>
        </w:rPr>
        <w:t xml:space="preserve">, já </w:t>
      </w:r>
      <w:r w:rsidRPr="0085350E">
        <w:rPr>
          <w:rFonts w:ascii="Arial" w:hAnsi="Arial" w:cs="Arial"/>
          <w:sz w:val="20"/>
          <w:szCs w:val="20"/>
          <w:lang w:val="pt-PT"/>
        </w:rPr>
        <w:t>ultrapassando o total registado no ano passado.</w:t>
      </w:r>
    </w:p>
    <w:p w14:paraId="65F87C2C" w14:textId="3CCA640D" w:rsidR="0085350E" w:rsidRDefault="0085350E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5350E">
        <w:rPr>
          <w:rFonts w:ascii="Arial" w:eastAsia="Arial" w:hAnsi="Arial" w:cs="Arial"/>
          <w:sz w:val="20"/>
          <w:szCs w:val="20"/>
          <w:lang w:val="pt-PT"/>
        </w:rPr>
        <w:t>Com base na estratégia do ecossistema inteligente «</w:t>
      </w:r>
      <w:r w:rsidRPr="0085350E">
        <w:rPr>
          <w:rFonts w:ascii="Arial" w:eastAsia="Arial" w:hAnsi="Arial" w:cs="Arial"/>
          <w:i/>
          <w:iCs/>
          <w:sz w:val="20"/>
          <w:szCs w:val="20"/>
          <w:lang w:val="pt-PT"/>
        </w:rPr>
        <w:t>Human x Car x Home</w:t>
      </w:r>
      <w:r w:rsidRPr="0085350E">
        <w:rPr>
          <w:rFonts w:ascii="Arial" w:eastAsia="Arial" w:hAnsi="Arial" w:cs="Arial"/>
          <w:sz w:val="20"/>
          <w:szCs w:val="20"/>
          <w:lang w:val="pt-PT"/>
        </w:rPr>
        <w:t xml:space="preserve">»,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todos os segmentos de negócio do Grupo demonstraram uma forte resiliência de crescimento. Entre eles, o segmento de </w:t>
      </w:r>
      <w:r w:rsidR="00FC392A">
        <w:rPr>
          <w:rFonts w:ascii="Arial" w:hAnsi="Arial" w:cs="Arial"/>
          <w:sz w:val="20"/>
          <w:szCs w:val="20"/>
          <w:lang w:val="pt-PT"/>
        </w:rPr>
        <w:t>“</w:t>
      </w:r>
      <w:r w:rsidRPr="0085350E">
        <w:rPr>
          <w:rFonts w:ascii="Arial" w:hAnsi="Arial" w:cs="Arial"/>
          <w:sz w:val="20"/>
          <w:szCs w:val="20"/>
          <w:lang w:val="pt-PT"/>
        </w:rPr>
        <w:t>veículos elétricos inteligentes (“EV”),</w:t>
      </w:r>
      <w:r w:rsidR="00FC392A">
        <w:rPr>
          <w:rFonts w:ascii="Arial" w:hAnsi="Arial" w:cs="Arial"/>
          <w:sz w:val="20"/>
          <w:szCs w:val="20"/>
          <w:lang w:val="pt-PT"/>
        </w:rPr>
        <w:t xml:space="preserve"> </w:t>
      </w:r>
      <w:r w:rsidRPr="0085350E">
        <w:rPr>
          <w:rFonts w:ascii="Arial" w:hAnsi="Arial" w:cs="Arial"/>
          <w:sz w:val="20"/>
          <w:szCs w:val="20"/>
          <w:lang w:val="pt-PT"/>
        </w:rPr>
        <w:t>IA e outras novas iniciativas</w:t>
      </w:r>
      <w:r w:rsidR="00FC392A">
        <w:rPr>
          <w:rFonts w:ascii="Arial" w:hAnsi="Arial" w:cs="Arial"/>
          <w:sz w:val="20"/>
          <w:szCs w:val="20"/>
          <w:lang w:val="pt-PT"/>
        </w:rPr>
        <w:t>”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alcanç</w:t>
      </w:r>
      <w:r w:rsidR="00FC392A">
        <w:rPr>
          <w:rFonts w:ascii="Arial" w:hAnsi="Arial" w:cs="Arial"/>
          <w:sz w:val="20"/>
          <w:szCs w:val="20"/>
          <w:lang w:val="pt-PT"/>
        </w:rPr>
        <w:t>ou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um avanço histórico no terceiro trimestre, registando, pela primeira vez, um resultado operacional positivo. A receita deste segmento atingiu 29</w:t>
      </w:r>
      <w:r w:rsidR="00D0518D">
        <w:rPr>
          <w:rFonts w:ascii="Arial" w:hAnsi="Arial" w:cs="Arial"/>
          <w:sz w:val="20"/>
          <w:szCs w:val="20"/>
          <w:lang w:val="pt-PT"/>
        </w:rPr>
        <w:t xml:space="preserve">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mil milhões de </w:t>
      </w:r>
      <w:r w:rsidR="00D0518D">
        <w:rPr>
          <w:rFonts w:ascii="Arial" w:hAnsi="Arial" w:cs="Arial"/>
          <w:sz w:val="20"/>
          <w:szCs w:val="20"/>
          <w:lang w:val="pt-PT"/>
        </w:rPr>
        <w:t>yuans</w:t>
      </w:r>
      <w:r w:rsidR="00DB3ABF">
        <w:rPr>
          <w:rFonts w:ascii="Arial" w:hAnsi="Arial" w:cs="Arial"/>
          <w:sz w:val="20"/>
          <w:szCs w:val="20"/>
          <w:lang w:val="pt-PT"/>
        </w:rPr>
        <w:t xml:space="preserve"> (3,5 mil milhões de euros)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, um crescimento superior a 199% face ao período homólogo. </w:t>
      </w:r>
    </w:p>
    <w:p w14:paraId="70A4A0AE" w14:textId="3FC0E39D" w:rsidR="0085350E" w:rsidRDefault="0085350E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5350E">
        <w:rPr>
          <w:rFonts w:ascii="Arial" w:hAnsi="Arial" w:cs="Arial"/>
          <w:sz w:val="20"/>
          <w:szCs w:val="20"/>
          <w:lang w:val="pt-PT"/>
        </w:rPr>
        <w:t xml:space="preserve">A receita do negócio de smartphones totalizou 46 mil milhões de </w:t>
      </w:r>
      <w:r w:rsidR="00DB3ABF">
        <w:rPr>
          <w:rFonts w:ascii="Arial" w:hAnsi="Arial" w:cs="Arial"/>
          <w:sz w:val="20"/>
          <w:szCs w:val="20"/>
          <w:lang w:val="pt-PT"/>
        </w:rPr>
        <w:t>yuans (5,5 mil milhões de euros)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, com </w:t>
      </w:r>
      <w:r>
        <w:rPr>
          <w:rFonts w:ascii="Arial" w:hAnsi="Arial" w:cs="Arial"/>
          <w:sz w:val="20"/>
          <w:szCs w:val="20"/>
          <w:lang w:val="pt-PT"/>
        </w:rPr>
        <w:t xml:space="preserve">os envios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globais a manterem o Grupo no top 3 mundial pelo 21.º trimestre consecutivo. A receita do segmento de IoT e produtos de lifestyle alcançou 27,6 mil milhões de </w:t>
      </w:r>
      <w:r w:rsidR="00DB3ABF">
        <w:rPr>
          <w:rFonts w:ascii="Arial" w:hAnsi="Arial" w:cs="Arial"/>
          <w:sz w:val="20"/>
          <w:szCs w:val="20"/>
          <w:lang w:val="pt-PT"/>
        </w:rPr>
        <w:t>yuans (3,3 mil milhões de euros)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, e o número de dispositivos IoT ligados à plataforma AIoT da Xiaomi ultrapassou </w:t>
      </w:r>
      <w:r w:rsidR="00922C9E">
        <w:rPr>
          <w:rFonts w:ascii="Arial" w:hAnsi="Arial" w:cs="Arial"/>
          <w:sz w:val="20"/>
          <w:szCs w:val="20"/>
          <w:lang w:val="pt-PT"/>
        </w:rPr>
        <w:t xml:space="preserve">o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mil milhão de unidades. A receita proveniente dos serviços de Internet foi de 9,4 mil milhões de </w:t>
      </w:r>
      <w:r w:rsidR="00DB3ABF">
        <w:rPr>
          <w:rFonts w:ascii="Arial" w:hAnsi="Arial" w:cs="Arial"/>
          <w:sz w:val="20"/>
          <w:szCs w:val="20"/>
          <w:lang w:val="pt-PT"/>
        </w:rPr>
        <w:t>yuans (1,1 mil milhões de euros)</w:t>
      </w:r>
      <w:r w:rsidRPr="0085350E">
        <w:rPr>
          <w:rFonts w:ascii="Arial" w:hAnsi="Arial" w:cs="Arial"/>
          <w:sz w:val="20"/>
          <w:szCs w:val="20"/>
          <w:lang w:val="pt-PT"/>
        </w:rPr>
        <w:t>, um aumento de 10,8% em termos homólogos, estabelecendo um novo recorde. O desempenho sólido de todos os segmentos demonstra plenamente a excelente capacidade de execução do Grupo.</w:t>
      </w:r>
    </w:p>
    <w:p w14:paraId="55A84DB5" w14:textId="6AE1AEE9" w:rsidR="0085350E" w:rsidRDefault="0085350E" w:rsidP="00CE34C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5350E">
        <w:rPr>
          <w:rFonts w:ascii="Arial" w:hAnsi="Arial" w:cs="Arial"/>
          <w:sz w:val="20"/>
          <w:szCs w:val="20"/>
          <w:lang w:val="pt-PT"/>
        </w:rPr>
        <w:t xml:space="preserve">A aposta da Xiaomi no segmento </w:t>
      </w:r>
      <w:r w:rsidRPr="0085350E">
        <w:rPr>
          <w:rFonts w:ascii="Arial" w:hAnsi="Arial" w:cs="Arial"/>
          <w:i/>
          <w:iCs/>
          <w:sz w:val="20"/>
          <w:szCs w:val="20"/>
          <w:lang w:val="pt-PT"/>
        </w:rPr>
        <w:t>premium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em todas as categorias de produto está a acelerar. Em particular, o Xiaomi YU7, lançado este ano e posicionado como um “SUV de luxo de alto desempenho”, tem registado uma forte adesão, liderando o volume de vendas no segmento de SUVs médio-grandes durante três meses consecutivos. Em outubro, tornou-se mesmo o SUV mais vendido em todas as categorias na China Continental. Também o smartphone premium Xiaomi 17 tem despertado grande atenção. Durante o período</w:t>
      </w:r>
      <w:r w:rsidR="00922C9E">
        <w:rPr>
          <w:rFonts w:ascii="Arial" w:hAnsi="Arial" w:cs="Arial"/>
          <w:sz w:val="20"/>
          <w:szCs w:val="20"/>
          <w:lang w:val="pt-PT"/>
        </w:rPr>
        <w:t xml:space="preserve"> promocional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do Double 11, o Xiaomi 17 Pro </w:t>
      </w:r>
      <w:r w:rsidRPr="0085350E">
        <w:rPr>
          <w:rFonts w:ascii="Arial" w:hAnsi="Arial" w:cs="Arial"/>
          <w:sz w:val="20"/>
          <w:szCs w:val="20"/>
          <w:lang w:val="pt-PT"/>
        </w:rPr>
        <w:lastRenderedPageBreak/>
        <w:t xml:space="preserve">Max conquistou o primeiro lugar </w:t>
      </w:r>
      <w:r w:rsidR="00AA5159">
        <w:rPr>
          <w:rFonts w:ascii="Arial" w:hAnsi="Arial" w:cs="Arial"/>
          <w:sz w:val="20"/>
          <w:szCs w:val="20"/>
          <w:lang w:val="pt-PT"/>
        </w:rPr>
        <w:t>-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</w:t>
      </w:r>
      <w:r w:rsidR="00AA5159">
        <w:rPr>
          <w:rFonts w:ascii="Arial" w:hAnsi="Arial" w:cs="Arial"/>
          <w:sz w:val="20"/>
          <w:szCs w:val="20"/>
          <w:lang w:val="pt-PT"/>
        </w:rPr>
        <w:t xml:space="preserve">quer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em volume de vendas </w:t>
      </w:r>
      <w:r w:rsidR="00AA5159">
        <w:rPr>
          <w:rFonts w:ascii="Arial" w:hAnsi="Arial" w:cs="Arial"/>
          <w:sz w:val="20"/>
          <w:szCs w:val="20"/>
          <w:lang w:val="pt-PT"/>
        </w:rPr>
        <w:t xml:space="preserve">quer 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em receita </w:t>
      </w:r>
      <w:r w:rsidR="00AA5159">
        <w:rPr>
          <w:rFonts w:ascii="Arial" w:hAnsi="Arial" w:cs="Arial"/>
          <w:sz w:val="20"/>
          <w:szCs w:val="20"/>
          <w:lang w:val="pt-PT"/>
        </w:rPr>
        <w:t>-</w:t>
      </w:r>
      <w:r w:rsidRPr="0085350E">
        <w:rPr>
          <w:rFonts w:ascii="Arial" w:hAnsi="Arial" w:cs="Arial"/>
          <w:sz w:val="20"/>
          <w:szCs w:val="20"/>
          <w:lang w:val="pt-PT"/>
        </w:rPr>
        <w:t xml:space="preserve"> entre os smartphones domésticos com preço superior a 6.000 </w:t>
      </w:r>
      <w:r w:rsidR="00DB3ABF">
        <w:rPr>
          <w:rFonts w:ascii="Arial" w:hAnsi="Arial" w:cs="Arial"/>
          <w:sz w:val="20"/>
          <w:szCs w:val="20"/>
          <w:lang w:val="pt-PT"/>
        </w:rPr>
        <w:t xml:space="preserve">yuans (727 euros) </w:t>
      </w:r>
      <w:r w:rsidRPr="0085350E">
        <w:rPr>
          <w:rFonts w:ascii="Arial" w:hAnsi="Arial" w:cs="Arial"/>
          <w:sz w:val="20"/>
          <w:szCs w:val="20"/>
          <w:lang w:val="pt-PT"/>
        </w:rPr>
        <w:t>em todas as plataformas de comércio eletrónico da China Continental, afirmando-se como um verdadeiro sucesso no segmento premium.</w:t>
      </w:r>
    </w:p>
    <w:p w14:paraId="51BDC81E" w14:textId="184D0614" w:rsidR="00AA5159" w:rsidRPr="00AA5159" w:rsidRDefault="00351B0C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N</w:t>
      </w:r>
      <w:r w:rsidR="00AA5159" w:rsidRPr="00AA5159">
        <w:rPr>
          <w:rFonts w:ascii="Arial" w:hAnsi="Arial" w:cs="Arial"/>
          <w:b/>
          <w:bCs/>
          <w:sz w:val="20"/>
          <w:szCs w:val="20"/>
          <w:lang w:val="pt-PT"/>
        </w:rPr>
        <w:t>egócio de veículos elétricos inteligentes da Xiaomi regista, pela primeira vez, um resultado operacional trimestral positivo, com entregas superiores a 100.000 unidades</w:t>
      </w:r>
    </w:p>
    <w:p w14:paraId="78B309E0" w14:textId="03294BB2" w:rsidR="00AA5159" w:rsidRPr="00AA5159" w:rsidRDefault="00AA5159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 w:rsidRPr="00AA5159">
        <w:rPr>
          <w:rFonts w:ascii="Arial" w:hAnsi="Arial" w:cs="Arial"/>
          <w:sz w:val="20"/>
          <w:szCs w:val="20"/>
          <w:lang w:val="pt-PT"/>
        </w:rPr>
        <w:t xml:space="preserve">O segmento de veículos elétricos inteligentes, IA e outras novas iniciativas da Xiaomi manteve um ritmo de crescimento acelerado, com </w:t>
      </w:r>
      <w:r>
        <w:rPr>
          <w:rFonts w:ascii="Arial" w:hAnsi="Arial" w:cs="Arial"/>
          <w:sz w:val="20"/>
          <w:szCs w:val="20"/>
          <w:lang w:val="pt-PT"/>
        </w:rPr>
        <w:t xml:space="preserve">as 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receitas </w:t>
      </w:r>
      <w:r>
        <w:rPr>
          <w:rFonts w:ascii="Arial" w:hAnsi="Arial" w:cs="Arial"/>
          <w:sz w:val="20"/>
          <w:szCs w:val="20"/>
          <w:lang w:val="pt-PT"/>
        </w:rPr>
        <w:t>a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 atingir</w:t>
      </w:r>
      <w:r>
        <w:rPr>
          <w:rFonts w:ascii="Arial" w:hAnsi="Arial" w:cs="Arial"/>
          <w:sz w:val="20"/>
          <w:szCs w:val="20"/>
          <w:lang w:val="pt-PT"/>
        </w:rPr>
        <w:t>e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m 29 mil milhões de </w:t>
      </w:r>
      <w:r w:rsidR="00DB3ABF">
        <w:rPr>
          <w:rFonts w:ascii="Arial" w:hAnsi="Arial" w:cs="Arial"/>
          <w:sz w:val="20"/>
          <w:szCs w:val="20"/>
          <w:lang w:val="pt-PT"/>
        </w:rPr>
        <w:t>yuans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 </w:t>
      </w:r>
      <w:r w:rsidR="00DB3ABF">
        <w:rPr>
          <w:rFonts w:ascii="Arial" w:hAnsi="Arial" w:cs="Arial"/>
          <w:sz w:val="20"/>
          <w:szCs w:val="20"/>
          <w:lang w:val="pt-PT"/>
        </w:rPr>
        <w:t xml:space="preserve">(3,5 mil milhões de euros) </w:t>
      </w:r>
      <w:r w:rsidRPr="00AA5159">
        <w:rPr>
          <w:rFonts w:ascii="Arial" w:hAnsi="Arial" w:cs="Arial"/>
          <w:sz w:val="20"/>
          <w:szCs w:val="20"/>
          <w:lang w:val="pt-PT"/>
        </w:rPr>
        <w:t>no terceiro trimestre. O negócio registou o seu primeiro resultado operacional positivo, no valor de 700 milhões de</w:t>
      </w:r>
      <w:r w:rsidR="00DB3ABF">
        <w:rPr>
          <w:rFonts w:ascii="Arial" w:hAnsi="Arial" w:cs="Arial"/>
          <w:sz w:val="20"/>
          <w:szCs w:val="20"/>
          <w:lang w:val="pt-PT"/>
        </w:rPr>
        <w:t xml:space="preserve"> yuans (84 milhões de euros)</w:t>
      </w:r>
      <w:r w:rsidRPr="00AA5159">
        <w:rPr>
          <w:rFonts w:ascii="Arial" w:hAnsi="Arial" w:cs="Arial"/>
          <w:sz w:val="20"/>
          <w:szCs w:val="20"/>
          <w:lang w:val="pt-PT"/>
        </w:rPr>
        <w:t>, assinalando uma nova fase de desenvolvimento saudável e sustentável.</w:t>
      </w:r>
    </w:p>
    <w:p w14:paraId="196D5D9B" w14:textId="58FAE885" w:rsidR="00AA5159" w:rsidRDefault="00AA5159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 w:rsidRPr="00AA5159">
        <w:rPr>
          <w:rFonts w:ascii="Arial" w:hAnsi="Arial" w:cs="Arial"/>
          <w:sz w:val="20"/>
          <w:szCs w:val="20"/>
          <w:lang w:val="pt-PT"/>
        </w:rPr>
        <w:t xml:space="preserve">No terceiro trimestre, as entregas de veículos elétricos inteligentes da Xiaomi continuaram a subir, com entregas trimestrais ultrapassando 100.000 veículos, atingindo um recorde de 108.796 veículos. Nos primeiros três trimestres deste ano, as entregas acumuladas de veículos elétricos inteligentes da Xiaomi ultrapassaram 260.000 veículos. O Grupo continuou a expandir a sua rede de vendas e serviços. </w:t>
      </w:r>
      <w:r>
        <w:rPr>
          <w:rFonts w:ascii="Arial" w:hAnsi="Arial" w:cs="Arial"/>
          <w:sz w:val="20"/>
          <w:szCs w:val="20"/>
          <w:lang w:val="pt-PT"/>
        </w:rPr>
        <w:t>A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 30 de setembro de 2025, a Xiaomi abriu 402 centros de vendas de veículos elétricos inteligentes em 119 cidades na China continental. </w:t>
      </w:r>
    </w:p>
    <w:p w14:paraId="3630D458" w14:textId="54D2ACFA" w:rsidR="00351B0C" w:rsidRDefault="00351B0C" w:rsidP="00AA5159">
      <w:pPr>
        <w:jc w:val="both"/>
        <w:rPr>
          <w:rFonts w:ascii="Arial" w:hAnsi="Arial" w:cs="Arial"/>
          <w:b/>
          <w:bCs/>
          <w:sz w:val="20"/>
          <w:szCs w:val="20"/>
          <w:lang w:val="pt-PT"/>
        </w:rPr>
      </w:pPr>
      <w:r w:rsidRPr="00351B0C">
        <w:rPr>
          <w:rFonts w:ascii="Arial" w:hAnsi="Arial" w:cs="Arial"/>
          <w:b/>
          <w:bCs/>
          <w:sz w:val="20"/>
          <w:szCs w:val="20"/>
          <w:lang w:val="pt-PT"/>
        </w:rPr>
        <w:t xml:space="preserve">Xiaomi </w:t>
      </w:r>
      <w:r>
        <w:rPr>
          <w:rFonts w:ascii="Arial" w:hAnsi="Arial" w:cs="Arial"/>
          <w:b/>
          <w:bCs/>
          <w:sz w:val="20"/>
          <w:szCs w:val="20"/>
          <w:lang w:val="pt-PT"/>
        </w:rPr>
        <w:t xml:space="preserve">consolida presença no </w:t>
      </w:r>
      <w:r w:rsidRPr="00351B0C">
        <w:rPr>
          <w:rFonts w:ascii="Arial" w:hAnsi="Arial" w:cs="Arial"/>
          <w:b/>
          <w:bCs/>
          <w:sz w:val="20"/>
          <w:szCs w:val="20"/>
          <w:lang w:val="pt-PT"/>
        </w:rPr>
        <w:t>top 3 global de smartphones há 2</w:t>
      </w:r>
      <w:r>
        <w:rPr>
          <w:rFonts w:ascii="Arial" w:hAnsi="Arial" w:cs="Arial"/>
          <w:b/>
          <w:bCs/>
          <w:sz w:val="20"/>
          <w:szCs w:val="20"/>
          <w:lang w:val="pt-PT"/>
        </w:rPr>
        <w:t>1</w:t>
      </w:r>
      <w:r w:rsidRPr="00351B0C">
        <w:rPr>
          <w:rFonts w:ascii="Arial" w:hAnsi="Arial" w:cs="Arial"/>
          <w:b/>
          <w:bCs/>
          <w:sz w:val="20"/>
          <w:szCs w:val="20"/>
          <w:lang w:val="pt-PT"/>
        </w:rPr>
        <w:t xml:space="preserve"> trimestres consecutivos, reforçando a aposta no segmento premium</w:t>
      </w:r>
    </w:p>
    <w:p w14:paraId="17416746" w14:textId="77ABC118" w:rsidR="00AA5159" w:rsidRPr="00AA5159" w:rsidRDefault="00AA5159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 w:rsidRPr="00AA5159">
        <w:rPr>
          <w:rFonts w:ascii="Arial" w:hAnsi="Arial" w:cs="Arial"/>
          <w:sz w:val="20"/>
          <w:szCs w:val="20"/>
          <w:lang w:val="pt-PT"/>
        </w:rPr>
        <w:t>No terceiro trimestre, o negócio de smartphones da Xiaomi manteve um desempenho estável, com receitas que totalizaram 46</w:t>
      </w:r>
      <w:r w:rsidR="00DB3ABF">
        <w:rPr>
          <w:rFonts w:ascii="Arial" w:hAnsi="Arial" w:cs="Arial"/>
          <w:sz w:val="20"/>
          <w:szCs w:val="20"/>
          <w:lang w:val="pt-PT"/>
        </w:rPr>
        <w:t xml:space="preserve"> 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mil milhões de </w:t>
      </w:r>
      <w:r w:rsidR="00DB3ABF">
        <w:rPr>
          <w:rFonts w:ascii="Arial" w:hAnsi="Arial" w:cs="Arial"/>
          <w:sz w:val="20"/>
          <w:szCs w:val="20"/>
          <w:lang w:val="pt-PT"/>
        </w:rPr>
        <w:t>yuans (5,5 mil milhões de euros)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. </w:t>
      </w:r>
      <w:r w:rsidR="00351B0C">
        <w:rPr>
          <w:rFonts w:ascii="Arial" w:hAnsi="Arial" w:cs="Arial"/>
          <w:sz w:val="20"/>
          <w:szCs w:val="20"/>
          <w:lang w:val="pt-PT"/>
        </w:rPr>
        <w:t xml:space="preserve">Os envios 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globais de smartphones atingiram 43,3 milhões de unidades, registando crescimento homólogo pelo 9.º trimestre consecutivo. Segundo dados da Omdia, a quota de mercado global da Xiaomi em </w:t>
      </w:r>
      <w:r w:rsidR="00351B0C">
        <w:rPr>
          <w:rFonts w:ascii="Arial" w:hAnsi="Arial" w:cs="Arial"/>
          <w:sz w:val="20"/>
          <w:szCs w:val="20"/>
          <w:lang w:val="pt-PT"/>
        </w:rPr>
        <w:t>envios</w:t>
      </w:r>
      <w:r w:rsidRPr="00AA5159">
        <w:rPr>
          <w:rFonts w:ascii="Arial" w:hAnsi="Arial" w:cs="Arial"/>
          <w:sz w:val="20"/>
          <w:szCs w:val="20"/>
          <w:lang w:val="pt-PT"/>
        </w:rPr>
        <w:t xml:space="preserve"> de smartphones atingiu 13,6% no terceiro trimestre de 2025, garantindo ao Grupo uma posição no top 3 mundial pelo 21.º trimestre consecutivo. Os smartphones Xiaomi posicionaram-se igualmente entre os três mais vendidos em 57 países e regiões. Na China Continental, a Xiaomi ocupou a segunda posição em unidades vendidas, com uma quota de mercado de 16,7%, mantendo-se no top 2 durante seis trimestres consecutivos.</w:t>
      </w:r>
    </w:p>
    <w:p w14:paraId="07C26B63" w14:textId="42D4C92D" w:rsidR="00AA5159" w:rsidRDefault="002347BA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 w:rsidRPr="002347BA">
        <w:rPr>
          <w:rFonts w:ascii="Arial" w:hAnsi="Arial" w:cs="Arial"/>
          <w:sz w:val="20"/>
          <w:szCs w:val="20"/>
          <w:lang w:val="pt-PT"/>
        </w:rPr>
        <w:t xml:space="preserve">A aposta do Grupo no segmento premium continuou </w:t>
      </w:r>
      <w:r>
        <w:rPr>
          <w:rFonts w:ascii="Arial" w:hAnsi="Arial" w:cs="Arial"/>
          <w:sz w:val="20"/>
          <w:szCs w:val="20"/>
          <w:lang w:val="pt-PT"/>
        </w:rPr>
        <w:t xml:space="preserve">a </w:t>
      </w:r>
      <w:r w:rsidR="00351B0C" w:rsidRPr="00351B0C">
        <w:rPr>
          <w:rFonts w:ascii="Arial" w:hAnsi="Arial" w:cs="Arial"/>
          <w:sz w:val="20"/>
          <w:szCs w:val="20"/>
          <w:lang w:val="pt-PT"/>
        </w:rPr>
        <w:t>regist</w:t>
      </w:r>
      <w:r>
        <w:rPr>
          <w:rFonts w:ascii="Arial" w:hAnsi="Arial" w:cs="Arial"/>
          <w:sz w:val="20"/>
          <w:szCs w:val="20"/>
          <w:lang w:val="pt-PT"/>
        </w:rPr>
        <w:t>ar</w:t>
      </w:r>
      <w:r w:rsidR="00351B0C" w:rsidRPr="00351B0C">
        <w:rPr>
          <w:rFonts w:ascii="Arial" w:hAnsi="Arial" w:cs="Arial"/>
          <w:sz w:val="20"/>
          <w:szCs w:val="20"/>
          <w:lang w:val="pt-PT"/>
        </w:rPr>
        <w:t xml:space="preserve"> avanços significativos. De acordo com dados de </w:t>
      </w:r>
      <w:r>
        <w:rPr>
          <w:rFonts w:ascii="Arial" w:hAnsi="Arial" w:cs="Arial"/>
          <w:sz w:val="20"/>
          <w:szCs w:val="20"/>
          <w:lang w:val="pt-PT"/>
        </w:rPr>
        <w:t>fontes externas</w:t>
      </w:r>
      <w:r w:rsidR="00351B0C" w:rsidRPr="00351B0C">
        <w:rPr>
          <w:rFonts w:ascii="Arial" w:hAnsi="Arial" w:cs="Arial"/>
          <w:sz w:val="20"/>
          <w:szCs w:val="20"/>
          <w:lang w:val="pt-PT"/>
        </w:rPr>
        <w:t xml:space="preserve">, na China Continental, a quota de mercado da Xiaomi nas vendas de smartphones no segmento de preço entre 4.000 e 6.000 </w:t>
      </w:r>
      <w:r w:rsidR="00DB3ABF">
        <w:rPr>
          <w:rFonts w:ascii="Arial" w:hAnsi="Arial" w:cs="Arial"/>
          <w:sz w:val="20"/>
          <w:szCs w:val="20"/>
          <w:lang w:val="pt-PT"/>
        </w:rPr>
        <w:t>yuans</w:t>
      </w:r>
      <w:r w:rsidR="00D96EC4">
        <w:rPr>
          <w:rFonts w:ascii="Arial" w:hAnsi="Arial" w:cs="Arial"/>
          <w:sz w:val="20"/>
          <w:szCs w:val="20"/>
          <w:lang w:val="pt-PT"/>
        </w:rPr>
        <w:t xml:space="preserve"> (485 euros e 727 euros)</w:t>
      </w:r>
      <w:r w:rsidR="00D96EC4" w:rsidRPr="00351B0C">
        <w:rPr>
          <w:rFonts w:ascii="Arial" w:hAnsi="Arial" w:cs="Arial"/>
          <w:sz w:val="20"/>
          <w:szCs w:val="20"/>
          <w:lang w:val="pt-PT"/>
        </w:rPr>
        <w:t xml:space="preserve"> </w:t>
      </w:r>
      <w:r w:rsidR="00351B0C" w:rsidRPr="00351B0C">
        <w:rPr>
          <w:rFonts w:ascii="Arial" w:hAnsi="Arial" w:cs="Arial"/>
          <w:sz w:val="20"/>
          <w:szCs w:val="20"/>
          <w:lang w:val="pt-PT"/>
        </w:rPr>
        <w:t>atingiu 18,9%, um aumento de 5,6 pontos percentuais face ao ano anterior. A competitividade da Xiaomi no mercado de smartphones premium reforçou-se de forma significativa. A série premium Xiaomi 17, lançada em setembro, apresentou um desempenho notável, com as vendas do primeiro mês a crescerem cerca de 30% em comparação com a série Xiaomi 15 no período homólogo. Entre estes modelos, o Xiaomi 17 Pro e o Xiaomi 17 Pro Max representaram mais de 80% das vendas, contribuindo para uma estrutura de produto ainda mais otimizada.</w:t>
      </w:r>
    </w:p>
    <w:p w14:paraId="5C233182" w14:textId="42FAF2D0" w:rsidR="002347BA" w:rsidRPr="002347BA" w:rsidRDefault="002347BA" w:rsidP="002347BA">
      <w:pPr>
        <w:jc w:val="both"/>
        <w:rPr>
          <w:rFonts w:ascii="Arial" w:hAnsi="Arial" w:cs="Arial"/>
          <w:sz w:val="20"/>
          <w:szCs w:val="20"/>
          <w:lang w:val="pt-PT"/>
        </w:rPr>
      </w:pPr>
      <w:r w:rsidRPr="002347BA">
        <w:rPr>
          <w:rFonts w:ascii="Arial" w:hAnsi="Arial" w:cs="Arial"/>
          <w:b/>
          <w:bCs/>
          <w:sz w:val="20"/>
          <w:szCs w:val="20"/>
          <w:lang w:val="pt-PT"/>
        </w:rPr>
        <w:t>Número de dispositivos IoT ligados à plataforma AIoT da Xiaomi ultrapassa 1 mil milhão</w:t>
      </w:r>
      <w:r>
        <w:rPr>
          <w:rFonts w:ascii="Arial" w:hAnsi="Arial" w:cs="Arial"/>
          <w:b/>
          <w:bCs/>
          <w:sz w:val="20"/>
          <w:szCs w:val="20"/>
          <w:lang w:val="pt-PT"/>
        </w:rPr>
        <w:t>, numa altura em que a</w:t>
      </w:r>
      <w:r w:rsidRPr="002347BA">
        <w:rPr>
          <w:rFonts w:ascii="Arial" w:hAnsi="Arial" w:cs="Arial"/>
          <w:b/>
          <w:bCs/>
          <w:sz w:val="20"/>
          <w:szCs w:val="20"/>
          <w:lang w:val="pt-PT"/>
        </w:rPr>
        <w:t xml:space="preserve"> primeira fábrica de eletrodomésticos inteligentes inicia oficialmente operações</w:t>
      </w:r>
    </w:p>
    <w:p w14:paraId="4D2F3CAA" w14:textId="74C9EB05" w:rsidR="002347BA" w:rsidRPr="002347BA" w:rsidRDefault="002347BA" w:rsidP="002347BA">
      <w:pPr>
        <w:jc w:val="both"/>
        <w:rPr>
          <w:rFonts w:ascii="Arial" w:hAnsi="Arial" w:cs="Arial"/>
          <w:sz w:val="20"/>
          <w:szCs w:val="20"/>
          <w:lang w:val="pt-PT"/>
        </w:rPr>
      </w:pPr>
      <w:r w:rsidRPr="002347BA">
        <w:rPr>
          <w:rFonts w:ascii="Arial" w:hAnsi="Arial" w:cs="Arial"/>
          <w:sz w:val="20"/>
          <w:szCs w:val="20"/>
          <w:lang w:val="pt-PT"/>
        </w:rPr>
        <w:t xml:space="preserve">O negócio de produtos IoT e lifestyle do Grupo registou um crescimento sólido, com receitas de 27,6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(3,3 mil milhões de euros)</w:t>
      </w:r>
      <w:r w:rsidRPr="002347BA">
        <w:rPr>
          <w:rFonts w:ascii="Arial" w:hAnsi="Arial" w:cs="Arial"/>
          <w:sz w:val="20"/>
          <w:szCs w:val="20"/>
          <w:lang w:val="pt-PT"/>
        </w:rPr>
        <w:t xml:space="preserve"> no terceiro trimestre, um aumento de 5,6% em termos homólogos. A margem de lucro bruto aumentou 3,2 pontos percentuais face ao ano </w:t>
      </w:r>
      <w:r w:rsidRPr="002347BA">
        <w:rPr>
          <w:rFonts w:ascii="Arial" w:hAnsi="Arial" w:cs="Arial"/>
          <w:sz w:val="20"/>
          <w:szCs w:val="20"/>
          <w:lang w:val="pt-PT"/>
        </w:rPr>
        <w:lastRenderedPageBreak/>
        <w:t>anterior, atingindo 23,9%. Em outubro deste ano, a primeira fábrica de eletrodomésticos inteligentes da Xiaomi iniciou oficialmente operações, marcando o estabelecimento de uma cadeia industrial completa que cobre design, I&amp;D, fabrico e verificação para o negócio de eletrodomésticos de grande dimensão. A fábrica tem uma capacidade máxima anual projetada de 7 milhões de unidades de ar condicionado e dará suporte integral ao desenvolvimento do portefólio premium de eletrodomésticos do Grupo.</w:t>
      </w:r>
    </w:p>
    <w:p w14:paraId="6B75EDF5" w14:textId="444C4D26" w:rsidR="002347BA" w:rsidRPr="00AA5159" w:rsidRDefault="00853969" w:rsidP="00AA5159">
      <w:pPr>
        <w:jc w:val="both"/>
        <w:rPr>
          <w:rFonts w:ascii="Arial" w:hAnsi="Arial" w:cs="Arial"/>
          <w:sz w:val="20"/>
          <w:szCs w:val="20"/>
          <w:lang w:val="pt-PT"/>
        </w:rPr>
      </w:pPr>
      <w:r w:rsidRPr="00853969">
        <w:rPr>
          <w:rFonts w:ascii="Arial" w:hAnsi="Arial" w:cs="Arial"/>
          <w:sz w:val="20"/>
          <w:szCs w:val="20"/>
          <w:lang w:val="pt-PT"/>
        </w:rPr>
        <w:t xml:space="preserve">Durante o período, a Xiaomi continuou a reforçar a sua linha de tablets. Segundo dados da Omdia, os tablets da marca posicionaram-se entre os cinco primeiros a nível global </w:t>
      </w:r>
      <w:r>
        <w:rPr>
          <w:rFonts w:ascii="Arial" w:hAnsi="Arial" w:cs="Arial"/>
          <w:sz w:val="20"/>
          <w:szCs w:val="20"/>
          <w:lang w:val="pt-PT"/>
        </w:rPr>
        <w:t>nos envios</w:t>
      </w:r>
      <w:r w:rsidRPr="00853969">
        <w:rPr>
          <w:rFonts w:ascii="Arial" w:hAnsi="Arial" w:cs="Arial"/>
          <w:sz w:val="20"/>
          <w:szCs w:val="20"/>
          <w:lang w:val="pt-PT"/>
        </w:rPr>
        <w:t xml:space="preserve"> e entre os três primeiros na China Continental. Os dispositivos wearables da Xiaomi, nomeadamente as pulseiras inteligentes, mantiveram a sua posição de liderança, ficando em primeiro lugar n</w:t>
      </w:r>
      <w:r>
        <w:rPr>
          <w:rFonts w:ascii="Arial" w:hAnsi="Arial" w:cs="Arial"/>
          <w:sz w:val="20"/>
          <w:szCs w:val="20"/>
          <w:lang w:val="pt-PT"/>
        </w:rPr>
        <w:t>o</w:t>
      </w:r>
      <w:r w:rsidRPr="00853969">
        <w:rPr>
          <w:rFonts w:ascii="Arial" w:hAnsi="Arial" w:cs="Arial"/>
          <w:sz w:val="20"/>
          <w:szCs w:val="20"/>
          <w:lang w:val="pt-PT"/>
        </w:rPr>
        <w:t>s</w:t>
      </w:r>
      <w:r>
        <w:rPr>
          <w:rFonts w:ascii="Arial" w:hAnsi="Arial" w:cs="Arial"/>
          <w:sz w:val="20"/>
          <w:szCs w:val="20"/>
          <w:lang w:val="pt-PT"/>
        </w:rPr>
        <w:t xml:space="preserve"> envios</w:t>
      </w:r>
      <w:r w:rsidRPr="00853969">
        <w:rPr>
          <w:rFonts w:ascii="Arial" w:hAnsi="Arial" w:cs="Arial"/>
          <w:sz w:val="20"/>
          <w:szCs w:val="20"/>
          <w:lang w:val="pt-PT"/>
        </w:rPr>
        <w:t xml:space="preserve"> globais e em segundo na China Continental. Já </w:t>
      </w:r>
      <w:r>
        <w:rPr>
          <w:rFonts w:ascii="Arial" w:hAnsi="Arial" w:cs="Arial"/>
          <w:sz w:val="20"/>
          <w:szCs w:val="20"/>
          <w:lang w:val="pt-PT"/>
        </w:rPr>
        <w:t>o</w:t>
      </w:r>
      <w:r w:rsidRPr="00853969">
        <w:rPr>
          <w:rFonts w:ascii="Arial" w:hAnsi="Arial" w:cs="Arial"/>
          <w:sz w:val="20"/>
          <w:szCs w:val="20"/>
          <w:lang w:val="pt-PT"/>
        </w:rPr>
        <w:t xml:space="preserve">s </w:t>
      </w:r>
      <w:r>
        <w:rPr>
          <w:rFonts w:ascii="Arial" w:hAnsi="Arial" w:cs="Arial"/>
          <w:sz w:val="20"/>
          <w:szCs w:val="20"/>
          <w:lang w:val="pt-PT"/>
        </w:rPr>
        <w:t>envios</w:t>
      </w:r>
      <w:r w:rsidRPr="00853969">
        <w:rPr>
          <w:rFonts w:ascii="Arial" w:hAnsi="Arial" w:cs="Arial"/>
          <w:sz w:val="20"/>
          <w:szCs w:val="20"/>
          <w:lang w:val="pt-PT"/>
        </w:rPr>
        <w:t xml:space="preserve"> de auriculares TWS colocaram a Xiaomi na segunda posição a nível global e na liderança absoluta do mercado na China Continental.</w:t>
      </w:r>
    </w:p>
    <w:p w14:paraId="7BBE4A41" w14:textId="0E3E0AA7" w:rsidR="00B624C2" w:rsidRPr="00B624C2" w:rsidRDefault="00B624C2" w:rsidP="00B624C2">
      <w:pPr>
        <w:jc w:val="both"/>
        <w:rPr>
          <w:rFonts w:ascii="Arial" w:hAnsi="Arial" w:cs="Arial"/>
          <w:sz w:val="20"/>
          <w:szCs w:val="20"/>
          <w:lang w:val="pt-PT"/>
        </w:rPr>
      </w:pPr>
      <w:r w:rsidRPr="00B624C2">
        <w:rPr>
          <w:rFonts w:ascii="Arial" w:hAnsi="Arial" w:cs="Arial"/>
          <w:sz w:val="20"/>
          <w:szCs w:val="20"/>
          <w:lang w:val="pt-PT"/>
        </w:rPr>
        <w:t xml:space="preserve">Em 30 de setembro de 2025, o número de dispositivos IoT ligados à plataforma AIoT da Xiaomi (excluindo smartphones, tablets e computadores portáteis) aumentou para 1.035,5 milhões, representando um crescimento de 20,2% face ao ano anterior. O número de utilizadores com cinco ou mais dispositivos conectados à plataforma AIoT (também excluindo smartphones, tablets e computadores portáteis) atingiu 21,6 milhões, um aumento de 26,1% em termos homólogos. Em setembro de 2025, o número de utilizadores ativos mensais </w:t>
      </w:r>
      <w:r>
        <w:rPr>
          <w:rFonts w:ascii="Arial" w:hAnsi="Arial" w:cs="Arial"/>
          <w:sz w:val="20"/>
          <w:szCs w:val="20"/>
          <w:lang w:val="pt-PT"/>
        </w:rPr>
        <w:t>(</w:t>
      </w:r>
      <w:r w:rsidRPr="00B624C2">
        <w:rPr>
          <w:rFonts w:ascii="Arial" w:hAnsi="Arial" w:cs="Arial"/>
          <w:sz w:val="20"/>
          <w:szCs w:val="20"/>
          <w:lang w:val="pt-PT"/>
        </w:rPr>
        <w:t>MAU</w:t>
      </w:r>
      <w:r>
        <w:rPr>
          <w:rFonts w:ascii="Arial" w:hAnsi="Arial" w:cs="Arial"/>
          <w:sz w:val="20"/>
          <w:szCs w:val="20"/>
          <w:lang w:val="pt-PT"/>
        </w:rPr>
        <w:t>)</w:t>
      </w:r>
      <w:r w:rsidRPr="00B624C2">
        <w:rPr>
          <w:rFonts w:ascii="Arial" w:hAnsi="Arial" w:cs="Arial"/>
          <w:sz w:val="20"/>
          <w:szCs w:val="20"/>
          <w:lang w:val="pt-PT"/>
        </w:rPr>
        <w:t xml:space="preserve"> da aplicação Xiaomi Home cresceu para 114,6 milhões, um aumento de 14,4% face ao período homólogo.</w:t>
      </w:r>
    </w:p>
    <w:p w14:paraId="152A67A9" w14:textId="77777777" w:rsidR="00B624C2" w:rsidRPr="00B624C2" w:rsidRDefault="00B624C2" w:rsidP="00B624C2">
      <w:pPr>
        <w:jc w:val="both"/>
        <w:rPr>
          <w:rFonts w:ascii="Arial" w:hAnsi="Arial" w:cs="Arial"/>
          <w:sz w:val="20"/>
          <w:szCs w:val="20"/>
          <w:lang w:val="pt-PT"/>
        </w:rPr>
      </w:pPr>
      <w:r w:rsidRPr="00B624C2">
        <w:rPr>
          <w:rFonts w:ascii="Arial" w:hAnsi="Arial" w:cs="Arial"/>
          <w:b/>
          <w:bCs/>
          <w:sz w:val="20"/>
          <w:szCs w:val="20"/>
          <w:lang w:val="pt-PT"/>
        </w:rPr>
        <w:t>Receita de serviços de Internet atinge recorde, com MAU global superior a 740 milhões</w:t>
      </w:r>
    </w:p>
    <w:p w14:paraId="16D7879A" w14:textId="19D6275F" w:rsidR="00B624C2" w:rsidRPr="00B624C2" w:rsidRDefault="00B624C2" w:rsidP="00B624C2">
      <w:pPr>
        <w:jc w:val="both"/>
        <w:rPr>
          <w:rFonts w:ascii="Arial" w:hAnsi="Arial" w:cs="Arial"/>
          <w:sz w:val="20"/>
          <w:szCs w:val="20"/>
          <w:lang w:val="pt-PT"/>
        </w:rPr>
      </w:pPr>
      <w:r w:rsidRPr="00B624C2">
        <w:rPr>
          <w:rFonts w:ascii="Arial" w:hAnsi="Arial" w:cs="Arial"/>
          <w:sz w:val="20"/>
          <w:szCs w:val="20"/>
          <w:lang w:val="pt-PT"/>
        </w:rPr>
        <w:t xml:space="preserve">O negócio de serviços de Internet manteve um desempenho sólido, com receitas de 9,4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(1,14 mil milhões de euros)</w:t>
      </w:r>
      <w:r w:rsidRPr="00B624C2">
        <w:rPr>
          <w:rFonts w:ascii="Arial" w:hAnsi="Arial" w:cs="Arial"/>
          <w:sz w:val="20"/>
          <w:szCs w:val="20"/>
          <w:lang w:val="pt-PT"/>
        </w:rPr>
        <w:t xml:space="preserve"> no terceiro trimestre, um aumento de 10,8% face ao período homólogo. A margem de lucro bruto do segmento manteve-se num nível elevado, situando-se nos 76,9%. As receitas provenientes dos serviços de Internet da Xiaomi nos mercados internacionais atingiram 3,3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(400 milhões de euros)</w:t>
      </w:r>
      <w:r w:rsidRPr="00B624C2">
        <w:rPr>
          <w:rFonts w:ascii="Arial" w:hAnsi="Arial" w:cs="Arial"/>
          <w:sz w:val="20"/>
          <w:szCs w:val="20"/>
          <w:lang w:val="pt-PT"/>
        </w:rPr>
        <w:t xml:space="preserve">, um crescimento de 19,1% em termos homólogos. À medida que a base de utilizadores continuou a expandir-se, tanto o número de utilizadores ativos mensais </w:t>
      </w:r>
      <w:r>
        <w:rPr>
          <w:rFonts w:ascii="Arial" w:hAnsi="Arial" w:cs="Arial"/>
          <w:sz w:val="20"/>
          <w:szCs w:val="20"/>
          <w:lang w:val="pt-PT"/>
        </w:rPr>
        <w:t>(</w:t>
      </w:r>
      <w:r w:rsidRPr="00B624C2">
        <w:rPr>
          <w:rFonts w:ascii="Arial" w:hAnsi="Arial" w:cs="Arial"/>
          <w:sz w:val="20"/>
          <w:szCs w:val="20"/>
          <w:lang w:val="pt-PT"/>
        </w:rPr>
        <w:t>MAU</w:t>
      </w:r>
      <w:r>
        <w:rPr>
          <w:rFonts w:ascii="Arial" w:hAnsi="Arial" w:cs="Arial"/>
          <w:sz w:val="20"/>
          <w:szCs w:val="20"/>
          <w:lang w:val="pt-PT"/>
        </w:rPr>
        <w:t>)</w:t>
      </w:r>
      <w:r w:rsidRPr="00B624C2">
        <w:rPr>
          <w:rFonts w:ascii="Arial" w:hAnsi="Arial" w:cs="Arial"/>
          <w:sz w:val="20"/>
          <w:szCs w:val="20"/>
          <w:lang w:val="pt-PT"/>
        </w:rPr>
        <w:t xml:space="preserve"> global como o MAU da China Continental atingiram novos máximos históricos. Em setembro de 2025, o MAU global alcançou 741,7 milhões, um aumento de 8,2% face ao ano anterior, enquanto o MAU na China Continental atingiu 187,3 milhões, crescendo 11,6% em termos homólogos.</w:t>
      </w:r>
    </w:p>
    <w:p w14:paraId="4D540DC9" w14:textId="68A53F67" w:rsidR="0068547D" w:rsidRPr="0068547D" w:rsidRDefault="0068547D" w:rsidP="0068547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68547D">
        <w:rPr>
          <w:rFonts w:ascii="Arial" w:hAnsi="Arial" w:cs="Arial"/>
          <w:b/>
          <w:bCs/>
          <w:sz w:val="20"/>
          <w:szCs w:val="20"/>
          <w:lang w:val="pt-PT"/>
        </w:rPr>
        <w:t xml:space="preserve">Aposta nas tecnologias </w:t>
      </w:r>
      <w:r>
        <w:rPr>
          <w:rFonts w:ascii="Arial" w:hAnsi="Arial" w:cs="Arial"/>
          <w:b/>
          <w:bCs/>
          <w:sz w:val="20"/>
          <w:szCs w:val="20"/>
          <w:lang w:val="pt-PT"/>
        </w:rPr>
        <w:t>essenciais</w:t>
      </w:r>
      <w:r w:rsidRPr="0068547D">
        <w:rPr>
          <w:rFonts w:ascii="Arial" w:hAnsi="Arial" w:cs="Arial"/>
          <w:b/>
          <w:bCs/>
          <w:sz w:val="20"/>
          <w:szCs w:val="20"/>
          <w:lang w:val="pt-PT"/>
        </w:rPr>
        <w:t>, com investimento trimestral em P&amp;D a atingir o recorde histórico de 9,1 mil milhões de RMB</w:t>
      </w:r>
      <w:r w:rsidR="000C2C89">
        <w:rPr>
          <w:rFonts w:ascii="Arial" w:hAnsi="Arial" w:cs="Arial"/>
          <w:b/>
          <w:bCs/>
          <w:sz w:val="20"/>
          <w:szCs w:val="20"/>
          <w:lang w:val="pt-PT"/>
        </w:rPr>
        <w:t xml:space="preserve"> (1,1 mil milhões de euros)</w:t>
      </w:r>
    </w:p>
    <w:p w14:paraId="2CA1A63F" w14:textId="2E4741B0" w:rsidR="0068547D" w:rsidRPr="0068547D" w:rsidRDefault="0068547D" w:rsidP="0068547D">
      <w:pPr>
        <w:jc w:val="both"/>
        <w:rPr>
          <w:rFonts w:ascii="Arial" w:hAnsi="Arial" w:cs="Arial"/>
          <w:sz w:val="20"/>
          <w:szCs w:val="20"/>
          <w:lang w:val="pt-PT"/>
        </w:rPr>
      </w:pPr>
      <w:r w:rsidRPr="0068547D">
        <w:rPr>
          <w:rFonts w:ascii="Arial" w:hAnsi="Arial" w:cs="Arial"/>
          <w:sz w:val="20"/>
          <w:szCs w:val="20"/>
          <w:lang w:val="pt-PT"/>
        </w:rPr>
        <w:t xml:space="preserve">A Xiaomi continuou a reforçar de forma significativa o seu investimento em P&amp;D em tecnologias </w:t>
      </w:r>
      <w:r>
        <w:rPr>
          <w:rFonts w:ascii="Arial" w:hAnsi="Arial" w:cs="Arial"/>
          <w:sz w:val="20"/>
          <w:szCs w:val="20"/>
          <w:lang w:val="pt-PT"/>
        </w:rPr>
        <w:t>essenciais</w:t>
      </w:r>
      <w:r w:rsidRPr="0068547D">
        <w:rPr>
          <w:rFonts w:ascii="Arial" w:hAnsi="Arial" w:cs="Arial"/>
          <w:sz w:val="20"/>
          <w:szCs w:val="20"/>
          <w:lang w:val="pt-PT"/>
        </w:rPr>
        <w:t xml:space="preserve">. As despesas de P&amp;D no terceiro trimestre totalizaram 9,1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(1,1 mil milhões de euros)</w:t>
      </w:r>
      <w:r w:rsidRPr="0068547D">
        <w:rPr>
          <w:rFonts w:ascii="Arial" w:hAnsi="Arial" w:cs="Arial"/>
          <w:sz w:val="20"/>
          <w:szCs w:val="20"/>
          <w:lang w:val="pt-PT"/>
        </w:rPr>
        <w:t xml:space="preserve">, um aumento de 52,1% face ao período homólogo, estabelecendo um novo recorde histórico. No acumulado dos três primeiros trimestres do ano, as despesas de P&amp;D atingiram 23,5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(2,8 mil milhões de euros)</w:t>
      </w:r>
      <w:r w:rsidRPr="0068547D">
        <w:rPr>
          <w:rFonts w:ascii="Arial" w:hAnsi="Arial" w:cs="Arial"/>
          <w:sz w:val="20"/>
          <w:szCs w:val="20"/>
          <w:lang w:val="pt-PT"/>
        </w:rPr>
        <w:t xml:space="preserve">, e o Grupo prevê que o investimento total em P&amp;D em 2025 ultrapasse os 30 mil milhões de </w:t>
      </w:r>
      <w:r w:rsidR="00D96EC4">
        <w:rPr>
          <w:rFonts w:ascii="Arial" w:hAnsi="Arial" w:cs="Arial"/>
          <w:sz w:val="20"/>
          <w:szCs w:val="20"/>
          <w:lang w:val="pt-PT"/>
        </w:rPr>
        <w:t>yuans (3,6 mil milhões de euros)</w:t>
      </w:r>
      <w:r w:rsidRPr="0068547D">
        <w:rPr>
          <w:rFonts w:ascii="Arial" w:hAnsi="Arial" w:cs="Arial"/>
          <w:sz w:val="20"/>
          <w:szCs w:val="20"/>
          <w:lang w:val="pt-PT"/>
        </w:rPr>
        <w:t>. Em 30 de setembro de 2025, o número total de colaboradores dedicados a P&amp;D na Xiaomi atingiu um máximo histórico de 24.871.</w:t>
      </w:r>
    </w:p>
    <w:p w14:paraId="5A66F3A8" w14:textId="69DA658E" w:rsidR="00B624C2" w:rsidRPr="00B624C2" w:rsidRDefault="0068547D" w:rsidP="00B624C2">
      <w:pPr>
        <w:jc w:val="both"/>
        <w:rPr>
          <w:rFonts w:ascii="Arial" w:hAnsi="Arial" w:cs="Arial"/>
          <w:vanish/>
          <w:sz w:val="20"/>
          <w:szCs w:val="20"/>
          <w:lang w:val="pt-PT"/>
        </w:rPr>
      </w:pPr>
      <w:r w:rsidRPr="0068547D">
        <w:rPr>
          <w:rFonts w:ascii="Arial" w:hAnsi="Arial" w:cs="Arial"/>
          <w:sz w:val="20"/>
          <w:szCs w:val="20"/>
          <w:lang w:val="pt-PT"/>
        </w:rPr>
        <w:t xml:space="preserve">A Xiaomi alcançou um avanço significativo no campo dos modelos de linguagem de grande dimensão com Inteligência Artificial. Em setembro, apresentou o Xiaomi-MiMo-Audio, </w:t>
      </w:r>
      <w:r>
        <w:rPr>
          <w:rFonts w:ascii="Arial" w:hAnsi="Arial" w:cs="Arial"/>
          <w:sz w:val="20"/>
          <w:szCs w:val="20"/>
          <w:lang w:val="pt-PT"/>
        </w:rPr>
        <w:t>um</w:t>
      </w:r>
      <w:r w:rsidRPr="0068547D">
        <w:rPr>
          <w:rFonts w:ascii="Arial" w:hAnsi="Arial" w:cs="Arial"/>
          <w:sz w:val="20"/>
          <w:szCs w:val="20"/>
          <w:lang w:val="pt-PT"/>
        </w:rPr>
        <w:t xml:space="preserve"> </w:t>
      </w:r>
      <w:r w:rsidR="007B3CFB" w:rsidRPr="007B3CFB">
        <w:rPr>
          <w:rFonts w:ascii="Arial" w:hAnsi="Arial" w:cs="Arial"/>
          <w:i/>
          <w:iCs/>
          <w:sz w:val="20"/>
          <w:szCs w:val="20"/>
          <w:lang w:val="pt-PT"/>
        </w:rPr>
        <w:t>large voice model</w:t>
      </w:r>
      <w:r w:rsidR="007B3CFB">
        <w:rPr>
          <w:rFonts w:ascii="Arial" w:hAnsi="Arial" w:cs="Arial"/>
          <w:sz w:val="20"/>
          <w:szCs w:val="20"/>
          <w:lang w:val="pt-PT"/>
        </w:rPr>
        <w:t xml:space="preserve"> com código aberto</w:t>
      </w:r>
      <w:r w:rsidRPr="0068547D">
        <w:rPr>
          <w:rFonts w:ascii="Arial" w:hAnsi="Arial" w:cs="Arial"/>
          <w:sz w:val="20"/>
          <w:szCs w:val="20"/>
          <w:lang w:val="pt-PT"/>
        </w:rPr>
        <w:t>. Em novembro, a Xiaomi revelou as suas soluções futuristas para a casa inteligente, Xiaomi Miloco, marcando um esforço pioneiro no setor ao explorar experiências domésticas inteligentes impulsionadas por tecnologias de grandes modelos e ao redefinir a forma como os utilizadores interagem com o lar inteligente. Paralelamente, a Xiaomi lançou oficialmente o seu sistema operativo de nova geração, o Xiaomi HyperOS 3, que introduz melhorias abrangentes na experiência, na funcionalidade e nas capacidades de IA. Este novo sistema operativo oferece suporte tecnológico reforçado para os smartphones premium, veículos elétricos e produtos do ecossistema da marca. O arranque oficial da sua Fábrica de Eletrodomésticos Inteligentes completa a tríade de fabrico inteligente da Xiaomi, fortalecendo as capacidades de produção em smartphones, veículos elétricos inteligentes e eletrodomésticos inteligentes, consolidando, assim, a liderança da empresa no setor.</w:t>
      </w:r>
      <w:r w:rsidR="00B624C2" w:rsidRPr="00B624C2">
        <w:rPr>
          <w:rFonts w:ascii="Arial" w:hAnsi="Arial" w:cs="Arial"/>
          <w:vanish/>
          <w:sz w:val="20"/>
          <w:szCs w:val="20"/>
          <w:lang w:val="pt-PT"/>
        </w:rPr>
        <w:t>Parte superior do formulário</w:t>
      </w:r>
    </w:p>
    <w:p w14:paraId="3A9E5D9B" w14:textId="77777777" w:rsidR="00B624C2" w:rsidRPr="00B624C2" w:rsidRDefault="00B624C2" w:rsidP="00B624C2">
      <w:pPr>
        <w:jc w:val="both"/>
        <w:rPr>
          <w:rFonts w:ascii="Arial" w:hAnsi="Arial" w:cs="Arial"/>
          <w:sz w:val="20"/>
          <w:szCs w:val="20"/>
          <w:lang w:val="pt-PT"/>
        </w:rPr>
      </w:pPr>
    </w:p>
    <w:p w14:paraId="6879DA86" w14:textId="77777777" w:rsidR="00B624C2" w:rsidRPr="00B624C2" w:rsidRDefault="00B624C2" w:rsidP="00B624C2">
      <w:pPr>
        <w:jc w:val="both"/>
        <w:rPr>
          <w:rFonts w:ascii="Arial" w:hAnsi="Arial" w:cs="Arial"/>
          <w:vanish/>
          <w:sz w:val="20"/>
          <w:szCs w:val="20"/>
          <w:lang w:val="pt-PT"/>
        </w:rPr>
      </w:pPr>
      <w:r w:rsidRPr="00B624C2">
        <w:rPr>
          <w:rFonts w:ascii="Arial" w:hAnsi="Arial" w:cs="Arial"/>
          <w:vanish/>
          <w:sz w:val="20"/>
          <w:szCs w:val="20"/>
          <w:lang w:val="pt-PT"/>
        </w:rPr>
        <w:t>Parte inferior do formulário</w:t>
      </w:r>
    </w:p>
    <w:p w14:paraId="6D0AF5B8" w14:textId="77777777" w:rsidR="00C41738" w:rsidRDefault="00C41738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</w:p>
    <w:p w14:paraId="640ED3AE" w14:textId="77777777" w:rsidR="00BA6FD5" w:rsidRDefault="00BA6FD5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</w:p>
    <w:p w14:paraId="7846C566" w14:textId="326B93B8" w:rsidR="00484684" w:rsidRPr="00CE34CD" w:rsidRDefault="00484684" w:rsidP="00CE34CD">
      <w:pPr>
        <w:spacing w:after="0" w:line="240" w:lineRule="auto"/>
        <w:rPr>
          <w:rFonts w:ascii="Arial" w:hAnsi="Arial" w:cs="Arial"/>
          <w:b/>
          <w:sz w:val="16"/>
          <w:szCs w:val="16"/>
          <w:lang w:val="pt-PT"/>
        </w:rPr>
      </w:pPr>
      <w:r w:rsidRPr="00CE34CD">
        <w:rPr>
          <w:rFonts w:ascii="Arial" w:hAnsi="Arial" w:cs="Arial"/>
          <w:b/>
          <w:sz w:val="16"/>
          <w:szCs w:val="16"/>
          <w:lang w:val="pt-PT"/>
        </w:rPr>
        <w:t>Sobre a Xiaomi Corporation</w:t>
      </w:r>
    </w:p>
    <w:p w14:paraId="7A8895C8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73EFE3A6" w14:textId="59A06D29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>A Xiaomi Corporation foi fundada em abril de 2010 e cotada no Mercado Principal da Bolsa de Valores de Hong Kong a 9 de julho de 2018 (1810.HK). A Xiaomi é uma empresa de eletrónica de consumo e fabrico inteligente com smartphones e hardware inteligente ligados por uma plataforma IoT no seu núcleo.</w:t>
      </w:r>
    </w:p>
    <w:p w14:paraId="1136BA54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54FD4333" w14:textId="64E71C54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>Abraçando a nossa visão de "Ser amiga dos utilizadores e a empresa mais cool nos seus corações", a Xiaomi persegue continuamente a inovação, uma experiência de utilizador de alta qualidade e eficiência operacional. A empresa constrói incessantemente produtos incríveis com preços honestos, para permitir que todas as pessoas no mundo possam desfrutar de uma vida melhor através de tecnologia inovadora.</w:t>
      </w:r>
    </w:p>
    <w:p w14:paraId="680EF396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1307EAF3" w14:textId="7B96ECFF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 xml:space="preserve">A Xiaomi é uma das principais empresas de smartphones do mundo. Em junho de 2025, o MAU atingiu aproximadamente 731,2 milhões (incluindo smartphones e tablets) a nível mundial. A empresa também estabeleceu a principal plataforma de IAoT (IA+IoT) para consumidores do mundo, alcançando aproximadamente 989,1 milhões de dispositivos inteligentes ligados à sua plataforma (excluindo smartphones, computadores portáteis e tablets) em 30 de junho de 2025. Em outubro de 2023, a Xiaomi atualizou a sua estratégia para o ecossistema inteligente “Human x Car x Home”, fundindo perfeitamente dispositivos pessoais, produtos domésticos inteligentes e automóveis. A Xiaomi centra-se sempre na humanidade e está empenhada em proporcionar experiências abrangentes e mais bem ligadas. Os produtos Xiaomi estão presentes em mais de 100 países e regiões em todo o mundo. Em julho de 2025, a Xiaomi foi incluída na lista Fortune Global 500 pelo sétimo ano consecutivo, ranking 297. </w:t>
      </w:r>
    </w:p>
    <w:p w14:paraId="4305F576" w14:textId="77777777" w:rsidR="00CE34CD" w:rsidRDefault="00CE34C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</w:p>
    <w:p w14:paraId="31CD2393" w14:textId="20A3B290" w:rsidR="00162A8D" w:rsidRPr="00CE34CD" w:rsidRDefault="00162A8D" w:rsidP="00CE34CD">
      <w:pPr>
        <w:spacing w:after="0" w:line="240" w:lineRule="auto"/>
        <w:jc w:val="both"/>
        <w:rPr>
          <w:rFonts w:ascii="Arial" w:hAnsi="Arial" w:cs="Arial"/>
          <w:sz w:val="16"/>
          <w:szCs w:val="16"/>
          <w:lang w:val="pt-PT"/>
        </w:rPr>
      </w:pPr>
      <w:r w:rsidRPr="00CE34CD">
        <w:rPr>
          <w:rFonts w:ascii="Arial" w:hAnsi="Arial" w:cs="Arial"/>
          <w:sz w:val="16"/>
          <w:szCs w:val="16"/>
          <w:lang w:val="pt-PT"/>
        </w:rPr>
        <w:t>A Xiaomi é um constituinte do Índice Hang Seng, do Índice Hang Seng China Enterprises, do Índice Hang Seng TECH e do Índice Hang Seng China 50.</w:t>
      </w:r>
    </w:p>
    <w:p w14:paraId="101C081A" w14:textId="77777777" w:rsidR="00484684" w:rsidRPr="00484684" w:rsidRDefault="00484684" w:rsidP="00484684">
      <w:pPr>
        <w:spacing w:after="320"/>
        <w:jc w:val="both"/>
        <w:rPr>
          <w:rFonts w:ascii="Arial" w:hAnsi="Arial" w:cs="Arial"/>
          <w:sz w:val="18"/>
          <w:szCs w:val="18"/>
          <w:lang w:val="pt-PT"/>
        </w:rPr>
      </w:pPr>
    </w:p>
    <w:p w14:paraId="1691F85F" w14:textId="77777777" w:rsidR="00210583" w:rsidRPr="00210583" w:rsidRDefault="00210583" w:rsidP="00210583">
      <w:pPr>
        <w:spacing w:after="0" w:line="480" w:lineRule="auto"/>
        <w:rPr>
          <w:color w:val="0000FF" w:themeColor="hyperlink"/>
          <w:u w:val="single"/>
          <w:lang w:val="pt-PT"/>
        </w:rPr>
      </w:pPr>
      <w:r w:rsidRPr="00210583">
        <w:rPr>
          <w:rFonts w:ascii="Arial" w:eastAsia="Arial" w:hAnsi="Arial" w:cs="Arial"/>
          <w:b/>
          <w:sz w:val="18"/>
          <w:szCs w:val="18"/>
          <w:u w:val="single"/>
          <w:lang w:val="pt-PT"/>
        </w:rPr>
        <w:t>Contactos para imprensa</w:t>
      </w:r>
    </w:p>
    <w:p w14:paraId="78F22222" w14:textId="77777777" w:rsidR="00210583" w:rsidRPr="00210583" w:rsidRDefault="00210583" w:rsidP="00210583">
      <w:pPr>
        <w:spacing w:after="0" w:line="480" w:lineRule="auto"/>
        <w:rPr>
          <w:rFonts w:ascii="Arial" w:eastAsia="Arial" w:hAnsi="Arial" w:cs="Arial"/>
          <w:b/>
          <w:color w:val="262626"/>
          <w:sz w:val="18"/>
          <w:szCs w:val="18"/>
          <w:lang w:val="pt-PT"/>
        </w:rPr>
      </w:pPr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Xiaomi Portugal </w:t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>|</w:t>
      </w:r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 </w:t>
      </w:r>
      <w:r w:rsidRPr="00210583">
        <w:rPr>
          <w:rFonts w:ascii="Arial" w:hAnsi="Arial" w:cs="Arial"/>
          <w:bCs/>
          <w:sz w:val="18"/>
          <w:szCs w:val="18"/>
          <w:lang w:val="pt-PT"/>
        </w:rPr>
        <w:t xml:space="preserve">Salvador Correia de Sampaio | </w:t>
      </w:r>
      <w:hyperlink r:id="rId8" w:history="1">
        <w:r w:rsidRPr="00210583">
          <w:rPr>
            <w:rStyle w:val="Hiperligao"/>
            <w:rFonts w:ascii="Arial" w:hAnsi="Arial" w:cs="Arial"/>
            <w:bCs/>
            <w:sz w:val="18"/>
            <w:szCs w:val="18"/>
            <w:lang w:val="pt-PT"/>
          </w:rPr>
          <w:t>v-salvadors@xiaomi.com</w:t>
        </w:r>
      </w:hyperlink>
    </w:p>
    <w:p w14:paraId="7C147972" w14:textId="77777777" w:rsidR="00210583" w:rsidRPr="00210583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  <w:lang w:val="pt-PT"/>
        </w:rPr>
      </w:pPr>
      <w:r w:rsidRPr="00210583">
        <w:rPr>
          <w:rFonts w:ascii="Arial" w:eastAsia="Arial" w:hAnsi="Arial" w:cs="Arial"/>
          <w:b/>
          <w:color w:val="262626"/>
          <w:sz w:val="18"/>
          <w:szCs w:val="18"/>
          <w:lang w:val="pt-PT"/>
        </w:rPr>
        <w:t xml:space="preserve">Lift Consulting </w:t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| Tânia Miguel | </w:t>
      </w:r>
      <w:hyperlink r:id="rId9" w:history="1">
        <w:r w:rsidRPr="00210583">
          <w:rPr>
            <w:rStyle w:val="Hiperligao"/>
            <w:rFonts w:ascii="Arial" w:eastAsia="Arial" w:hAnsi="Arial" w:cs="Arial"/>
            <w:bCs/>
            <w:sz w:val="18"/>
            <w:szCs w:val="18"/>
            <w:lang w:val="pt-PT"/>
          </w:rPr>
          <w:t>tania.miguel@lift.com.pt</w:t>
        </w:r>
      </w:hyperlink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 xml:space="preserve"> | 918 270 387</w:t>
      </w:r>
    </w:p>
    <w:p w14:paraId="3883F76F" w14:textId="77777777" w:rsidR="00210583" w:rsidRPr="002A7053" w:rsidRDefault="00210583" w:rsidP="00210583">
      <w:pPr>
        <w:spacing w:after="0" w:line="480" w:lineRule="auto"/>
        <w:rPr>
          <w:rFonts w:ascii="Arial" w:eastAsia="Arial" w:hAnsi="Arial" w:cs="Arial"/>
          <w:bCs/>
          <w:color w:val="262626"/>
          <w:sz w:val="18"/>
          <w:szCs w:val="18"/>
        </w:rPr>
      </w:pP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ab/>
      </w:r>
      <w:r w:rsidRPr="00210583">
        <w:rPr>
          <w:rFonts w:ascii="Arial" w:eastAsia="Arial" w:hAnsi="Arial" w:cs="Arial"/>
          <w:bCs/>
          <w:color w:val="262626"/>
          <w:sz w:val="18"/>
          <w:szCs w:val="18"/>
          <w:lang w:val="pt-PT"/>
        </w:rPr>
        <w:tab/>
        <w:t xml:space="preserve"> </w:t>
      </w:r>
      <w:r w:rsidRPr="002A7053">
        <w:rPr>
          <w:rFonts w:ascii="Arial" w:eastAsia="Arial" w:hAnsi="Arial" w:cs="Arial"/>
          <w:bCs/>
          <w:color w:val="262626"/>
          <w:sz w:val="18"/>
          <w:szCs w:val="18"/>
        </w:rPr>
        <w:t xml:space="preserve">Ana Roquete </w:t>
      </w:r>
      <w:r>
        <w:rPr>
          <w:rFonts w:ascii="Arial" w:eastAsia="Arial" w:hAnsi="Arial" w:cs="Arial"/>
          <w:bCs/>
          <w:color w:val="262626"/>
          <w:sz w:val="18"/>
          <w:szCs w:val="18"/>
        </w:rPr>
        <w:t>|</w:t>
      </w:r>
      <w:r w:rsidRPr="002A7053">
        <w:rPr>
          <w:rFonts w:ascii="Arial" w:eastAsia="Arial" w:hAnsi="Arial" w:cs="Arial"/>
          <w:bCs/>
          <w:color w:val="262626"/>
          <w:sz w:val="18"/>
          <w:szCs w:val="18"/>
        </w:rPr>
        <w:t xml:space="preserve"> </w:t>
      </w:r>
      <w:hyperlink r:id="rId10" w:history="1">
        <w:r w:rsidRPr="002A7053">
          <w:rPr>
            <w:rStyle w:val="Hiperligao"/>
            <w:rFonts w:ascii="Arial" w:eastAsia="Arial" w:hAnsi="Arial" w:cs="Arial"/>
            <w:bCs/>
            <w:sz w:val="18"/>
            <w:szCs w:val="18"/>
          </w:rPr>
          <w:t>ana.roquete@lift.com.pt</w:t>
        </w:r>
      </w:hyperlink>
      <w:r w:rsidRPr="002A7053">
        <w:rPr>
          <w:rFonts w:ascii="Arial" w:eastAsia="Arial" w:hAnsi="Arial" w:cs="Arial"/>
          <w:bCs/>
          <w:color w:val="262626"/>
          <w:sz w:val="18"/>
          <w:szCs w:val="18"/>
        </w:rPr>
        <w:t xml:space="preserve"> </w:t>
      </w:r>
      <w:r>
        <w:rPr>
          <w:rFonts w:ascii="Arial" w:eastAsia="Arial" w:hAnsi="Arial" w:cs="Arial"/>
          <w:bCs/>
          <w:color w:val="262626"/>
          <w:sz w:val="18"/>
          <w:szCs w:val="18"/>
        </w:rPr>
        <w:t>| 934 623 847</w:t>
      </w:r>
      <w:r w:rsidRPr="002A7053">
        <w:rPr>
          <w:rFonts w:ascii="Arial" w:eastAsia="Arial" w:hAnsi="Arial" w:cs="Arial"/>
          <w:bCs/>
          <w:color w:val="262626"/>
          <w:sz w:val="18"/>
          <w:szCs w:val="18"/>
        </w:rPr>
        <w:t xml:space="preserve"> </w:t>
      </w:r>
    </w:p>
    <w:p w14:paraId="785FFEF6" w14:textId="2470CDC0" w:rsidR="00CE3440" w:rsidRPr="00484684" w:rsidRDefault="00CE3440" w:rsidP="00484684">
      <w:pPr>
        <w:spacing w:after="320"/>
        <w:rPr>
          <w:color w:val="0000FF" w:themeColor="hyperlink"/>
          <w:u w:val="single"/>
          <w:lang w:val="pt-PT"/>
        </w:rPr>
      </w:pPr>
    </w:p>
    <w:p w14:paraId="38ADA2AE" w14:textId="77777777" w:rsidR="00484684" w:rsidRPr="00907C57" w:rsidRDefault="00484684" w:rsidP="00907C57">
      <w:pPr>
        <w:jc w:val="both"/>
        <w:rPr>
          <w:rFonts w:ascii="Arial" w:hAnsi="Arial" w:cs="Arial"/>
          <w:lang w:val="pt-PT"/>
        </w:rPr>
      </w:pPr>
    </w:p>
    <w:sectPr w:rsidR="00484684" w:rsidRPr="00907C57" w:rsidSect="00034616">
      <w:head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B1677" w14:textId="77777777" w:rsidR="006D6E0C" w:rsidRDefault="006D6E0C" w:rsidP="005206C4">
      <w:pPr>
        <w:spacing w:after="0" w:line="240" w:lineRule="auto"/>
      </w:pPr>
      <w:r>
        <w:separator/>
      </w:r>
    </w:p>
  </w:endnote>
  <w:endnote w:type="continuationSeparator" w:id="0">
    <w:p w14:paraId="6DBEEB10" w14:textId="77777777" w:rsidR="006D6E0C" w:rsidRDefault="006D6E0C" w:rsidP="0052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F1F8" w14:textId="77777777" w:rsidR="006D6E0C" w:rsidRDefault="006D6E0C" w:rsidP="005206C4">
      <w:pPr>
        <w:spacing w:after="0" w:line="240" w:lineRule="auto"/>
      </w:pPr>
      <w:r>
        <w:separator/>
      </w:r>
    </w:p>
  </w:footnote>
  <w:footnote w:type="continuationSeparator" w:id="0">
    <w:p w14:paraId="10803AEC" w14:textId="77777777" w:rsidR="006D6E0C" w:rsidRDefault="006D6E0C" w:rsidP="00520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C449" w14:textId="5B3D3A49" w:rsidR="005206C4" w:rsidRDefault="005206C4">
    <w:pPr>
      <w:pStyle w:val="Cabealho"/>
    </w:pPr>
    <w:r w:rsidRPr="005051AB">
      <w:rPr>
        <w:noProof/>
      </w:rPr>
      <w:drawing>
        <wp:anchor distT="0" distB="0" distL="114300" distR="114300" simplePos="0" relativeHeight="251659264" behindDoc="1" locked="0" layoutInCell="1" allowOverlap="1" wp14:anchorId="56F1F622" wp14:editId="0BF39331">
          <wp:simplePos x="0" y="0"/>
          <wp:positionH relativeFrom="margin">
            <wp:posOffset>4965700</wp:posOffset>
          </wp:positionH>
          <wp:positionV relativeFrom="paragraph">
            <wp:posOffset>-158750</wp:posOffset>
          </wp:positionV>
          <wp:extent cx="505460" cy="495300"/>
          <wp:effectExtent l="0" t="0" r="8890" b="0"/>
          <wp:wrapTight wrapText="bothSides">
            <wp:wrapPolygon edited="0">
              <wp:start x="3256" y="0"/>
              <wp:lineTo x="0" y="2492"/>
              <wp:lineTo x="0" y="18277"/>
              <wp:lineTo x="2442" y="20769"/>
              <wp:lineTo x="17910" y="20769"/>
              <wp:lineTo x="21166" y="17446"/>
              <wp:lineTo x="21166" y="3323"/>
              <wp:lineTo x="17910" y="0"/>
              <wp:lineTo x="3256" y="0"/>
            </wp:wrapPolygon>
          </wp:wrapTight>
          <wp:docPr id="1202859717" name="Imagem 1202859717" descr="Uma imagem com Gráficos, logótipo, laranja, símbolo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859717" name="Imagem 1202859717" descr="Uma imagem com Gráficos, logótipo, laranja, símbolo&#10;&#10;Os conteúdos gerados por IA poderão estar incorretos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282" t="19258" r="35246" b="19642"/>
                  <a:stretch/>
                </pic:blipFill>
                <pic:spPr bwMode="auto">
                  <a:xfrm>
                    <a:off x="0" y="0"/>
                    <a:ext cx="50546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mmarc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mmarc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D16B22"/>
    <w:multiLevelType w:val="multilevel"/>
    <w:tmpl w:val="9ADA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5808962">
    <w:abstractNumId w:val="8"/>
  </w:num>
  <w:num w:numId="2" w16cid:durableId="1854683839">
    <w:abstractNumId w:val="6"/>
  </w:num>
  <w:num w:numId="3" w16cid:durableId="738871638">
    <w:abstractNumId w:val="5"/>
  </w:num>
  <w:num w:numId="4" w16cid:durableId="1514686789">
    <w:abstractNumId w:val="4"/>
  </w:num>
  <w:num w:numId="5" w16cid:durableId="991911125">
    <w:abstractNumId w:val="7"/>
  </w:num>
  <w:num w:numId="6" w16cid:durableId="2045790898">
    <w:abstractNumId w:val="3"/>
  </w:num>
  <w:num w:numId="7" w16cid:durableId="1674455310">
    <w:abstractNumId w:val="2"/>
  </w:num>
  <w:num w:numId="8" w16cid:durableId="1007944109">
    <w:abstractNumId w:val="1"/>
  </w:num>
  <w:num w:numId="9" w16cid:durableId="714698609">
    <w:abstractNumId w:val="0"/>
  </w:num>
  <w:num w:numId="10" w16cid:durableId="14864297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2FA"/>
    <w:rsid w:val="000232DA"/>
    <w:rsid w:val="00034616"/>
    <w:rsid w:val="00057A80"/>
    <w:rsid w:val="0006063C"/>
    <w:rsid w:val="000713E1"/>
    <w:rsid w:val="00086514"/>
    <w:rsid w:val="000B68AA"/>
    <w:rsid w:val="000C2C89"/>
    <w:rsid w:val="000F41F3"/>
    <w:rsid w:val="001021D0"/>
    <w:rsid w:val="00106B06"/>
    <w:rsid w:val="00112136"/>
    <w:rsid w:val="00143078"/>
    <w:rsid w:val="0015074B"/>
    <w:rsid w:val="00162A8D"/>
    <w:rsid w:val="00177344"/>
    <w:rsid w:val="00187014"/>
    <w:rsid w:val="001C646C"/>
    <w:rsid w:val="001F51E7"/>
    <w:rsid w:val="00210583"/>
    <w:rsid w:val="00216D62"/>
    <w:rsid w:val="002347BA"/>
    <w:rsid w:val="00236977"/>
    <w:rsid w:val="00260F78"/>
    <w:rsid w:val="00265A7B"/>
    <w:rsid w:val="002723EA"/>
    <w:rsid w:val="00295838"/>
    <w:rsid w:val="0029639D"/>
    <w:rsid w:val="002B3BFF"/>
    <w:rsid w:val="002C1B5F"/>
    <w:rsid w:val="002E3C73"/>
    <w:rsid w:val="002F501E"/>
    <w:rsid w:val="00302A6C"/>
    <w:rsid w:val="00313D2B"/>
    <w:rsid w:val="00326F90"/>
    <w:rsid w:val="003303D8"/>
    <w:rsid w:val="00335079"/>
    <w:rsid w:val="00351B0C"/>
    <w:rsid w:val="00362BBA"/>
    <w:rsid w:val="0036580B"/>
    <w:rsid w:val="00375538"/>
    <w:rsid w:val="003869B0"/>
    <w:rsid w:val="003A14D8"/>
    <w:rsid w:val="003A3D44"/>
    <w:rsid w:val="003A45D5"/>
    <w:rsid w:val="00405157"/>
    <w:rsid w:val="00440382"/>
    <w:rsid w:val="0044187F"/>
    <w:rsid w:val="004633D9"/>
    <w:rsid w:val="00484684"/>
    <w:rsid w:val="004A712F"/>
    <w:rsid w:val="004C3707"/>
    <w:rsid w:val="004D4D0B"/>
    <w:rsid w:val="004D556C"/>
    <w:rsid w:val="004E615F"/>
    <w:rsid w:val="005040B2"/>
    <w:rsid w:val="005160F3"/>
    <w:rsid w:val="005206C4"/>
    <w:rsid w:val="00532479"/>
    <w:rsid w:val="00540C86"/>
    <w:rsid w:val="00542993"/>
    <w:rsid w:val="005A214D"/>
    <w:rsid w:val="005A2BD6"/>
    <w:rsid w:val="005D2617"/>
    <w:rsid w:val="005D6C87"/>
    <w:rsid w:val="005E1511"/>
    <w:rsid w:val="005F72DD"/>
    <w:rsid w:val="00615823"/>
    <w:rsid w:val="00617DE6"/>
    <w:rsid w:val="00656ADE"/>
    <w:rsid w:val="00671C63"/>
    <w:rsid w:val="00683B94"/>
    <w:rsid w:val="0068547D"/>
    <w:rsid w:val="006A7A7F"/>
    <w:rsid w:val="006B4F5C"/>
    <w:rsid w:val="006B5204"/>
    <w:rsid w:val="006C5D26"/>
    <w:rsid w:val="006D6E0C"/>
    <w:rsid w:val="006F1942"/>
    <w:rsid w:val="00725525"/>
    <w:rsid w:val="00725A35"/>
    <w:rsid w:val="0073209E"/>
    <w:rsid w:val="0075084B"/>
    <w:rsid w:val="00773BC0"/>
    <w:rsid w:val="00782392"/>
    <w:rsid w:val="007B2386"/>
    <w:rsid w:val="007B2E1D"/>
    <w:rsid w:val="007B3CFB"/>
    <w:rsid w:val="00811280"/>
    <w:rsid w:val="008202D0"/>
    <w:rsid w:val="0082154C"/>
    <w:rsid w:val="0085350E"/>
    <w:rsid w:val="00853969"/>
    <w:rsid w:val="0087034D"/>
    <w:rsid w:val="00881789"/>
    <w:rsid w:val="00887B0E"/>
    <w:rsid w:val="008C514F"/>
    <w:rsid w:val="008E2CD6"/>
    <w:rsid w:val="008E7DB1"/>
    <w:rsid w:val="009023D7"/>
    <w:rsid w:val="00907C57"/>
    <w:rsid w:val="00915BBC"/>
    <w:rsid w:val="00922A90"/>
    <w:rsid w:val="00922C9E"/>
    <w:rsid w:val="009258C1"/>
    <w:rsid w:val="00953AFD"/>
    <w:rsid w:val="00961AC7"/>
    <w:rsid w:val="00962887"/>
    <w:rsid w:val="0097237C"/>
    <w:rsid w:val="00997C2B"/>
    <w:rsid w:val="009B71C8"/>
    <w:rsid w:val="009C643B"/>
    <w:rsid w:val="009D10FD"/>
    <w:rsid w:val="00A322B2"/>
    <w:rsid w:val="00A44A23"/>
    <w:rsid w:val="00A50A66"/>
    <w:rsid w:val="00A56C25"/>
    <w:rsid w:val="00A752AE"/>
    <w:rsid w:val="00A77F29"/>
    <w:rsid w:val="00A96D1D"/>
    <w:rsid w:val="00AA1D8D"/>
    <w:rsid w:val="00AA5159"/>
    <w:rsid w:val="00AB08D1"/>
    <w:rsid w:val="00B01078"/>
    <w:rsid w:val="00B02DBC"/>
    <w:rsid w:val="00B47730"/>
    <w:rsid w:val="00B51E49"/>
    <w:rsid w:val="00B61987"/>
    <w:rsid w:val="00B624C2"/>
    <w:rsid w:val="00B661DD"/>
    <w:rsid w:val="00B768FD"/>
    <w:rsid w:val="00B8611C"/>
    <w:rsid w:val="00B87D8B"/>
    <w:rsid w:val="00B9382C"/>
    <w:rsid w:val="00B93D24"/>
    <w:rsid w:val="00BA3E42"/>
    <w:rsid w:val="00BA6FD5"/>
    <w:rsid w:val="00BB3678"/>
    <w:rsid w:val="00BD3049"/>
    <w:rsid w:val="00BF1C33"/>
    <w:rsid w:val="00C34F84"/>
    <w:rsid w:val="00C41738"/>
    <w:rsid w:val="00C53726"/>
    <w:rsid w:val="00C62193"/>
    <w:rsid w:val="00C75C21"/>
    <w:rsid w:val="00CA6D41"/>
    <w:rsid w:val="00CB0664"/>
    <w:rsid w:val="00CD2C75"/>
    <w:rsid w:val="00CE1B3A"/>
    <w:rsid w:val="00CE3440"/>
    <w:rsid w:val="00CE34CD"/>
    <w:rsid w:val="00CF03A0"/>
    <w:rsid w:val="00D0518D"/>
    <w:rsid w:val="00D07F06"/>
    <w:rsid w:val="00D16CF1"/>
    <w:rsid w:val="00D43672"/>
    <w:rsid w:val="00D64F57"/>
    <w:rsid w:val="00D65AD2"/>
    <w:rsid w:val="00D752F7"/>
    <w:rsid w:val="00D87D1E"/>
    <w:rsid w:val="00D93D95"/>
    <w:rsid w:val="00D96EC4"/>
    <w:rsid w:val="00DB3ABF"/>
    <w:rsid w:val="00DB43EA"/>
    <w:rsid w:val="00DC2A40"/>
    <w:rsid w:val="00E262B7"/>
    <w:rsid w:val="00E27F6B"/>
    <w:rsid w:val="00E9195E"/>
    <w:rsid w:val="00EC3AC1"/>
    <w:rsid w:val="00EC6515"/>
    <w:rsid w:val="00ED48C6"/>
    <w:rsid w:val="00F32DB9"/>
    <w:rsid w:val="00F74543"/>
    <w:rsid w:val="00FA3772"/>
    <w:rsid w:val="00FC392A"/>
    <w:rsid w:val="00FC693F"/>
    <w:rsid w:val="01ACC692"/>
    <w:rsid w:val="05741F1B"/>
    <w:rsid w:val="0E4B1933"/>
    <w:rsid w:val="0FC2F41D"/>
    <w:rsid w:val="11761BB6"/>
    <w:rsid w:val="13A85470"/>
    <w:rsid w:val="1647BC38"/>
    <w:rsid w:val="173282F7"/>
    <w:rsid w:val="2337E415"/>
    <w:rsid w:val="2912A2F3"/>
    <w:rsid w:val="294840AA"/>
    <w:rsid w:val="2B77717C"/>
    <w:rsid w:val="2E3EC198"/>
    <w:rsid w:val="311918AC"/>
    <w:rsid w:val="3304302F"/>
    <w:rsid w:val="395DD2CE"/>
    <w:rsid w:val="3AE80CF6"/>
    <w:rsid w:val="3EF72B87"/>
    <w:rsid w:val="3FE21A14"/>
    <w:rsid w:val="417BD48E"/>
    <w:rsid w:val="425B3414"/>
    <w:rsid w:val="4351B371"/>
    <w:rsid w:val="4372E5C9"/>
    <w:rsid w:val="47054DB1"/>
    <w:rsid w:val="48067BBD"/>
    <w:rsid w:val="4C2AFFDB"/>
    <w:rsid w:val="4C5B9254"/>
    <w:rsid w:val="5006F3A3"/>
    <w:rsid w:val="50D930E8"/>
    <w:rsid w:val="525E9FAA"/>
    <w:rsid w:val="55A78638"/>
    <w:rsid w:val="573DBB76"/>
    <w:rsid w:val="5A4A5140"/>
    <w:rsid w:val="5AF69CC0"/>
    <w:rsid w:val="5EC2A980"/>
    <w:rsid w:val="601B466A"/>
    <w:rsid w:val="6998895D"/>
    <w:rsid w:val="6D48B953"/>
    <w:rsid w:val="72429F80"/>
    <w:rsid w:val="7650E1EB"/>
    <w:rsid w:val="77138155"/>
    <w:rsid w:val="7F1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7705277-6323-494C-AD67-C753EAE0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618BF"/>
  </w:style>
  <w:style w:type="paragraph" w:styleId="Rodap">
    <w:name w:val="footer"/>
    <w:basedOn w:val="Normal"/>
    <w:link w:val="RodapCar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ter">
    <w:name w:val="Título 1 Caráter"/>
    <w:basedOn w:val="Tipodeletrapredefinidodopargraf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AA1D8D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AA1D8D"/>
  </w:style>
  <w:style w:type="paragraph" w:styleId="Corpodetexto2">
    <w:name w:val="Body Text 2"/>
    <w:basedOn w:val="Normal"/>
    <w:link w:val="Corpodetexto2Carter"/>
    <w:uiPriority w:val="99"/>
    <w:unhideWhenUsed/>
    <w:rsid w:val="00AA1D8D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A1D8D"/>
  </w:style>
  <w:style w:type="paragraph" w:styleId="Corpodetexto3">
    <w:name w:val="Body Text 3"/>
    <w:basedOn w:val="Normal"/>
    <w:link w:val="Corpodetexto3Car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mmarc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mmarc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mmarc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ar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arter">
    <w:name w:val="Texto de macro Caráter"/>
    <w:basedOn w:val="Tipodeletrapredefinidodopargraf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arter"/>
    <w:uiPriority w:val="29"/>
    <w:qFormat/>
    <w:rsid w:val="00FC693F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FC6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Discreta">
    <w:name w:val="Subtle Emphasis"/>
    <w:basedOn w:val="Tipodeletrapredefinidodopargraf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FC693F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elha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Cor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Cor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Cor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Cor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Cor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Cor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Cor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Cor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Cor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Cor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Cor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Cor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elha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elhaClara-Cor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elhaClara-Cor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elhaClara-Cor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elhaClara-Cor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elhaClara-Cor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elhaClara-Cor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1-Cor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dio2-Cor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Cor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Cor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Cor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Cor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Cor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Cor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Mdia1-Cor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Mdia1-Cor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Mdia1-Cor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Mdia1-Cor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Mdia1-Cor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Mdia1-Cor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elha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2-Cor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elha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elhaMdia3-Cor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elhaMdia3-Cor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elhaMdia3-Cor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elhaMdia3-Cor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elhaMdia3-Cor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elhaMdia3-Cor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Cor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Cor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Cor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Cor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Cor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Cor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Colorido-Cor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Colorido-Cor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Cor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Cor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Cor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Cor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Cor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Cor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elha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elhaColorida-Cor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elhaColorida-Cor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elhaColorida-Cor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elhaColorida-Cor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elhaColorida-Cor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elhaColorida-Cor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ligao">
    <w:name w:val="Hyperlink"/>
    <w:basedOn w:val="Tipodeletrapredefinidodopargrafo"/>
    <w:uiPriority w:val="99"/>
    <w:unhideWhenUsed/>
    <w:qFormat/>
    <w:rsid w:val="0048468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4A2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9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98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Discos%20partilhados\(15%20LSB)%202021\CLIENTES%20ATIVOS\XIAOMI\Trabalho%20Corrente\Atividades%20Desenvolvidas\Press%20Releases\01.%20Serie%2011T\v-salvadors@xiaomi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a.roquete@lift.com.p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nia.miguel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2171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Roquete</cp:lastModifiedBy>
  <cp:revision>2</cp:revision>
  <dcterms:created xsi:type="dcterms:W3CDTF">2025-11-18T16:38:00Z</dcterms:created>
  <dcterms:modified xsi:type="dcterms:W3CDTF">2025-11-18T16:38:00Z</dcterms:modified>
  <cp:category/>
</cp:coreProperties>
</file>