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76FFA" w14:textId="1D8C02EA" w:rsidR="00BA2349" w:rsidRDefault="00BA2349" w:rsidP="000D2296">
      <w:pPr>
        <w:pStyle w:val="Akapitzlist"/>
        <w:tabs>
          <w:tab w:val="left" w:pos="5630"/>
        </w:tabs>
        <w:spacing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  <w:bookmarkStart w:id="0" w:name="_Hlk82005360"/>
      <w:bookmarkStart w:id="1" w:name="_Hlk98792970"/>
      <w:r>
        <w:rPr>
          <w:rFonts w:ascii="Arial" w:hAnsi="Arial" w:cs="Arial"/>
          <w:b/>
          <w:bCs/>
          <w:sz w:val="28"/>
          <w:szCs w:val="28"/>
          <w:lang w:val="pl-PL"/>
        </w:rPr>
        <w:t xml:space="preserve">Polska na liście państw z najwyższym potencjałem do rozwoju </w:t>
      </w:r>
      <w:r w:rsidR="006F2A4A">
        <w:rPr>
          <w:rFonts w:ascii="Arial" w:hAnsi="Arial" w:cs="Arial"/>
          <w:b/>
          <w:bCs/>
          <w:sz w:val="28"/>
          <w:szCs w:val="28"/>
          <w:lang w:val="pl-PL"/>
        </w:rPr>
        <w:t xml:space="preserve">czterech </w:t>
      </w:r>
      <w:r>
        <w:rPr>
          <w:rFonts w:ascii="Arial" w:hAnsi="Arial" w:cs="Arial"/>
          <w:b/>
          <w:bCs/>
          <w:sz w:val="28"/>
          <w:szCs w:val="28"/>
          <w:lang w:val="pl-PL"/>
        </w:rPr>
        <w:t>kluczowych dziś branż</w:t>
      </w:r>
    </w:p>
    <w:p w14:paraId="2DEDF944" w14:textId="11223903" w:rsidR="00BA2349" w:rsidRDefault="00BA2349" w:rsidP="000D2296">
      <w:pPr>
        <w:pStyle w:val="Akapitzlist"/>
        <w:tabs>
          <w:tab w:val="left" w:pos="5630"/>
        </w:tabs>
        <w:spacing w:line="240" w:lineRule="auto"/>
        <w:ind w:left="0"/>
        <w:jc w:val="center"/>
        <w:rPr>
          <w:rFonts w:ascii="Arial" w:hAnsi="Arial" w:cs="Arial"/>
          <w:b/>
          <w:bCs/>
          <w:sz w:val="28"/>
          <w:szCs w:val="28"/>
          <w:lang w:val="pl-PL"/>
        </w:rPr>
      </w:pPr>
    </w:p>
    <w:p w14:paraId="5061C9F9" w14:textId="479D2BA5" w:rsidR="00BA2349" w:rsidRPr="006F2A4A" w:rsidRDefault="00BA2349" w:rsidP="000D2296">
      <w:pPr>
        <w:pStyle w:val="Akapitzlist"/>
        <w:tabs>
          <w:tab w:val="left" w:pos="5630"/>
        </w:tabs>
        <w:spacing w:line="240" w:lineRule="auto"/>
        <w:ind w:left="0"/>
        <w:jc w:val="center"/>
        <w:rPr>
          <w:rFonts w:ascii="Arial" w:hAnsi="Arial" w:cs="Arial"/>
          <w:i/>
          <w:iCs/>
          <w:sz w:val="24"/>
          <w:szCs w:val="24"/>
          <w:lang w:val="pl-PL"/>
        </w:rPr>
      </w:pPr>
      <w:r w:rsidRPr="006F2A4A">
        <w:rPr>
          <w:rFonts w:ascii="Arial" w:hAnsi="Arial" w:cs="Arial"/>
          <w:b/>
          <w:bCs/>
          <w:i/>
          <w:iCs/>
          <w:sz w:val="24"/>
          <w:szCs w:val="24"/>
          <w:lang w:val="pl-PL"/>
        </w:rPr>
        <w:t>Obronność, czysta energia, krytyczne surowce oraz life science jako koło zamachowe rozwoju w Polsce</w:t>
      </w:r>
    </w:p>
    <w:bookmarkEnd w:id="0"/>
    <w:bookmarkEnd w:id="1"/>
    <w:p w14:paraId="3AEB866B" w14:textId="50BBAE03" w:rsidR="0008596F" w:rsidRDefault="00CE6B3F" w:rsidP="00663AE4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663AE4">
        <w:rPr>
          <w:rFonts w:ascii="Arial" w:hAnsi="Arial" w:cs="Arial"/>
          <w:b/>
          <w:bCs/>
          <w:sz w:val="20"/>
          <w:szCs w:val="20"/>
          <w:lang w:val="pl-PL"/>
        </w:rPr>
        <w:t>Jak wynika z raportu międzynarodowej firmy doradczej Cushman &amp; Wakefield „</w:t>
      </w:r>
      <w:r w:rsidRPr="00663AE4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Strategic </w:t>
      </w:r>
      <w:proofErr w:type="spellStart"/>
      <w:r w:rsidRPr="00663AE4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Sector</w:t>
      </w:r>
      <w:proofErr w:type="spellEnd"/>
      <w:r w:rsidRPr="00663AE4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663AE4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Signals</w:t>
      </w:r>
      <w:proofErr w:type="spellEnd"/>
      <w:r w:rsidRPr="00663AE4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>”</w:t>
      </w:r>
      <w:r w:rsidRPr="00663AE4">
        <w:rPr>
          <w:rFonts w:ascii="Arial" w:hAnsi="Arial" w:cs="Arial"/>
          <w:b/>
          <w:bCs/>
          <w:sz w:val="20"/>
          <w:szCs w:val="20"/>
          <w:lang w:val="pl-PL"/>
        </w:rPr>
        <w:t>, Polska znalazła się w gronie zaledwie siedmiu europejskich krajów uznanych za lokalizacje o silnym potencjale wzrostu dla inwestycji w strategiczne branże</w:t>
      </w:r>
      <w:r w:rsidR="00663AE4" w:rsidRPr="00663AE4">
        <w:rPr>
          <w:rFonts w:ascii="Arial" w:hAnsi="Arial" w:cs="Arial"/>
          <w:b/>
          <w:bCs/>
          <w:sz w:val="20"/>
          <w:szCs w:val="20"/>
          <w:lang w:val="pl-PL"/>
        </w:rPr>
        <w:t xml:space="preserve">, czyli sektora obronności, technologii czystej energii, surowców krytycznych i life </w:t>
      </w:r>
      <w:proofErr w:type="spellStart"/>
      <w:r w:rsidR="00663AE4" w:rsidRPr="00663AE4">
        <w:rPr>
          <w:rFonts w:ascii="Arial" w:hAnsi="Arial" w:cs="Arial"/>
          <w:b/>
          <w:bCs/>
          <w:sz w:val="20"/>
          <w:szCs w:val="20"/>
          <w:lang w:val="pl-PL"/>
        </w:rPr>
        <w:t>sciences</w:t>
      </w:r>
      <w:proofErr w:type="spellEnd"/>
      <w:r w:rsidR="00663AE4" w:rsidRPr="00663AE4">
        <w:rPr>
          <w:rFonts w:ascii="Arial" w:hAnsi="Arial" w:cs="Arial"/>
          <w:b/>
          <w:bCs/>
          <w:sz w:val="20"/>
          <w:szCs w:val="20"/>
          <w:lang w:val="pl-PL"/>
        </w:rPr>
        <w:t xml:space="preserve">. Ponadto </w:t>
      </w:r>
      <w:r w:rsidR="0008596F" w:rsidRPr="00663AE4">
        <w:rPr>
          <w:rFonts w:ascii="Arial" w:hAnsi="Arial" w:cs="Arial"/>
          <w:b/>
          <w:bCs/>
          <w:sz w:val="20"/>
          <w:szCs w:val="20"/>
          <w:lang w:val="pl-PL"/>
        </w:rPr>
        <w:t xml:space="preserve">rosnące inwestycje państw </w:t>
      </w:r>
      <w:r w:rsidR="00663AE4" w:rsidRPr="00663AE4">
        <w:rPr>
          <w:rFonts w:ascii="Arial" w:hAnsi="Arial" w:cs="Arial"/>
          <w:b/>
          <w:bCs/>
          <w:sz w:val="20"/>
          <w:szCs w:val="20"/>
          <w:lang w:val="pl-PL"/>
        </w:rPr>
        <w:t>Starego Kontynentu w te cztery obszary</w:t>
      </w:r>
      <w:r w:rsidR="0008596F" w:rsidRPr="00663AE4">
        <w:rPr>
          <w:rFonts w:ascii="Arial" w:hAnsi="Arial" w:cs="Arial"/>
          <w:b/>
          <w:bCs/>
          <w:sz w:val="20"/>
          <w:szCs w:val="20"/>
          <w:lang w:val="pl-PL"/>
        </w:rPr>
        <w:t xml:space="preserve"> stają się silnym motorem popytu na nieruchomości przemysłowo-magazyno</w:t>
      </w:r>
      <w:r w:rsidR="00663AE4" w:rsidRPr="00663AE4">
        <w:rPr>
          <w:rFonts w:ascii="Arial" w:hAnsi="Arial" w:cs="Arial"/>
          <w:b/>
          <w:bCs/>
          <w:sz w:val="20"/>
          <w:szCs w:val="20"/>
          <w:lang w:val="pl-PL"/>
        </w:rPr>
        <w:t>we.</w:t>
      </w:r>
    </w:p>
    <w:p w14:paraId="26B7047B" w14:textId="420C4B82" w:rsidR="00AF6536" w:rsidRPr="00564B2D" w:rsidRDefault="00B9285B" w:rsidP="00663AE4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64B2D">
        <w:rPr>
          <w:rFonts w:ascii="Arial" w:hAnsi="Arial" w:cs="Arial"/>
          <w:sz w:val="20"/>
          <w:szCs w:val="20"/>
          <w:lang w:val="pl-PL"/>
        </w:rPr>
        <w:t xml:space="preserve">Raport </w:t>
      </w:r>
      <w:r w:rsidR="00B812BE" w:rsidRPr="00564B2D">
        <w:rPr>
          <w:rFonts w:ascii="Arial" w:hAnsi="Arial" w:cs="Arial"/>
          <w:sz w:val="20"/>
          <w:szCs w:val="20"/>
          <w:lang w:val="pl-PL"/>
        </w:rPr>
        <w:t xml:space="preserve">kategoryzuje </w:t>
      </w:r>
      <w:r w:rsidRPr="00564B2D">
        <w:rPr>
          <w:rFonts w:ascii="Arial" w:hAnsi="Arial" w:cs="Arial"/>
          <w:sz w:val="20"/>
          <w:szCs w:val="20"/>
          <w:lang w:val="pl-PL"/>
        </w:rPr>
        <w:t>państwa europejskie</w:t>
      </w:r>
      <w:r w:rsidR="00B812BE" w:rsidRPr="00564B2D">
        <w:rPr>
          <w:rFonts w:ascii="Arial" w:hAnsi="Arial" w:cs="Arial"/>
          <w:sz w:val="20"/>
          <w:szCs w:val="20"/>
          <w:lang w:val="pl-PL"/>
        </w:rPr>
        <w:t>, dzieląc je według potencjału wzrostu generowanego przez sektory strategiczne. Do grupy krajów</w:t>
      </w:r>
      <w:r w:rsidRPr="00564B2D">
        <w:rPr>
          <w:rFonts w:ascii="Arial" w:hAnsi="Arial" w:cs="Arial"/>
          <w:sz w:val="20"/>
          <w:szCs w:val="20"/>
          <w:lang w:val="pl-PL"/>
        </w:rPr>
        <w:t xml:space="preserve"> o</w:t>
      </w:r>
      <w:r w:rsidR="00B812BE" w:rsidRPr="00564B2D">
        <w:rPr>
          <w:rFonts w:ascii="Arial" w:hAnsi="Arial" w:cs="Arial"/>
          <w:sz w:val="20"/>
          <w:szCs w:val="20"/>
          <w:lang w:val="pl-PL"/>
        </w:rPr>
        <w:t xml:space="preserve"> </w:t>
      </w:r>
      <w:r w:rsidRPr="00564B2D">
        <w:rPr>
          <w:rFonts w:ascii="Arial" w:hAnsi="Arial" w:cs="Arial"/>
          <w:sz w:val="20"/>
          <w:szCs w:val="20"/>
          <w:lang w:val="pl-PL"/>
        </w:rPr>
        <w:t>silnym potencjale wzrostu (</w:t>
      </w:r>
      <w:proofErr w:type="spellStart"/>
      <w:r w:rsidRPr="00564B2D">
        <w:rPr>
          <w:rFonts w:ascii="Arial" w:hAnsi="Arial" w:cs="Arial"/>
          <w:sz w:val="20"/>
          <w:szCs w:val="20"/>
          <w:lang w:val="pl-PL"/>
        </w:rPr>
        <w:t>Str</w:t>
      </w:r>
      <w:r w:rsidR="00B812BE" w:rsidRPr="00564B2D">
        <w:rPr>
          <w:rFonts w:ascii="Arial" w:hAnsi="Arial" w:cs="Arial"/>
          <w:sz w:val="20"/>
          <w:szCs w:val="20"/>
          <w:lang w:val="pl-PL"/>
        </w:rPr>
        <w:t>o</w:t>
      </w:r>
      <w:r w:rsidRPr="00564B2D">
        <w:rPr>
          <w:rFonts w:ascii="Arial" w:hAnsi="Arial" w:cs="Arial"/>
          <w:sz w:val="20"/>
          <w:szCs w:val="20"/>
          <w:lang w:val="pl-PL"/>
        </w:rPr>
        <w:t>ng</w:t>
      </w:r>
      <w:proofErr w:type="spellEnd"/>
      <w:r w:rsidRPr="00564B2D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64B2D">
        <w:rPr>
          <w:rFonts w:ascii="Arial" w:hAnsi="Arial" w:cs="Arial"/>
          <w:sz w:val="20"/>
          <w:szCs w:val="20"/>
          <w:lang w:val="pl-PL"/>
        </w:rPr>
        <w:t>Gr</w:t>
      </w:r>
      <w:r w:rsidR="00B812BE" w:rsidRPr="00564B2D">
        <w:rPr>
          <w:rFonts w:ascii="Arial" w:hAnsi="Arial" w:cs="Arial"/>
          <w:sz w:val="20"/>
          <w:szCs w:val="20"/>
          <w:lang w:val="pl-PL"/>
        </w:rPr>
        <w:t>owth</w:t>
      </w:r>
      <w:proofErr w:type="spellEnd"/>
      <w:r w:rsidRPr="00564B2D">
        <w:rPr>
          <w:rFonts w:ascii="Arial" w:hAnsi="Arial" w:cs="Arial"/>
          <w:sz w:val="20"/>
          <w:szCs w:val="20"/>
          <w:lang w:val="pl-PL"/>
        </w:rPr>
        <w:t xml:space="preserve"> </w:t>
      </w:r>
      <w:proofErr w:type="spellStart"/>
      <w:r w:rsidRPr="00564B2D">
        <w:rPr>
          <w:rFonts w:ascii="Arial" w:hAnsi="Arial" w:cs="Arial"/>
          <w:sz w:val="20"/>
          <w:szCs w:val="20"/>
          <w:lang w:val="pl-PL"/>
        </w:rPr>
        <w:t>Potential</w:t>
      </w:r>
      <w:proofErr w:type="spellEnd"/>
      <w:r w:rsidRPr="00564B2D">
        <w:rPr>
          <w:rFonts w:ascii="Arial" w:hAnsi="Arial" w:cs="Arial"/>
          <w:sz w:val="20"/>
          <w:szCs w:val="20"/>
          <w:lang w:val="pl-PL"/>
        </w:rPr>
        <w:t>)</w:t>
      </w:r>
      <w:r w:rsidR="00B812BE" w:rsidRPr="00564B2D">
        <w:rPr>
          <w:rFonts w:ascii="Arial" w:hAnsi="Arial" w:cs="Arial"/>
          <w:sz w:val="20"/>
          <w:szCs w:val="20"/>
          <w:lang w:val="pl-PL"/>
        </w:rPr>
        <w:t xml:space="preserve"> </w:t>
      </w:r>
      <w:r w:rsidRPr="00564B2D">
        <w:rPr>
          <w:rFonts w:ascii="Arial" w:hAnsi="Arial" w:cs="Arial"/>
          <w:sz w:val="20"/>
          <w:szCs w:val="20"/>
          <w:lang w:val="pl-PL"/>
        </w:rPr>
        <w:t>zaliczają się</w:t>
      </w:r>
      <w:r w:rsidR="00BA2349">
        <w:rPr>
          <w:rFonts w:ascii="Arial" w:hAnsi="Arial" w:cs="Arial"/>
          <w:sz w:val="20"/>
          <w:szCs w:val="20"/>
          <w:lang w:val="pl-PL"/>
        </w:rPr>
        <w:t>, poza Polską</w:t>
      </w:r>
      <w:r w:rsidR="00B05334">
        <w:rPr>
          <w:rFonts w:ascii="Arial" w:hAnsi="Arial" w:cs="Arial"/>
          <w:sz w:val="20"/>
          <w:szCs w:val="20"/>
          <w:lang w:val="pl-PL"/>
        </w:rPr>
        <w:t>:</w:t>
      </w:r>
      <w:r w:rsidRPr="00564B2D">
        <w:rPr>
          <w:rFonts w:ascii="Arial" w:hAnsi="Arial" w:cs="Arial"/>
          <w:sz w:val="20"/>
          <w:szCs w:val="20"/>
          <w:lang w:val="pl-PL"/>
        </w:rPr>
        <w:t xml:space="preserve"> Niemcy, Francja, Hiszpania, Wielka Brytania, </w:t>
      </w:r>
      <w:r w:rsidR="00B812BE" w:rsidRPr="00564B2D">
        <w:rPr>
          <w:rFonts w:ascii="Arial" w:hAnsi="Arial" w:cs="Arial"/>
          <w:sz w:val="20"/>
          <w:szCs w:val="20"/>
          <w:lang w:val="pl-PL"/>
        </w:rPr>
        <w:t>Włochy</w:t>
      </w:r>
      <w:r w:rsidR="00BA2349">
        <w:rPr>
          <w:rFonts w:ascii="Arial" w:hAnsi="Arial" w:cs="Arial"/>
          <w:sz w:val="20"/>
          <w:szCs w:val="20"/>
          <w:lang w:val="pl-PL"/>
        </w:rPr>
        <w:t xml:space="preserve"> i</w:t>
      </w:r>
      <w:r w:rsidR="00B812BE" w:rsidRPr="00564B2D">
        <w:rPr>
          <w:rFonts w:ascii="Arial" w:hAnsi="Arial" w:cs="Arial"/>
          <w:sz w:val="20"/>
          <w:szCs w:val="20"/>
          <w:lang w:val="pl-PL"/>
        </w:rPr>
        <w:t xml:space="preserve"> Szwecja. Pozostałe państwa zostały sklasyfikowane jako te o umiarkowanym lub pewnym potencjale wzrostu. Ostatnia grupa</w:t>
      </w:r>
      <w:r w:rsidR="00B05334">
        <w:rPr>
          <w:rFonts w:ascii="Arial" w:hAnsi="Arial" w:cs="Arial"/>
          <w:sz w:val="20"/>
          <w:szCs w:val="20"/>
          <w:lang w:val="pl-PL"/>
        </w:rPr>
        <w:t>,</w:t>
      </w:r>
      <w:r w:rsidR="00B812BE" w:rsidRPr="00564B2D">
        <w:rPr>
          <w:rFonts w:ascii="Arial" w:hAnsi="Arial" w:cs="Arial"/>
          <w:sz w:val="20"/>
          <w:szCs w:val="20"/>
          <w:lang w:val="pl-PL"/>
        </w:rPr>
        <w:t xml:space="preserve"> to spowolniony potencjał wzrostu (wysoka ekspozycja na sektor farmaceutyczny) – należy do niej Szwajcaria. </w:t>
      </w:r>
    </w:p>
    <w:p w14:paraId="5C3E4897" w14:textId="6BCA3C77" w:rsidR="00564B2D" w:rsidRPr="00564B2D" w:rsidRDefault="00A62B67" w:rsidP="00564B2D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>„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Wysoki potencjał wzrostu polskiego rynku wynika z konsekwentnie budowanej pozycji kraju jako stabilnej i atrakcyjnej lokalizacji dla działalności operacyjnej w sektorach o kluczowym znaczeniu dla gospodarki i bezpieczeństwa regionu. Obserwujemy systematycznie rosnące zainteresowanie</w:t>
      </w:r>
      <w:r w:rsidR="009A2552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r w:rsidR="00524F25" w:rsidRPr="00564B2D">
        <w:rPr>
          <w:rFonts w:ascii="Arial" w:hAnsi="Arial" w:cs="Arial"/>
          <w:sz w:val="20"/>
          <w:szCs w:val="20"/>
          <w:lang w:val="pl-PL"/>
        </w:rPr>
        <w:t>–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zarówno ze strony inwestorów, jak i najemców – szczególnie w obszarach  obronnoś</w:t>
      </w:r>
      <w:r w:rsidR="00896B94">
        <w:rPr>
          <w:rFonts w:ascii="Arial" w:hAnsi="Arial" w:cs="Arial"/>
          <w:i/>
          <w:iCs/>
          <w:sz w:val="20"/>
          <w:szCs w:val="20"/>
          <w:lang w:val="pl-PL"/>
        </w:rPr>
        <w:t>ci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, zaawansowan</w:t>
      </w:r>
      <w:r w:rsidR="00896B94">
        <w:rPr>
          <w:rFonts w:ascii="Arial" w:hAnsi="Arial" w:cs="Arial"/>
          <w:i/>
          <w:iCs/>
          <w:sz w:val="20"/>
          <w:szCs w:val="20"/>
          <w:lang w:val="pl-PL"/>
        </w:rPr>
        <w:t>ej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produkcj</w:t>
      </w:r>
      <w:r w:rsidR="00896B94">
        <w:rPr>
          <w:rFonts w:ascii="Arial" w:hAnsi="Arial" w:cs="Arial"/>
          <w:i/>
          <w:iCs/>
          <w:sz w:val="20"/>
          <w:szCs w:val="20"/>
          <w:lang w:val="pl-PL"/>
        </w:rPr>
        <w:t>i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, elektronik</w:t>
      </w:r>
      <w:r w:rsidR="00896B94">
        <w:rPr>
          <w:rFonts w:ascii="Arial" w:hAnsi="Arial" w:cs="Arial"/>
          <w:i/>
          <w:iCs/>
          <w:sz w:val="20"/>
          <w:szCs w:val="20"/>
          <w:lang w:val="pl-PL"/>
        </w:rPr>
        <w:t>i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, logistyk</w:t>
      </w:r>
      <w:r w:rsidR="00896B94">
        <w:rPr>
          <w:rFonts w:ascii="Arial" w:hAnsi="Arial" w:cs="Arial"/>
          <w:i/>
          <w:iCs/>
          <w:sz w:val="20"/>
          <w:szCs w:val="20"/>
          <w:lang w:val="pl-PL"/>
        </w:rPr>
        <w:t>i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farmaceutyczn</w:t>
      </w:r>
      <w:r w:rsidR="00896B94">
        <w:rPr>
          <w:rFonts w:ascii="Arial" w:hAnsi="Arial" w:cs="Arial"/>
          <w:i/>
          <w:iCs/>
          <w:sz w:val="20"/>
          <w:szCs w:val="20"/>
          <w:lang w:val="pl-PL"/>
        </w:rPr>
        <w:t>ej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oraz </w:t>
      </w:r>
      <w:proofErr w:type="spellStart"/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biotechnologi</w:t>
      </w:r>
      <w:proofErr w:type="spellEnd"/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. </w:t>
      </w:r>
      <w:r w:rsidR="00667142">
        <w:rPr>
          <w:rFonts w:ascii="Arial" w:hAnsi="Arial" w:cs="Arial"/>
          <w:i/>
          <w:iCs/>
          <w:sz w:val="20"/>
          <w:szCs w:val="20"/>
          <w:lang w:val="pl-PL"/>
        </w:rPr>
        <w:t>Nie chodzi tylko o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skal</w:t>
      </w:r>
      <w:r w:rsidR="00667142">
        <w:rPr>
          <w:rFonts w:ascii="Arial" w:hAnsi="Arial" w:cs="Arial"/>
          <w:i/>
          <w:iCs/>
          <w:sz w:val="20"/>
          <w:szCs w:val="20"/>
          <w:lang w:val="pl-PL"/>
        </w:rPr>
        <w:t>ę naszego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rynku czy strategiczne położenie geograficzne, ale również szeroko zakrojone inwestycje infrastrukturalne, które dodatkowo wzmacniają konkurencyjność kraju. Przykładem jest rozwój Centralnego Portu Komunikacyjnego, który ma szansę stać się nowym węzłem multimodalnym o globalnym znaczeniu, integrującym transport lotniczy, kolejowy i drogowy</w:t>
      </w:r>
      <w:r w:rsidR="00667142">
        <w:rPr>
          <w:rFonts w:ascii="Arial" w:hAnsi="Arial" w:cs="Arial"/>
          <w:i/>
          <w:iCs/>
          <w:sz w:val="20"/>
          <w:szCs w:val="20"/>
          <w:lang w:val="pl-PL"/>
        </w:rPr>
        <w:t xml:space="preserve">. Siłą rzeczy stanie się też ważnym </w:t>
      </w:r>
      <w:proofErr w:type="spellStart"/>
      <w:r w:rsidR="00667142">
        <w:rPr>
          <w:rFonts w:ascii="Arial" w:hAnsi="Arial" w:cs="Arial"/>
          <w:i/>
          <w:iCs/>
          <w:sz w:val="20"/>
          <w:szCs w:val="20"/>
          <w:lang w:val="pl-PL"/>
        </w:rPr>
        <w:t>hubem</w:t>
      </w:r>
      <w:proofErr w:type="spellEnd"/>
      <w:r w:rsidR="00667142">
        <w:rPr>
          <w:rFonts w:ascii="Arial" w:hAnsi="Arial" w:cs="Arial"/>
          <w:i/>
          <w:iCs/>
          <w:sz w:val="20"/>
          <w:szCs w:val="20"/>
          <w:lang w:val="pl-PL"/>
        </w:rPr>
        <w:t xml:space="preserve"> logistycznym</w:t>
      </w:r>
      <w:r w:rsidR="00B05334">
        <w:rPr>
          <w:rFonts w:ascii="Arial" w:hAnsi="Arial" w:cs="Arial"/>
          <w:i/>
          <w:iCs/>
          <w:sz w:val="20"/>
          <w:szCs w:val="20"/>
          <w:lang w:val="pl-PL"/>
        </w:rPr>
        <w:t xml:space="preserve"> -</w:t>
      </w:r>
      <w:r w:rsidR="00667142">
        <w:rPr>
          <w:rFonts w:ascii="Arial" w:hAnsi="Arial" w:cs="Arial"/>
          <w:i/>
          <w:iCs/>
          <w:sz w:val="20"/>
          <w:szCs w:val="20"/>
          <w:lang w:val="pl-PL"/>
        </w:rPr>
        <w:t xml:space="preserve"> tym bardziej cieszę się, że będziemy mieli przyjemność doradzać w kwestiach jego </w:t>
      </w:r>
      <w:r w:rsidR="003B4FF7">
        <w:rPr>
          <w:rFonts w:ascii="Arial" w:hAnsi="Arial" w:cs="Arial"/>
          <w:i/>
          <w:iCs/>
          <w:sz w:val="20"/>
          <w:szCs w:val="20"/>
          <w:lang w:val="pl-PL"/>
        </w:rPr>
        <w:t xml:space="preserve">dalszego </w:t>
      </w:r>
      <w:r w:rsidR="00667142">
        <w:rPr>
          <w:rFonts w:ascii="Arial" w:hAnsi="Arial" w:cs="Arial"/>
          <w:i/>
          <w:iCs/>
          <w:sz w:val="20"/>
          <w:szCs w:val="20"/>
          <w:lang w:val="pl-PL"/>
        </w:rPr>
        <w:t>rozwoju</w:t>
      </w:r>
      <w:r w:rsidR="00564B2D">
        <w:rPr>
          <w:rFonts w:ascii="Arial" w:hAnsi="Arial" w:cs="Arial"/>
          <w:sz w:val="20"/>
          <w:szCs w:val="20"/>
          <w:lang w:val="pl-PL"/>
        </w:rPr>
        <w:t xml:space="preserve"> – tłumaczy </w:t>
      </w:r>
      <w:r w:rsidR="00564B2D" w:rsidRPr="00A62B67">
        <w:rPr>
          <w:rFonts w:ascii="Arial" w:hAnsi="Arial" w:cs="Arial"/>
          <w:b/>
          <w:bCs/>
          <w:sz w:val="20"/>
          <w:szCs w:val="20"/>
          <w:lang w:val="pl-PL"/>
        </w:rPr>
        <w:t>Krzysztof Misiak, dyrektor zarządzający Cushman &amp; Wakefield w Polsce</w:t>
      </w:r>
      <w:r w:rsidR="00564B2D">
        <w:rPr>
          <w:rFonts w:ascii="Arial" w:hAnsi="Arial" w:cs="Arial"/>
          <w:sz w:val="20"/>
          <w:szCs w:val="20"/>
          <w:lang w:val="pl-PL"/>
        </w:rPr>
        <w:t xml:space="preserve">. </w:t>
      </w:r>
    </w:p>
    <w:p w14:paraId="5C73A83D" w14:textId="7D208312" w:rsidR="00564B2D" w:rsidRPr="00564B2D" w:rsidRDefault="00564B2D" w:rsidP="00564B2D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564B2D">
        <w:rPr>
          <w:rFonts w:ascii="Arial" w:hAnsi="Arial" w:cs="Arial"/>
          <w:sz w:val="20"/>
          <w:szCs w:val="20"/>
          <w:lang w:val="pl-PL"/>
        </w:rPr>
        <w:t>Regiony takie jak Warszawa, Wrocław, Górny Śląsk czy Polska Centralna</w:t>
      </w:r>
      <w:r w:rsidR="00A62B67">
        <w:rPr>
          <w:rFonts w:ascii="Arial" w:hAnsi="Arial" w:cs="Arial"/>
          <w:sz w:val="20"/>
          <w:szCs w:val="20"/>
          <w:lang w:val="pl-PL"/>
        </w:rPr>
        <w:t xml:space="preserve"> (w tym Łódź)</w:t>
      </w:r>
      <w:r w:rsidRPr="00564B2D">
        <w:rPr>
          <w:rFonts w:ascii="Arial" w:hAnsi="Arial" w:cs="Arial"/>
          <w:sz w:val="20"/>
          <w:szCs w:val="20"/>
          <w:lang w:val="pl-PL"/>
        </w:rPr>
        <w:t xml:space="preserve"> są obecnie w centrum uwagi globalnych firm planujących relokację lub konsolidację operacji w ramach strategii </w:t>
      </w:r>
      <w:proofErr w:type="spellStart"/>
      <w:r w:rsidRPr="00564B2D">
        <w:rPr>
          <w:rFonts w:ascii="Arial" w:hAnsi="Arial" w:cs="Arial"/>
          <w:sz w:val="20"/>
          <w:szCs w:val="20"/>
          <w:lang w:val="pl-PL"/>
        </w:rPr>
        <w:t>nearshoringu</w:t>
      </w:r>
      <w:proofErr w:type="spellEnd"/>
      <w:r w:rsidRPr="00564B2D">
        <w:rPr>
          <w:rFonts w:ascii="Arial" w:hAnsi="Arial" w:cs="Arial"/>
          <w:sz w:val="20"/>
          <w:szCs w:val="20"/>
          <w:lang w:val="pl-PL"/>
        </w:rPr>
        <w:t>. Wraz z tym trendem rośnie także udział inwestycji wysokospecjalistycznych – obejmujących m.in. magazyny temperatury kontrolowanej oraz obiekty wspierające działalność badawczo-rozwojową.</w:t>
      </w:r>
    </w:p>
    <w:p w14:paraId="322FA92E" w14:textId="1F1134A1" w:rsidR="00564B2D" w:rsidRDefault="00A62B67" w:rsidP="00663AE4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i/>
          <w:iCs/>
          <w:sz w:val="20"/>
          <w:szCs w:val="20"/>
          <w:lang w:val="pl-PL"/>
        </w:rPr>
        <w:t>„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Istotnym czynnikiem wzrostu, jest rozwój korytarzy logistycznych wzdłuż wschodniej granicy kraju</w:t>
      </w:r>
      <w:r w:rsidR="008123A1">
        <w:rPr>
          <w:rFonts w:ascii="Arial" w:hAnsi="Arial" w:cs="Arial"/>
          <w:i/>
          <w:iCs/>
          <w:sz w:val="20"/>
          <w:szCs w:val="20"/>
          <w:lang w:val="pl-PL"/>
        </w:rPr>
        <w:t xml:space="preserve">, </w:t>
      </w:r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 xml:space="preserve">czego przykładem są transeuropejskie trasy takie jak Via </w:t>
      </w:r>
      <w:proofErr w:type="spellStart"/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>Carpatia</w:t>
      </w:r>
      <w:proofErr w:type="spellEnd"/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 xml:space="preserve"> (budżet na polski odcinek to ok. 27-30 mld PLN)</w:t>
      </w:r>
      <w:r w:rsidR="00B05334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 xml:space="preserve"> czy modernizowana w ramach projektu </w:t>
      </w:r>
      <w:proofErr w:type="spellStart"/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>Rail</w:t>
      </w:r>
      <w:proofErr w:type="spellEnd"/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 xml:space="preserve"> </w:t>
      </w:r>
      <w:proofErr w:type="spellStart"/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>Baltica</w:t>
      </w:r>
      <w:proofErr w:type="spellEnd"/>
      <w:r w:rsidR="00B05334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="008123A1" w:rsidRPr="006F2A4A">
        <w:rPr>
          <w:rFonts w:ascii="Arial" w:hAnsi="Arial" w:cs="Arial"/>
          <w:i/>
          <w:iCs/>
          <w:sz w:val="20"/>
          <w:szCs w:val="20"/>
          <w:lang w:val="pl-PL"/>
        </w:rPr>
        <w:t xml:space="preserve"> linia kolejowa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. To potwierdza, że geopolityczne znaczenie Polski ma dziś bezpośrednie przełożenie na decyzje </w:t>
      </w:r>
      <w:r w:rsidR="00657CDF">
        <w:rPr>
          <w:rFonts w:ascii="Arial" w:hAnsi="Arial" w:cs="Arial"/>
          <w:i/>
          <w:iCs/>
          <w:sz w:val="20"/>
          <w:szCs w:val="20"/>
          <w:lang w:val="pl-PL"/>
        </w:rPr>
        <w:t>rządzących</w:t>
      </w:r>
      <w:r w:rsidR="00235A51">
        <w:rPr>
          <w:rFonts w:ascii="Arial" w:hAnsi="Arial" w:cs="Arial"/>
          <w:i/>
          <w:iCs/>
          <w:sz w:val="20"/>
          <w:szCs w:val="20"/>
          <w:lang w:val="pl-PL"/>
        </w:rPr>
        <w:t>,</w:t>
      </w:r>
      <w:r w:rsidR="00657CDF">
        <w:rPr>
          <w:rFonts w:ascii="Arial" w:hAnsi="Arial" w:cs="Arial"/>
          <w:i/>
          <w:iCs/>
          <w:sz w:val="20"/>
          <w:szCs w:val="20"/>
          <w:lang w:val="pl-PL"/>
        </w:rPr>
        <w:t xml:space="preserve"> jak i inwestorów, w tym także </w:t>
      </w:r>
      <w:r w:rsidR="00F60193">
        <w:rPr>
          <w:rFonts w:ascii="Arial" w:hAnsi="Arial" w:cs="Arial"/>
          <w:i/>
          <w:iCs/>
          <w:sz w:val="20"/>
          <w:szCs w:val="20"/>
          <w:lang w:val="pl-PL"/>
        </w:rPr>
        <w:t>fun</w:t>
      </w:r>
      <w:r w:rsidR="009A2552">
        <w:rPr>
          <w:rFonts w:ascii="Arial" w:hAnsi="Arial" w:cs="Arial"/>
          <w:i/>
          <w:iCs/>
          <w:sz w:val="20"/>
          <w:szCs w:val="20"/>
          <w:lang w:val="pl-PL"/>
        </w:rPr>
        <w:t>d</w:t>
      </w:r>
      <w:r w:rsidR="00F60193">
        <w:rPr>
          <w:rFonts w:ascii="Arial" w:hAnsi="Arial" w:cs="Arial"/>
          <w:i/>
          <w:iCs/>
          <w:sz w:val="20"/>
          <w:szCs w:val="20"/>
          <w:lang w:val="pl-PL"/>
        </w:rPr>
        <w:t>uszy działających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 xml:space="preserve"> w sektorze nieruchomości komercyjnych. Z punktu widzenia inwestorów instytucjonalnych rynek ten wyróżnia się dużą głębokością i długoterminowym potencjałem, </w:t>
      </w:r>
      <w:r w:rsidR="00B05334">
        <w:rPr>
          <w:rFonts w:ascii="Arial" w:hAnsi="Arial" w:cs="Arial"/>
          <w:i/>
          <w:iCs/>
          <w:sz w:val="20"/>
          <w:szCs w:val="20"/>
          <w:lang w:val="pl-PL"/>
        </w:rPr>
        <w:t>po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mimo trwającej niepewności makroekonomicznej w skali</w:t>
      </w:r>
      <w:r w:rsidR="00564B2D" w:rsidRPr="00564B2D">
        <w:rPr>
          <w:rFonts w:ascii="Arial" w:hAnsi="Arial" w:cs="Arial"/>
          <w:b/>
          <w:bCs/>
          <w:i/>
          <w:iCs/>
          <w:sz w:val="20"/>
          <w:szCs w:val="20"/>
          <w:lang w:val="pl-PL"/>
        </w:rPr>
        <w:t xml:space="preserve"> </w:t>
      </w:r>
      <w:r w:rsidR="00564B2D" w:rsidRPr="00564B2D">
        <w:rPr>
          <w:rFonts w:ascii="Arial" w:hAnsi="Arial" w:cs="Arial"/>
          <w:i/>
          <w:iCs/>
          <w:sz w:val="20"/>
          <w:szCs w:val="20"/>
          <w:lang w:val="pl-PL"/>
        </w:rPr>
        <w:t>globalne</w:t>
      </w:r>
      <w:r w:rsidR="00564B2D">
        <w:rPr>
          <w:rFonts w:ascii="Arial" w:hAnsi="Arial" w:cs="Arial"/>
          <w:i/>
          <w:iCs/>
          <w:sz w:val="20"/>
          <w:szCs w:val="20"/>
          <w:lang w:val="pl-PL"/>
        </w:rPr>
        <w:t>j</w:t>
      </w:r>
      <w:r w:rsidR="00564B2D">
        <w:rPr>
          <w:rFonts w:ascii="Arial" w:hAnsi="Arial" w:cs="Arial"/>
          <w:sz w:val="20"/>
          <w:szCs w:val="20"/>
          <w:lang w:val="pl-PL"/>
        </w:rPr>
        <w:t xml:space="preserve"> – dodaje </w:t>
      </w:r>
      <w:r w:rsidR="00564B2D" w:rsidRPr="00564B2D">
        <w:rPr>
          <w:rFonts w:ascii="Arial" w:hAnsi="Arial" w:cs="Arial"/>
          <w:b/>
          <w:bCs/>
          <w:sz w:val="20"/>
          <w:szCs w:val="20"/>
          <w:lang w:val="pl-PL"/>
        </w:rPr>
        <w:t>Krzysztof Misiak.</w:t>
      </w:r>
      <w:r w:rsidR="00564B2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2C543614" w14:textId="77777777" w:rsidR="006F2A4A" w:rsidRPr="00564B2D" w:rsidRDefault="006F2A4A" w:rsidP="00663AE4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</w:p>
    <w:p w14:paraId="12989280" w14:textId="226B09A8" w:rsidR="00B812BE" w:rsidRPr="00663AE4" w:rsidRDefault="00B812BE" w:rsidP="00663AE4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>
        <w:rPr>
          <w:rFonts w:ascii="Arial" w:hAnsi="Arial" w:cs="Arial"/>
          <w:b/>
          <w:bCs/>
          <w:sz w:val="20"/>
          <w:szCs w:val="20"/>
          <w:lang w:val="pl-PL"/>
        </w:rPr>
        <w:t>Sektor obronny</w:t>
      </w:r>
    </w:p>
    <w:p w14:paraId="29694C83" w14:textId="41070409" w:rsidR="00CE309D" w:rsidRPr="00034007" w:rsidRDefault="00663AE4" w:rsidP="00034007">
      <w:pPr>
        <w:tabs>
          <w:tab w:val="left" w:pos="5630"/>
        </w:tabs>
        <w:spacing w:line="240" w:lineRule="auto"/>
        <w:jc w:val="both"/>
        <w:rPr>
          <w:rFonts w:ascii="Arial" w:hAnsi="Arial" w:cs="Arial"/>
          <w:bCs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Raport </w:t>
      </w:r>
      <w:r w:rsidRPr="000635DD">
        <w:rPr>
          <w:rFonts w:ascii="Arial" w:hAnsi="Arial" w:cs="Arial"/>
          <w:bCs/>
          <w:sz w:val="20"/>
          <w:szCs w:val="20"/>
          <w:lang w:val="pl-PL"/>
        </w:rPr>
        <w:t>„</w:t>
      </w:r>
      <w:r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Strategic </w:t>
      </w:r>
      <w:proofErr w:type="spellStart"/>
      <w:r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Sector</w:t>
      </w:r>
      <w:proofErr w:type="spellEnd"/>
      <w:r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Signals</w:t>
      </w:r>
      <w:proofErr w:type="spellEnd"/>
      <w:r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”</w:t>
      </w:r>
      <w:r w:rsidRPr="000635DD">
        <w:rPr>
          <w:rFonts w:ascii="Arial" w:hAnsi="Arial" w:cs="Arial"/>
          <w:bCs/>
          <w:sz w:val="20"/>
          <w:szCs w:val="20"/>
          <w:lang w:val="pl-PL"/>
        </w:rPr>
        <w:t xml:space="preserve"> </w:t>
      </w:r>
      <w:r>
        <w:rPr>
          <w:rFonts w:ascii="Arial" w:hAnsi="Arial" w:cs="Arial"/>
          <w:bCs/>
          <w:sz w:val="20"/>
          <w:szCs w:val="20"/>
          <w:lang w:val="pl-PL"/>
        </w:rPr>
        <w:t xml:space="preserve">wskazuje, że </w:t>
      </w:r>
      <w:r>
        <w:rPr>
          <w:rFonts w:ascii="Arial" w:hAnsi="Arial" w:cs="Arial"/>
          <w:sz w:val="20"/>
          <w:szCs w:val="20"/>
          <w:lang w:val="pl-PL"/>
        </w:rPr>
        <w:t>główną siłą napędową wzrostu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t>jest s</w:t>
      </w:r>
      <w:r w:rsidR="00567367" w:rsidRPr="000635DD">
        <w:rPr>
          <w:rFonts w:ascii="Arial" w:hAnsi="Arial" w:cs="Arial"/>
          <w:sz w:val="20"/>
          <w:szCs w:val="20"/>
          <w:lang w:val="pl-PL"/>
        </w:rPr>
        <w:t>ektor obronny</w:t>
      </w:r>
      <w:r w:rsidR="00C91E2C" w:rsidRPr="000635DD">
        <w:rPr>
          <w:rFonts w:ascii="Arial" w:hAnsi="Arial" w:cs="Arial"/>
          <w:sz w:val="20"/>
          <w:szCs w:val="20"/>
          <w:lang w:val="pl-PL"/>
        </w:rPr>
        <w:t>, co wynika z</w:t>
      </w:r>
      <w:r w:rsidR="002D691E">
        <w:rPr>
          <w:rFonts w:ascii="Arial" w:hAnsi="Arial" w:cs="Arial"/>
          <w:sz w:val="20"/>
          <w:szCs w:val="20"/>
          <w:lang w:val="pl-PL"/>
        </w:rPr>
        <w:t xml:space="preserve"> radykalnego</w:t>
      </w:r>
      <w:r w:rsidR="009905C8" w:rsidRPr="000635DD">
        <w:rPr>
          <w:rFonts w:ascii="Arial" w:hAnsi="Arial" w:cs="Arial"/>
          <w:sz w:val="20"/>
          <w:szCs w:val="20"/>
          <w:lang w:val="pl-PL"/>
        </w:rPr>
        <w:t xml:space="preserve"> zwiększeni</w:t>
      </w:r>
      <w:r w:rsidR="00C91E2C" w:rsidRPr="000635DD">
        <w:rPr>
          <w:rFonts w:ascii="Arial" w:hAnsi="Arial" w:cs="Arial"/>
          <w:sz w:val="20"/>
          <w:szCs w:val="20"/>
          <w:lang w:val="pl-PL"/>
        </w:rPr>
        <w:t>a</w:t>
      </w:r>
      <w:r w:rsidR="009905C8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024A05" w:rsidRPr="000635DD">
        <w:rPr>
          <w:rFonts w:ascii="Arial" w:hAnsi="Arial" w:cs="Arial"/>
          <w:sz w:val="20"/>
          <w:szCs w:val="20"/>
          <w:lang w:val="pl-PL"/>
        </w:rPr>
        <w:t xml:space="preserve">wydatków publicznych </w:t>
      </w:r>
      <w:r w:rsidR="002A6C9E">
        <w:rPr>
          <w:rFonts w:ascii="Arial" w:hAnsi="Arial" w:cs="Arial"/>
          <w:sz w:val="20"/>
          <w:szCs w:val="20"/>
          <w:lang w:val="pl-PL"/>
        </w:rPr>
        <w:t>w tym obszarze</w:t>
      </w:r>
      <w:r w:rsidR="000333B4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DC048F" w:rsidRPr="000635DD">
        <w:rPr>
          <w:rFonts w:ascii="Arial" w:hAnsi="Arial" w:cs="Arial"/>
          <w:sz w:val="20"/>
          <w:szCs w:val="20"/>
          <w:lang w:val="pl-PL"/>
        </w:rPr>
        <w:t xml:space="preserve">oraz wprowadzenia </w:t>
      </w:r>
      <w:r w:rsidR="002362E8" w:rsidRPr="000635DD">
        <w:rPr>
          <w:rFonts w:ascii="Arial" w:hAnsi="Arial" w:cs="Arial"/>
          <w:sz w:val="20"/>
          <w:szCs w:val="20"/>
          <w:lang w:val="pl-PL"/>
        </w:rPr>
        <w:t>wiążąc</w:t>
      </w:r>
      <w:r w:rsidR="00DC048F" w:rsidRPr="000635DD">
        <w:rPr>
          <w:rFonts w:ascii="Arial" w:hAnsi="Arial" w:cs="Arial"/>
          <w:sz w:val="20"/>
          <w:szCs w:val="20"/>
          <w:lang w:val="pl-PL"/>
        </w:rPr>
        <w:t>ych</w:t>
      </w:r>
      <w:r w:rsidR="002362E8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2D4863">
        <w:rPr>
          <w:rFonts w:ascii="Arial" w:hAnsi="Arial" w:cs="Arial"/>
          <w:sz w:val="20"/>
          <w:szCs w:val="20"/>
          <w:lang w:val="pl-PL"/>
        </w:rPr>
        <w:t xml:space="preserve">docelowych wskaźników </w:t>
      </w:r>
      <w:r w:rsidR="00DC048F" w:rsidRPr="000635DD">
        <w:rPr>
          <w:rFonts w:ascii="Arial" w:hAnsi="Arial" w:cs="Arial"/>
          <w:sz w:val="20"/>
          <w:szCs w:val="20"/>
          <w:lang w:val="pl-PL"/>
        </w:rPr>
        <w:t>dotyczących</w:t>
      </w:r>
      <w:r w:rsidR="002362E8" w:rsidRPr="000635DD">
        <w:rPr>
          <w:rFonts w:ascii="Arial" w:hAnsi="Arial" w:cs="Arial"/>
          <w:sz w:val="20"/>
          <w:szCs w:val="20"/>
          <w:lang w:val="pl-PL"/>
        </w:rPr>
        <w:t xml:space="preserve"> zakupu produktów wytwarzanych w Europie. </w:t>
      </w:r>
      <w:r w:rsidR="009975A5" w:rsidRPr="000635DD">
        <w:rPr>
          <w:rFonts w:ascii="Arial" w:hAnsi="Arial" w:cs="Arial"/>
          <w:sz w:val="20"/>
          <w:szCs w:val="20"/>
          <w:lang w:val="pl-PL"/>
        </w:rPr>
        <w:t>Te z</w:t>
      </w:r>
      <w:r w:rsidR="00300069" w:rsidRPr="000635DD">
        <w:rPr>
          <w:rFonts w:ascii="Arial" w:hAnsi="Arial" w:cs="Arial"/>
          <w:sz w:val="20"/>
          <w:szCs w:val="20"/>
          <w:lang w:val="pl-PL"/>
        </w:rPr>
        <w:t>mian</w:t>
      </w:r>
      <w:r w:rsidR="00BF3EF4" w:rsidRPr="000635DD">
        <w:rPr>
          <w:rFonts w:ascii="Arial" w:hAnsi="Arial" w:cs="Arial"/>
          <w:sz w:val="20"/>
          <w:szCs w:val="20"/>
          <w:lang w:val="pl-PL"/>
        </w:rPr>
        <w:t xml:space="preserve">y w polityce publicznej </w:t>
      </w:r>
      <w:r w:rsidR="002A6C9E">
        <w:rPr>
          <w:rFonts w:ascii="Arial" w:hAnsi="Arial" w:cs="Arial"/>
          <w:sz w:val="20"/>
          <w:szCs w:val="20"/>
          <w:lang w:val="pl-PL"/>
        </w:rPr>
        <w:t>kształtują</w:t>
      </w:r>
      <w:r w:rsidR="002A6C9E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9975A5" w:rsidRPr="000635DD">
        <w:rPr>
          <w:rFonts w:ascii="Arial" w:hAnsi="Arial" w:cs="Arial"/>
          <w:sz w:val="20"/>
          <w:szCs w:val="20"/>
          <w:lang w:val="pl-PL"/>
        </w:rPr>
        <w:t>silny</w:t>
      </w:r>
      <w:r w:rsidR="00407F82" w:rsidRPr="000635DD">
        <w:rPr>
          <w:rFonts w:ascii="Arial" w:hAnsi="Arial" w:cs="Arial"/>
          <w:sz w:val="20"/>
          <w:szCs w:val="20"/>
          <w:lang w:val="pl-PL"/>
        </w:rPr>
        <w:t xml:space="preserve"> popyt na powierzchnie </w:t>
      </w:r>
      <w:r w:rsidR="00701CA3">
        <w:rPr>
          <w:rFonts w:ascii="Arial" w:hAnsi="Arial" w:cs="Arial"/>
          <w:sz w:val="20"/>
          <w:szCs w:val="20"/>
          <w:lang w:val="pl-PL"/>
        </w:rPr>
        <w:t>przemysłowo-</w:t>
      </w:r>
      <w:r w:rsidR="00407F82" w:rsidRPr="000635DD">
        <w:rPr>
          <w:rFonts w:ascii="Arial" w:hAnsi="Arial" w:cs="Arial"/>
          <w:sz w:val="20"/>
          <w:szCs w:val="20"/>
          <w:lang w:val="pl-PL"/>
        </w:rPr>
        <w:t>magazynowe</w:t>
      </w:r>
      <w:r w:rsidR="009C2FD3" w:rsidRPr="000635DD">
        <w:rPr>
          <w:rFonts w:ascii="Arial" w:hAnsi="Arial" w:cs="Arial"/>
          <w:sz w:val="20"/>
          <w:szCs w:val="20"/>
          <w:lang w:val="pl-PL"/>
        </w:rPr>
        <w:t xml:space="preserve"> ze strony firm </w:t>
      </w:r>
      <w:r w:rsidR="00701CA3">
        <w:rPr>
          <w:rFonts w:ascii="Arial" w:hAnsi="Arial" w:cs="Arial"/>
          <w:sz w:val="20"/>
          <w:szCs w:val="20"/>
          <w:lang w:val="pl-PL"/>
        </w:rPr>
        <w:t>zbrojeniowych</w:t>
      </w:r>
      <w:r w:rsidR="002F44AA" w:rsidRPr="000635DD">
        <w:rPr>
          <w:rFonts w:ascii="Arial" w:hAnsi="Arial" w:cs="Arial"/>
          <w:sz w:val="20"/>
          <w:szCs w:val="20"/>
          <w:lang w:val="pl-PL"/>
        </w:rPr>
        <w:t>.</w:t>
      </w:r>
      <w:r w:rsidR="00EB39CE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1E50FF" w:rsidRPr="000635DD">
        <w:rPr>
          <w:rFonts w:ascii="Arial" w:hAnsi="Arial" w:cs="Arial"/>
          <w:sz w:val="20"/>
          <w:szCs w:val="20"/>
          <w:lang w:val="pl-PL"/>
        </w:rPr>
        <w:t>Podaż</w:t>
      </w:r>
      <w:r w:rsidR="00644C4B" w:rsidRPr="000635DD">
        <w:rPr>
          <w:rFonts w:ascii="Arial" w:hAnsi="Arial" w:cs="Arial"/>
          <w:sz w:val="20"/>
          <w:szCs w:val="20"/>
          <w:lang w:val="pl-PL"/>
        </w:rPr>
        <w:t xml:space="preserve"> jest realizowana na różne sposoby.</w:t>
      </w:r>
      <w:r w:rsidR="006B6934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2A6C9E">
        <w:rPr>
          <w:rFonts w:ascii="Arial" w:hAnsi="Arial" w:cs="Arial"/>
          <w:sz w:val="20"/>
          <w:szCs w:val="20"/>
          <w:lang w:val="pl-PL"/>
        </w:rPr>
        <w:t xml:space="preserve">Aż </w:t>
      </w:r>
      <w:r w:rsidR="00C7459B" w:rsidRPr="000635DD">
        <w:rPr>
          <w:rFonts w:ascii="Arial" w:hAnsi="Arial" w:cs="Arial"/>
          <w:sz w:val="20"/>
          <w:szCs w:val="20"/>
          <w:lang w:val="pl-PL"/>
        </w:rPr>
        <w:t>54% nowych zakładów produkcyjnych</w:t>
      </w:r>
      <w:r w:rsidR="00524F25">
        <w:rPr>
          <w:rFonts w:ascii="Arial" w:hAnsi="Arial" w:cs="Arial"/>
          <w:sz w:val="20"/>
          <w:szCs w:val="20"/>
          <w:lang w:val="pl-PL"/>
        </w:rPr>
        <w:t>,</w:t>
      </w:r>
      <w:r w:rsidR="007B1AC0" w:rsidRPr="000635DD">
        <w:rPr>
          <w:rFonts w:ascii="Arial" w:hAnsi="Arial" w:cs="Arial"/>
          <w:sz w:val="20"/>
          <w:szCs w:val="20"/>
          <w:lang w:val="pl-PL"/>
        </w:rPr>
        <w:t xml:space="preserve"> zapowiedzianych lub uruchomionych</w:t>
      </w:r>
      <w:r w:rsidR="00416A91" w:rsidRPr="000635DD">
        <w:rPr>
          <w:rFonts w:ascii="Arial" w:hAnsi="Arial" w:cs="Arial"/>
          <w:sz w:val="20"/>
          <w:szCs w:val="20"/>
          <w:lang w:val="pl-PL"/>
        </w:rPr>
        <w:t xml:space="preserve"> od początku 2024 roku</w:t>
      </w:r>
      <w:r w:rsidR="00B05334">
        <w:rPr>
          <w:rFonts w:ascii="Arial" w:hAnsi="Arial" w:cs="Arial"/>
          <w:sz w:val="20"/>
          <w:szCs w:val="20"/>
          <w:lang w:val="pl-PL"/>
        </w:rPr>
        <w:t>,</w:t>
      </w:r>
      <w:r w:rsidR="00416A91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D53F3F" w:rsidRPr="000635DD">
        <w:rPr>
          <w:rFonts w:ascii="Arial" w:hAnsi="Arial" w:cs="Arial"/>
          <w:sz w:val="20"/>
          <w:szCs w:val="20"/>
          <w:lang w:val="pl-PL"/>
        </w:rPr>
        <w:t xml:space="preserve">powstało </w:t>
      </w:r>
      <w:r w:rsidR="00BA6A50" w:rsidRPr="000635DD">
        <w:rPr>
          <w:rFonts w:ascii="Arial" w:hAnsi="Arial" w:cs="Arial"/>
          <w:sz w:val="20"/>
          <w:szCs w:val="20"/>
          <w:lang w:val="pl-PL"/>
        </w:rPr>
        <w:t>w</w:t>
      </w:r>
      <w:r w:rsidR="00416A91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BA6A50" w:rsidRPr="000635DD">
        <w:rPr>
          <w:rFonts w:ascii="Arial" w:hAnsi="Arial" w:cs="Arial"/>
          <w:sz w:val="20"/>
          <w:szCs w:val="20"/>
          <w:lang w:val="pl-PL"/>
        </w:rPr>
        <w:t xml:space="preserve">wyniku </w:t>
      </w:r>
      <w:r w:rsidR="00416A91" w:rsidRPr="000635DD">
        <w:rPr>
          <w:rFonts w:ascii="Arial" w:hAnsi="Arial" w:cs="Arial"/>
          <w:sz w:val="20"/>
          <w:szCs w:val="20"/>
          <w:lang w:val="pl-PL"/>
        </w:rPr>
        <w:t xml:space="preserve">rozbudowy </w:t>
      </w:r>
      <w:r w:rsidR="00A40CE1" w:rsidRPr="000635DD">
        <w:rPr>
          <w:rFonts w:ascii="Arial" w:hAnsi="Arial" w:cs="Arial"/>
          <w:sz w:val="20"/>
          <w:szCs w:val="20"/>
          <w:lang w:val="pl-PL"/>
        </w:rPr>
        <w:t xml:space="preserve">istniejących obiektów, co </w:t>
      </w:r>
      <w:r w:rsidR="001536EB" w:rsidRPr="000635DD">
        <w:rPr>
          <w:rFonts w:ascii="Arial" w:hAnsi="Arial" w:cs="Arial"/>
          <w:sz w:val="20"/>
          <w:szCs w:val="20"/>
          <w:lang w:val="pl-PL"/>
        </w:rPr>
        <w:t xml:space="preserve">wskazuje na </w:t>
      </w:r>
      <w:r w:rsidR="00120858" w:rsidRPr="000635DD">
        <w:rPr>
          <w:rFonts w:ascii="Arial" w:hAnsi="Arial" w:cs="Arial"/>
          <w:sz w:val="20"/>
          <w:szCs w:val="20"/>
          <w:lang w:val="pl-PL"/>
        </w:rPr>
        <w:t xml:space="preserve">presję czasu </w:t>
      </w:r>
      <w:r w:rsidR="00CC7088" w:rsidRPr="000635DD">
        <w:rPr>
          <w:rFonts w:ascii="Arial" w:hAnsi="Arial" w:cs="Arial"/>
          <w:sz w:val="20"/>
          <w:szCs w:val="20"/>
          <w:lang w:val="pl-PL"/>
        </w:rPr>
        <w:t>i skalę inwestycji</w:t>
      </w:r>
      <w:r w:rsidR="001536EB" w:rsidRPr="000635DD">
        <w:rPr>
          <w:rFonts w:ascii="Arial" w:hAnsi="Arial" w:cs="Arial"/>
          <w:sz w:val="20"/>
          <w:szCs w:val="20"/>
          <w:lang w:val="pl-PL"/>
        </w:rPr>
        <w:t xml:space="preserve"> w tym obszarze</w:t>
      </w:r>
      <w:r w:rsidR="00CC7088" w:rsidRPr="000635DD">
        <w:rPr>
          <w:rFonts w:ascii="Arial" w:hAnsi="Arial" w:cs="Arial"/>
          <w:sz w:val="20"/>
          <w:szCs w:val="20"/>
          <w:lang w:val="pl-PL"/>
        </w:rPr>
        <w:t>.</w:t>
      </w:r>
      <w:r w:rsidR="003C564D" w:rsidRPr="000635DD">
        <w:rPr>
          <w:rFonts w:ascii="Arial" w:hAnsi="Arial" w:cs="Arial"/>
          <w:sz w:val="20"/>
          <w:szCs w:val="20"/>
          <w:lang w:val="pl-PL"/>
        </w:rPr>
        <w:t xml:space="preserve"> Kolejne 16% </w:t>
      </w:r>
      <w:r w:rsidR="00120858" w:rsidRPr="000635DD">
        <w:rPr>
          <w:rFonts w:ascii="Arial" w:hAnsi="Arial" w:cs="Arial"/>
          <w:sz w:val="20"/>
          <w:szCs w:val="20"/>
          <w:lang w:val="pl-PL"/>
        </w:rPr>
        <w:t xml:space="preserve">mieści się </w:t>
      </w:r>
      <w:r w:rsidR="00476E28" w:rsidRPr="000635DD">
        <w:rPr>
          <w:rFonts w:ascii="Arial" w:hAnsi="Arial" w:cs="Arial"/>
          <w:sz w:val="20"/>
          <w:szCs w:val="20"/>
          <w:lang w:val="pl-PL"/>
        </w:rPr>
        <w:t xml:space="preserve">w </w:t>
      </w:r>
      <w:r w:rsidR="001D590D" w:rsidRPr="000635DD">
        <w:rPr>
          <w:rFonts w:ascii="Arial" w:hAnsi="Arial" w:cs="Arial"/>
          <w:sz w:val="20"/>
          <w:szCs w:val="20"/>
          <w:lang w:val="pl-PL"/>
        </w:rPr>
        <w:t xml:space="preserve">zaadaptowanych lub zmodernizowanych </w:t>
      </w:r>
      <w:r w:rsidR="001E0786" w:rsidRPr="000635DD">
        <w:rPr>
          <w:rFonts w:ascii="Arial" w:hAnsi="Arial" w:cs="Arial"/>
          <w:sz w:val="20"/>
          <w:szCs w:val="20"/>
          <w:lang w:val="pl-PL"/>
        </w:rPr>
        <w:t>budynkach</w:t>
      </w:r>
      <w:r w:rsidR="001D590D" w:rsidRPr="000635DD">
        <w:rPr>
          <w:rFonts w:ascii="Arial" w:hAnsi="Arial" w:cs="Arial"/>
          <w:sz w:val="20"/>
          <w:szCs w:val="20"/>
          <w:lang w:val="pl-PL"/>
        </w:rPr>
        <w:t xml:space="preserve">, </w:t>
      </w:r>
      <w:r w:rsidR="00205906" w:rsidRPr="000635DD">
        <w:rPr>
          <w:rFonts w:ascii="Arial" w:hAnsi="Arial" w:cs="Arial"/>
          <w:sz w:val="20"/>
          <w:szCs w:val="20"/>
          <w:lang w:val="pl-PL"/>
        </w:rPr>
        <w:t>natomiast</w:t>
      </w:r>
      <w:r w:rsidR="001D590D" w:rsidRPr="000635DD">
        <w:rPr>
          <w:rFonts w:ascii="Arial" w:hAnsi="Arial" w:cs="Arial"/>
          <w:sz w:val="20"/>
          <w:szCs w:val="20"/>
          <w:lang w:val="pl-PL"/>
        </w:rPr>
        <w:t xml:space="preserve"> 26% </w:t>
      </w:r>
      <w:r w:rsidR="00D63AC7" w:rsidRPr="000635DD">
        <w:rPr>
          <w:rFonts w:ascii="Arial" w:hAnsi="Arial" w:cs="Arial"/>
          <w:sz w:val="20"/>
          <w:szCs w:val="20"/>
          <w:lang w:val="pl-PL"/>
        </w:rPr>
        <w:t xml:space="preserve">w </w:t>
      </w:r>
      <w:r w:rsidR="003A64F5">
        <w:rPr>
          <w:rFonts w:ascii="Arial" w:hAnsi="Arial" w:cs="Arial"/>
          <w:sz w:val="20"/>
          <w:szCs w:val="20"/>
          <w:lang w:val="pl-PL"/>
        </w:rPr>
        <w:t>zupełnie</w:t>
      </w:r>
      <w:r w:rsidR="00D63AC7" w:rsidRPr="000635DD">
        <w:rPr>
          <w:rFonts w:ascii="Arial" w:hAnsi="Arial" w:cs="Arial"/>
          <w:sz w:val="20"/>
          <w:szCs w:val="20"/>
          <w:lang w:val="pl-PL"/>
        </w:rPr>
        <w:t xml:space="preserve"> nowych</w:t>
      </w:r>
      <w:r w:rsidR="00B055C2" w:rsidRPr="000635DD">
        <w:rPr>
          <w:rFonts w:ascii="Arial" w:hAnsi="Arial" w:cs="Arial"/>
          <w:sz w:val="20"/>
          <w:szCs w:val="20"/>
          <w:lang w:val="pl-PL"/>
        </w:rPr>
        <w:t>.</w:t>
      </w:r>
    </w:p>
    <w:p w14:paraId="3CCF702D" w14:textId="2BB3DA40" w:rsidR="00CE309D" w:rsidRDefault="00F84B71" w:rsidP="00034007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„Skala i tempo inwestycji w przemysł obronny </w:t>
      </w:r>
      <w:r w:rsidR="00B301DA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przekładają się na </w:t>
      </w:r>
      <w:r w:rsidR="0069759E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pilne i rosnące zapotrzebowanie na </w:t>
      </w:r>
      <w:r w:rsidR="00677CBF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nieruchomości </w:t>
      </w:r>
      <w:r w:rsidR="00EF6796">
        <w:rPr>
          <w:rFonts w:ascii="Arial" w:hAnsi="Arial" w:cs="Arial"/>
          <w:bCs/>
          <w:i/>
          <w:iCs/>
          <w:sz w:val="20"/>
          <w:szCs w:val="20"/>
          <w:lang w:val="pl-PL"/>
        </w:rPr>
        <w:t>przemysłowo-</w:t>
      </w:r>
      <w:r w:rsidR="00677CBF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magazynowe i logistyczne. </w:t>
      </w:r>
      <w:r w:rsidR="004A234C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Strategie nieruchomościowe </w:t>
      </w:r>
      <w:r w:rsidR="0036108A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muszą uwzględniać </w:t>
      </w:r>
      <w:r w:rsidR="00442916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takie aspekty jak </w:t>
      </w:r>
      <w:r w:rsidR="00E2696F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zwiększone</w:t>
      </w:r>
      <w:r w:rsidR="00D61380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bezpieczeństwo, </w:t>
      </w:r>
      <w:r w:rsidR="00442916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nadzór regulacyjny i długo</w:t>
      </w:r>
      <w:r w:rsidR="00F13810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falowa kontrola nad aktywami. </w:t>
      </w:r>
      <w:r w:rsidR="007968A0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Rozbudowy okazują się najszybszym </w:t>
      </w:r>
      <w:r w:rsidR="00D573CD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sposobem</w:t>
      </w:r>
      <w:r w:rsidR="00D201B9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na zwiększenie </w:t>
      </w:r>
      <w:r w:rsidR="00096A79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skali działalności</w:t>
      </w:r>
      <w:r w:rsidR="007968A0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, ale nowe</w:t>
      </w:r>
      <w:r w:rsidR="00D573CD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projekty i </w:t>
      </w:r>
      <w:r w:rsidR="00371815">
        <w:rPr>
          <w:rFonts w:ascii="Arial" w:hAnsi="Arial" w:cs="Arial"/>
          <w:bCs/>
          <w:i/>
          <w:iCs/>
          <w:sz w:val="20"/>
          <w:szCs w:val="20"/>
          <w:lang w:val="pl-PL"/>
        </w:rPr>
        <w:t>adaptacja</w:t>
      </w:r>
      <w:r w:rsidR="002A6C9E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już</w:t>
      </w:r>
      <w:r w:rsidR="0077466F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r w:rsidR="00C06116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istniejących </w:t>
      </w:r>
      <w:r w:rsidR="00371815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do nowych funkcji </w:t>
      </w:r>
      <w:r w:rsidR="00963FC0">
        <w:rPr>
          <w:rFonts w:ascii="Arial" w:hAnsi="Arial" w:cs="Arial"/>
          <w:bCs/>
          <w:i/>
          <w:iCs/>
          <w:sz w:val="20"/>
          <w:szCs w:val="20"/>
          <w:lang w:val="pl-PL"/>
        </w:rPr>
        <w:t>to rozwiązania</w:t>
      </w:r>
      <w:r w:rsidR="005A59E0">
        <w:rPr>
          <w:rFonts w:ascii="Arial" w:hAnsi="Arial" w:cs="Arial"/>
          <w:bCs/>
          <w:i/>
          <w:iCs/>
          <w:sz w:val="20"/>
          <w:szCs w:val="20"/>
          <w:lang w:val="pl-PL"/>
        </w:rPr>
        <w:t>, które</w:t>
      </w:r>
      <w:r w:rsidR="00E54734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r w:rsidR="0077466F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również </w:t>
      </w:r>
      <w:r w:rsidR="007B36BB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są w stanie </w:t>
      </w:r>
      <w:r w:rsidR="00AD1D26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>umożliwi</w:t>
      </w:r>
      <w:r w:rsidR="005A59E0">
        <w:rPr>
          <w:rFonts w:ascii="Arial" w:hAnsi="Arial" w:cs="Arial"/>
          <w:bCs/>
          <w:i/>
          <w:iCs/>
          <w:sz w:val="20"/>
          <w:szCs w:val="20"/>
          <w:lang w:val="pl-PL"/>
        </w:rPr>
        <w:t>ć</w:t>
      </w:r>
      <w:r w:rsidR="00B34392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r w:rsidR="00C1349F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firmom </w:t>
      </w:r>
      <w:r w:rsidR="00B04AB1" w:rsidRPr="000635DD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rozwój </w:t>
      </w:r>
      <w:r w:rsidR="00C1349F">
        <w:rPr>
          <w:rFonts w:ascii="Arial" w:hAnsi="Arial" w:cs="Arial"/>
          <w:bCs/>
          <w:i/>
          <w:iCs/>
          <w:sz w:val="20"/>
          <w:szCs w:val="20"/>
          <w:lang w:val="pl-PL"/>
        </w:rPr>
        <w:t>produkcji</w:t>
      </w:r>
      <w:r w:rsidR="00663AE4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r w:rsidR="00663AE4" w:rsidRPr="00663AE4">
        <w:rPr>
          <w:rFonts w:ascii="Arial" w:hAnsi="Arial" w:cs="Arial"/>
          <w:bCs/>
          <w:sz w:val="20"/>
          <w:szCs w:val="20"/>
          <w:lang w:val="pl-PL"/>
        </w:rPr>
        <w:t>– komentuje</w:t>
      </w:r>
      <w:r w:rsidR="00663AE4">
        <w:rPr>
          <w:rFonts w:ascii="Arial" w:hAnsi="Arial" w:cs="Arial"/>
          <w:bCs/>
          <w:i/>
          <w:iCs/>
          <w:sz w:val="20"/>
          <w:szCs w:val="20"/>
          <w:lang w:val="pl-PL"/>
        </w:rPr>
        <w:t xml:space="preserve"> </w:t>
      </w:r>
      <w:proofErr w:type="spellStart"/>
      <w:r w:rsidR="00663AE4" w:rsidRPr="000635DD">
        <w:rPr>
          <w:rFonts w:ascii="Arial" w:hAnsi="Arial" w:cs="Arial"/>
          <w:b/>
          <w:sz w:val="20"/>
          <w:szCs w:val="20"/>
          <w:lang w:val="pl-PL"/>
        </w:rPr>
        <w:t>Sally</w:t>
      </w:r>
      <w:proofErr w:type="spellEnd"/>
      <w:r w:rsidR="00663AE4" w:rsidRPr="000635DD">
        <w:rPr>
          <w:rFonts w:ascii="Arial" w:hAnsi="Arial" w:cs="Arial"/>
          <w:b/>
          <w:sz w:val="20"/>
          <w:szCs w:val="20"/>
          <w:lang w:val="pl-PL"/>
        </w:rPr>
        <w:t xml:space="preserve"> </w:t>
      </w:r>
      <w:proofErr w:type="spellStart"/>
      <w:r w:rsidR="00663AE4" w:rsidRPr="000635DD">
        <w:rPr>
          <w:rFonts w:ascii="Arial" w:hAnsi="Arial" w:cs="Arial"/>
          <w:b/>
          <w:sz w:val="20"/>
          <w:szCs w:val="20"/>
          <w:lang w:val="pl-PL"/>
        </w:rPr>
        <w:t>Bruer</w:t>
      </w:r>
      <w:proofErr w:type="spellEnd"/>
      <w:r w:rsidR="00663AE4" w:rsidRPr="000635DD">
        <w:rPr>
          <w:rFonts w:ascii="Arial" w:hAnsi="Arial" w:cs="Arial"/>
          <w:b/>
          <w:sz w:val="20"/>
          <w:szCs w:val="20"/>
          <w:lang w:val="pl-PL"/>
        </w:rPr>
        <w:t xml:space="preserve">, dyrektorka działu badań w sektorze nieruchomości logistycznych, </w:t>
      </w:r>
      <w:r w:rsidR="00663AE4">
        <w:rPr>
          <w:rFonts w:ascii="Arial" w:hAnsi="Arial" w:cs="Arial"/>
          <w:b/>
          <w:sz w:val="20"/>
          <w:szCs w:val="20"/>
          <w:lang w:val="pl-PL"/>
        </w:rPr>
        <w:t>przemysłowo-</w:t>
      </w:r>
      <w:r w:rsidR="00663AE4" w:rsidRPr="000635DD">
        <w:rPr>
          <w:rFonts w:ascii="Arial" w:hAnsi="Arial" w:cs="Arial"/>
          <w:b/>
          <w:sz w:val="20"/>
          <w:szCs w:val="20"/>
          <w:lang w:val="pl-PL"/>
        </w:rPr>
        <w:t>magazynowych i handlowych w regionie EMEA w Cushman &amp; Wakefield</w:t>
      </w:r>
      <w:r w:rsidR="00663AE4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356E4F43" w14:textId="51259BFA" w:rsidR="000D2296" w:rsidRPr="00564B2D" w:rsidRDefault="00AF6536" w:rsidP="00034007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35DD">
        <w:rPr>
          <w:rFonts w:ascii="Arial" w:hAnsi="Arial" w:cs="Arial"/>
          <w:sz w:val="20"/>
          <w:szCs w:val="20"/>
          <w:lang w:val="pl-PL"/>
        </w:rPr>
        <w:t>Wiele inwestycji obronnych zrealizowanych zostało w ostatnim czasie w ugruntowanych lokalizacjach</w:t>
      </w:r>
      <w:r>
        <w:rPr>
          <w:rFonts w:ascii="Arial" w:hAnsi="Arial" w:cs="Arial"/>
          <w:sz w:val="20"/>
          <w:szCs w:val="20"/>
          <w:lang w:val="pl-PL"/>
        </w:rPr>
        <w:t xml:space="preserve"> produkcyjnych</w:t>
      </w:r>
      <w:r w:rsidRPr="000635DD">
        <w:rPr>
          <w:rFonts w:ascii="Arial" w:hAnsi="Arial" w:cs="Arial"/>
          <w:sz w:val="20"/>
          <w:szCs w:val="20"/>
          <w:lang w:val="pl-PL"/>
        </w:rPr>
        <w:t>, takich jak</w:t>
      </w:r>
      <w:r w:rsidR="00B05334">
        <w:rPr>
          <w:rFonts w:ascii="Arial" w:hAnsi="Arial" w:cs="Arial"/>
          <w:sz w:val="20"/>
          <w:szCs w:val="20"/>
          <w:lang w:val="pl-PL"/>
        </w:rPr>
        <w:t>: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 klastry we Francji, Wielkiej Brytanii, </w:t>
      </w:r>
      <w:r>
        <w:rPr>
          <w:rFonts w:ascii="Arial" w:hAnsi="Arial" w:cs="Arial"/>
          <w:sz w:val="20"/>
          <w:szCs w:val="20"/>
          <w:lang w:val="pl-PL"/>
        </w:rPr>
        <w:t xml:space="preserve">Niemczech, 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Włoszech, Hiszpanii i Szwecji. </w:t>
      </w:r>
      <w:r>
        <w:rPr>
          <w:rFonts w:ascii="Arial" w:hAnsi="Arial" w:cs="Arial"/>
          <w:sz w:val="20"/>
          <w:szCs w:val="20"/>
          <w:lang w:val="pl-PL"/>
        </w:rPr>
        <w:t>Jednocześnie w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zrasta zainteresowanie Europą Środkowo-Wschodnią, gdzie </w:t>
      </w:r>
      <w:r w:rsidR="00B05334" w:rsidRPr="008032FE">
        <w:rPr>
          <w:rFonts w:ascii="Arial" w:hAnsi="Arial" w:cs="Arial"/>
          <w:sz w:val="20"/>
          <w:szCs w:val="20"/>
          <w:lang w:val="pl-PL"/>
        </w:rPr>
        <w:t>od czasu inwazji</w:t>
      </w:r>
      <w:r w:rsidR="00B05334" w:rsidRPr="000635DD">
        <w:rPr>
          <w:rFonts w:ascii="Arial" w:hAnsi="Arial" w:cs="Arial"/>
          <w:sz w:val="20"/>
          <w:szCs w:val="20"/>
          <w:lang w:val="pl-PL"/>
        </w:rPr>
        <w:t xml:space="preserve"> Rosji na Ukrainę 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kraje takie jak Polska i Rumunia </w:t>
      </w:r>
      <w:r>
        <w:rPr>
          <w:rFonts w:ascii="Arial" w:hAnsi="Arial" w:cs="Arial"/>
          <w:sz w:val="20"/>
          <w:szCs w:val="20"/>
          <w:lang w:val="pl-PL"/>
        </w:rPr>
        <w:t xml:space="preserve">wyrastają na </w:t>
      </w:r>
      <w:r w:rsidRPr="008032FE">
        <w:rPr>
          <w:rFonts w:ascii="Arial" w:hAnsi="Arial" w:cs="Arial"/>
          <w:sz w:val="20"/>
          <w:szCs w:val="20"/>
          <w:lang w:val="pl-PL"/>
        </w:rPr>
        <w:t xml:space="preserve">kluczowe </w:t>
      </w:r>
      <w:r w:rsidRPr="00DD5495">
        <w:rPr>
          <w:rFonts w:ascii="Arial" w:hAnsi="Arial" w:cs="Arial"/>
          <w:sz w:val="20"/>
          <w:szCs w:val="20"/>
          <w:lang w:val="pl-PL"/>
        </w:rPr>
        <w:t>ośrodki przemysłu zbrojeniowego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. Oprócz nowych zakładów produkcyjnych </w:t>
      </w:r>
      <w:r>
        <w:rPr>
          <w:rFonts w:ascii="Arial" w:hAnsi="Arial" w:cs="Arial"/>
          <w:sz w:val="20"/>
          <w:szCs w:val="20"/>
          <w:lang w:val="pl-PL"/>
        </w:rPr>
        <w:t xml:space="preserve">widoczne jest zapotrzebowanie 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także </w:t>
      </w:r>
      <w:r>
        <w:rPr>
          <w:rFonts w:ascii="Arial" w:hAnsi="Arial" w:cs="Arial"/>
          <w:sz w:val="20"/>
          <w:szCs w:val="20"/>
          <w:lang w:val="pl-PL"/>
        </w:rPr>
        <w:t xml:space="preserve">na 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powierzchnie logistyczne </w:t>
      </w:r>
      <w:r>
        <w:rPr>
          <w:rFonts w:ascii="Arial" w:hAnsi="Arial" w:cs="Arial"/>
          <w:sz w:val="20"/>
          <w:szCs w:val="20"/>
          <w:lang w:val="pl-PL"/>
        </w:rPr>
        <w:t xml:space="preserve">niezbędne 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do transportu towarów do Europy oraz </w:t>
      </w:r>
      <w:r>
        <w:rPr>
          <w:rFonts w:ascii="Arial" w:hAnsi="Arial" w:cs="Arial"/>
          <w:sz w:val="20"/>
          <w:szCs w:val="20"/>
          <w:lang w:val="pl-PL"/>
        </w:rPr>
        <w:t>na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 jej </w:t>
      </w:r>
      <w:r>
        <w:rPr>
          <w:rFonts w:ascii="Arial" w:hAnsi="Arial" w:cs="Arial"/>
          <w:sz w:val="20"/>
          <w:szCs w:val="20"/>
          <w:lang w:val="pl-PL"/>
        </w:rPr>
        <w:t>terenie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, </w:t>
      </w:r>
      <w:r w:rsidR="007B36BB">
        <w:rPr>
          <w:rFonts w:ascii="Arial" w:hAnsi="Arial" w:cs="Arial"/>
          <w:sz w:val="20"/>
          <w:szCs w:val="20"/>
          <w:lang w:val="pl-PL"/>
        </w:rPr>
        <w:t xml:space="preserve">jak i </w:t>
      </w:r>
      <w:r w:rsidRPr="000635DD">
        <w:rPr>
          <w:rFonts w:ascii="Arial" w:hAnsi="Arial" w:cs="Arial"/>
          <w:sz w:val="20"/>
          <w:szCs w:val="20"/>
          <w:lang w:val="pl-PL"/>
        </w:rPr>
        <w:t>do innych regionów</w:t>
      </w:r>
      <w:r w:rsidR="00235A51">
        <w:rPr>
          <w:rFonts w:ascii="Arial" w:hAnsi="Arial" w:cs="Arial"/>
          <w:sz w:val="20"/>
          <w:szCs w:val="20"/>
          <w:lang w:val="pl-PL"/>
        </w:rPr>
        <w:t xml:space="preserve"> </w:t>
      </w:r>
      <w:r w:rsidR="00235A51" w:rsidRPr="00663AE4">
        <w:rPr>
          <w:rFonts w:ascii="Arial" w:hAnsi="Arial" w:cs="Arial"/>
          <w:bCs/>
          <w:sz w:val="20"/>
          <w:szCs w:val="20"/>
          <w:lang w:val="pl-PL"/>
        </w:rPr>
        <w:t>–</w:t>
      </w:r>
      <w:r w:rsidRPr="000635DD">
        <w:rPr>
          <w:rFonts w:ascii="Arial" w:hAnsi="Arial" w:cs="Arial"/>
          <w:sz w:val="20"/>
          <w:szCs w:val="20"/>
          <w:lang w:val="pl-PL"/>
        </w:rPr>
        <w:t xml:space="preserve"> zwłaszcza wzdłuż głównych korytarzy transportowych i w największych portach. </w:t>
      </w:r>
    </w:p>
    <w:p w14:paraId="1D143725" w14:textId="0324CA37" w:rsidR="00AF6536" w:rsidRPr="000D2296" w:rsidRDefault="000D2296" w:rsidP="00034007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D2296">
        <w:rPr>
          <w:rFonts w:ascii="Arial" w:hAnsi="Arial" w:cs="Arial"/>
          <w:b/>
          <w:bCs/>
          <w:sz w:val="20"/>
          <w:szCs w:val="20"/>
          <w:lang w:val="pl-PL"/>
        </w:rPr>
        <w:t>Czysta energia</w:t>
      </w:r>
    </w:p>
    <w:p w14:paraId="6DA8C5D0" w14:textId="4F5125CA" w:rsidR="00AF6536" w:rsidRDefault="00411ECD" w:rsidP="00AF6536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0635DD">
        <w:rPr>
          <w:rFonts w:ascii="Arial" w:hAnsi="Arial" w:cs="Arial"/>
          <w:sz w:val="20"/>
          <w:szCs w:val="20"/>
          <w:lang w:val="pl-PL"/>
        </w:rPr>
        <w:t xml:space="preserve">W sektorze technologii czystej energii również obserwuje się znaczący wzrost popytu na powierzchnie </w:t>
      </w:r>
      <w:r w:rsidR="00AB7B7D">
        <w:rPr>
          <w:rFonts w:ascii="Arial" w:hAnsi="Arial" w:cs="Arial"/>
          <w:sz w:val="20"/>
          <w:szCs w:val="20"/>
          <w:lang w:val="pl-PL"/>
        </w:rPr>
        <w:t>przemysłowo-</w:t>
      </w:r>
      <w:r w:rsidRPr="000635DD">
        <w:rPr>
          <w:rFonts w:ascii="Arial" w:hAnsi="Arial" w:cs="Arial"/>
          <w:sz w:val="20"/>
          <w:szCs w:val="20"/>
          <w:lang w:val="pl-PL"/>
        </w:rPr>
        <w:t>magazynowe</w:t>
      </w:r>
      <w:r w:rsidR="00A71701" w:rsidRPr="000635DD">
        <w:rPr>
          <w:rFonts w:ascii="Arial" w:hAnsi="Arial" w:cs="Arial"/>
          <w:sz w:val="20"/>
          <w:szCs w:val="20"/>
          <w:lang w:val="pl-PL"/>
        </w:rPr>
        <w:t>, który napędzają</w:t>
      </w:r>
      <w:r w:rsidR="007B36BB">
        <w:rPr>
          <w:rFonts w:ascii="Arial" w:hAnsi="Arial" w:cs="Arial"/>
          <w:sz w:val="20"/>
          <w:szCs w:val="20"/>
          <w:lang w:val="pl-PL"/>
        </w:rPr>
        <w:t>:</w:t>
      </w:r>
      <w:r w:rsidR="008F1F80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76748F" w:rsidRPr="000635DD">
        <w:rPr>
          <w:rFonts w:ascii="Arial" w:hAnsi="Arial" w:cs="Arial"/>
          <w:sz w:val="20"/>
          <w:szCs w:val="20"/>
          <w:lang w:val="pl-PL"/>
        </w:rPr>
        <w:t>unijn</w:t>
      </w:r>
      <w:r w:rsidR="00D7318C" w:rsidRPr="000635DD">
        <w:rPr>
          <w:rFonts w:ascii="Arial" w:hAnsi="Arial" w:cs="Arial"/>
          <w:sz w:val="20"/>
          <w:szCs w:val="20"/>
          <w:lang w:val="pl-PL"/>
        </w:rPr>
        <w:t xml:space="preserve">y akt </w:t>
      </w:r>
      <w:r w:rsidR="0076748F" w:rsidRPr="000635DD">
        <w:rPr>
          <w:rFonts w:ascii="Arial" w:hAnsi="Arial" w:cs="Arial"/>
          <w:sz w:val="20"/>
          <w:szCs w:val="20"/>
          <w:lang w:val="pl-PL"/>
        </w:rPr>
        <w:t xml:space="preserve">o przemyśle </w:t>
      </w:r>
      <w:r w:rsidR="00A84824" w:rsidRPr="000635DD">
        <w:rPr>
          <w:rFonts w:ascii="Arial" w:hAnsi="Arial" w:cs="Arial"/>
          <w:sz w:val="20"/>
          <w:szCs w:val="20"/>
          <w:lang w:val="pl-PL"/>
        </w:rPr>
        <w:t>neutralnym emisyjnie</w:t>
      </w:r>
      <w:r w:rsidR="00715907" w:rsidRPr="000635DD">
        <w:rPr>
          <w:rFonts w:ascii="Arial" w:hAnsi="Arial" w:cs="Arial"/>
          <w:sz w:val="20"/>
          <w:szCs w:val="20"/>
          <w:lang w:val="pl-PL"/>
        </w:rPr>
        <w:t xml:space="preserve"> (</w:t>
      </w:r>
      <w:r w:rsidR="00715907" w:rsidRPr="00363DD2">
        <w:rPr>
          <w:rFonts w:ascii="Arial" w:hAnsi="Arial" w:cs="Arial"/>
          <w:i/>
          <w:iCs/>
          <w:sz w:val="20"/>
          <w:szCs w:val="20"/>
          <w:lang w:val="pl-PL"/>
        </w:rPr>
        <w:t xml:space="preserve">Net-Zero Industry </w:t>
      </w:r>
      <w:proofErr w:type="spellStart"/>
      <w:r w:rsidR="00715907" w:rsidRPr="00363DD2">
        <w:rPr>
          <w:rFonts w:ascii="Arial" w:hAnsi="Arial" w:cs="Arial"/>
          <w:i/>
          <w:iCs/>
          <w:sz w:val="20"/>
          <w:szCs w:val="20"/>
          <w:lang w:val="pl-PL"/>
        </w:rPr>
        <w:t>Act</w:t>
      </w:r>
      <w:proofErr w:type="spellEnd"/>
      <w:r w:rsidR="00715907" w:rsidRPr="000635DD">
        <w:rPr>
          <w:rFonts w:ascii="Arial" w:hAnsi="Arial" w:cs="Arial"/>
          <w:sz w:val="20"/>
          <w:szCs w:val="20"/>
          <w:lang w:val="pl-PL"/>
        </w:rPr>
        <w:t xml:space="preserve">) oraz brytyjski </w:t>
      </w:r>
      <w:r w:rsidR="00E91877" w:rsidRPr="000635DD">
        <w:rPr>
          <w:rFonts w:ascii="Arial" w:hAnsi="Arial" w:cs="Arial"/>
          <w:sz w:val="20"/>
          <w:szCs w:val="20"/>
          <w:lang w:val="pl-PL"/>
        </w:rPr>
        <w:t>p</w:t>
      </w:r>
      <w:r w:rsidR="004D33F0" w:rsidRPr="000635DD">
        <w:rPr>
          <w:rFonts w:ascii="Arial" w:hAnsi="Arial" w:cs="Arial"/>
          <w:sz w:val="20"/>
          <w:szCs w:val="20"/>
          <w:lang w:val="pl-PL"/>
        </w:rPr>
        <w:t xml:space="preserve">lan </w:t>
      </w:r>
      <w:r w:rsidR="00C12D73" w:rsidRPr="000635DD">
        <w:rPr>
          <w:rFonts w:ascii="Arial" w:hAnsi="Arial" w:cs="Arial"/>
          <w:sz w:val="20"/>
          <w:szCs w:val="20"/>
          <w:lang w:val="pl-PL"/>
        </w:rPr>
        <w:t>dla sektora czystej energii (</w:t>
      </w:r>
      <w:proofErr w:type="spellStart"/>
      <w:r w:rsidR="00C12D73" w:rsidRPr="00363DD2">
        <w:rPr>
          <w:rFonts w:ascii="Arial" w:hAnsi="Arial" w:cs="Arial"/>
          <w:i/>
          <w:iCs/>
          <w:sz w:val="20"/>
          <w:szCs w:val="20"/>
          <w:lang w:val="pl-PL"/>
        </w:rPr>
        <w:t>Clean</w:t>
      </w:r>
      <w:proofErr w:type="spellEnd"/>
      <w:r w:rsidR="00C12D73" w:rsidRPr="00363DD2">
        <w:rPr>
          <w:rFonts w:ascii="Arial" w:hAnsi="Arial" w:cs="Arial"/>
          <w:i/>
          <w:iCs/>
          <w:sz w:val="20"/>
          <w:szCs w:val="20"/>
          <w:lang w:val="pl-PL"/>
        </w:rPr>
        <w:t xml:space="preserve"> Energy </w:t>
      </w:r>
      <w:proofErr w:type="spellStart"/>
      <w:r w:rsidR="00C12D73" w:rsidRPr="00363DD2">
        <w:rPr>
          <w:rFonts w:ascii="Arial" w:hAnsi="Arial" w:cs="Arial"/>
          <w:i/>
          <w:iCs/>
          <w:sz w:val="20"/>
          <w:szCs w:val="20"/>
          <w:lang w:val="pl-PL"/>
        </w:rPr>
        <w:t>Sector</w:t>
      </w:r>
      <w:proofErr w:type="spellEnd"/>
      <w:r w:rsidR="00C12D73" w:rsidRPr="00363DD2">
        <w:rPr>
          <w:rFonts w:ascii="Arial" w:hAnsi="Arial" w:cs="Arial"/>
          <w:i/>
          <w:iCs/>
          <w:sz w:val="20"/>
          <w:szCs w:val="20"/>
          <w:lang w:val="pl-PL"/>
        </w:rPr>
        <w:t xml:space="preserve"> Plan</w:t>
      </w:r>
      <w:r w:rsidR="00C12D73" w:rsidRPr="000635DD">
        <w:rPr>
          <w:rFonts w:ascii="Arial" w:hAnsi="Arial" w:cs="Arial"/>
          <w:sz w:val="20"/>
          <w:szCs w:val="20"/>
          <w:lang w:val="pl-PL"/>
        </w:rPr>
        <w:t>).</w:t>
      </w:r>
      <w:r w:rsidR="00B21F00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021209" w:rsidRPr="000635DD">
        <w:rPr>
          <w:rFonts w:ascii="Arial" w:hAnsi="Arial" w:cs="Arial"/>
          <w:sz w:val="20"/>
          <w:szCs w:val="20"/>
          <w:lang w:val="pl-PL"/>
        </w:rPr>
        <w:t>Analiza kluczowych podsektorów</w:t>
      </w:r>
      <w:r w:rsidR="007C5E3F" w:rsidRPr="000635DD">
        <w:rPr>
          <w:rFonts w:ascii="Arial" w:hAnsi="Arial" w:cs="Arial"/>
          <w:sz w:val="20"/>
          <w:szCs w:val="20"/>
          <w:lang w:val="pl-PL"/>
        </w:rPr>
        <w:t xml:space="preserve"> – </w:t>
      </w:r>
      <w:r w:rsidR="00E138EB" w:rsidRPr="000635DD">
        <w:rPr>
          <w:rFonts w:ascii="Arial" w:hAnsi="Arial" w:cs="Arial"/>
          <w:sz w:val="20"/>
          <w:szCs w:val="20"/>
          <w:lang w:val="pl-PL"/>
        </w:rPr>
        <w:t xml:space="preserve">takich jak </w:t>
      </w:r>
      <w:proofErr w:type="spellStart"/>
      <w:r w:rsidR="00AE3897">
        <w:rPr>
          <w:rFonts w:ascii="Arial" w:hAnsi="Arial" w:cs="Arial"/>
          <w:sz w:val="20"/>
          <w:szCs w:val="20"/>
          <w:lang w:val="pl-PL"/>
        </w:rPr>
        <w:t>fotowoltaika</w:t>
      </w:r>
      <w:proofErr w:type="spellEnd"/>
      <w:r w:rsidR="00E138EB" w:rsidRPr="000635DD">
        <w:rPr>
          <w:rFonts w:ascii="Arial" w:hAnsi="Arial" w:cs="Arial"/>
          <w:sz w:val="20"/>
          <w:szCs w:val="20"/>
          <w:lang w:val="pl-PL"/>
        </w:rPr>
        <w:t xml:space="preserve">, </w:t>
      </w:r>
      <w:r w:rsidR="00217570">
        <w:rPr>
          <w:rFonts w:ascii="Arial" w:hAnsi="Arial" w:cs="Arial"/>
          <w:sz w:val="20"/>
          <w:szCs w:val="20"/>
          <w:lang w:val="pl-PL"/>
        </w:rPr>
        <w:t xml:space="preserve">energetyka </w:t>
      </w:r>
      <w:r w:rsidR="00E138EB" w:rsidRPr="000635DD">
        <w:rPr>
          <w:rFonts w:ascii="Arial" w:hAnsi="Arial" w:cs="Arial"/>
          <w:sz w:val="20"/>
          <w:szCs w:val="20"/>
          <w:lang w:val="pl-PL"/>
        </w:rPr>
        <w:t>wiatrow</w:t>
      </w:r>
      <w:r w:rsidR="00217570">
        <w:rPr>
          <w:rFonts w:ascii="Arial" w:hAnsi="Arial" w:cs="Arial"/>
          <w:sz w:val="20"/>
          <w:szCs w:val="20"/>
          <w:lang w:val="pl-PL"/>
        </w:rPr>
        <w:t>a</w:t>
      </w:r>
      <w:r w:rsidR="00E138EB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7C5E3F" w:rsidRPr="000635DD">
        <w:rPr>
          <w:rFonts w:ascii="Arial" w:hAnsi="Arial" w:cs="Arial"/>
          <w:sz w:val="20"/>
          <w:szCs w:val="20"/>
          <w:lang w:val="pl-PL"/>
        </w:rPr>
        <w:t>i małe modułowe reaktory jądrowe – pokazuje</w:t>
      </w:r>
      <w:r w:rsidR="00217570">
        <w:rPr>
          <w:rFonts w:ascii="Arial" w:hAnsi="Arial" w:cs="Arial"/>
          <w:sz w:val="20"/>
          <w:szCs w:val="20"/>
          <w:lang w:val="pl-PL"/>
        </w:rPr>
        <w:t xml:space="preserve">, że </w:t>
      </w:r>
      <w:r w:rsidR="00670C24">
        <w:rPr>
          <w:rFonts w:ascii="Arial" w:hAnsi="Arial" w:cs="Arial"/>
          <w:sz w:val="20"/>
          <w:szCs w:val="20"/>
          <w:lang w:val="pl-PL"/>
        </w:rPr>
        <w:t xml:space="preserve">poszczególne segmenty rynku produkcji </w:t>
      </w:r>
      <w:r w:rsidR="00670C24" w:rsidRPr="000635DD">
        <w:rPr>
          <w:rFonts w:ascii="Arial" w:hAnsi="Arial" w:cs="Arial"/>
          <w:sz w:val="20"/>
          <w:szCs w:val="20"/>
          <w:lang w:val="pl-PL"/>
        </w:rPr>
        <w:t>urządzeń dla branży czystej energii</w:t>
      </w:r>
      <w:r w:rsidR="0067627A">
        <w:rPr>
          <w:rFonts w:ascii="Arial" w:hAnsi="Arial" w:cs="Arial"/>
          <w:sz w:val="20"/>
          <w:szCs w:val="20"/>
          <w:lang w:val="pl-PL"/>
        </w:rPr>
        <w:t xml:space="preserve"> znacz</w:t>
      </w:r>
      <w:r w:rsidR="008E0DED">
        <w:rPr>
          <w:rFonts w:ascii="Arial" w:hAnsi="Arial" w:cs="Arial"/>
          <w:sz w:val="20"/>
          <w:szCs w:val="20"/>
          <w:lang w:val="pl-PL"/>
        </w:rPr>
        <w:t>ąco</w:t>
      </w:r>
      <w:r w:rsidR="0067627A">
        <w:rPr>
          <w:rFonts w:ascii="Arial" w:hAnsi="Arial" w:cs="Arial"/>
          <w:sz w:val="20"/>
          <w:szCs w:val="20"/>
          <w:lang w:val="pl-PL"/>
        </w:rPr>
        <w:t xml:space="preserve"> się różnią pod względem warunków biznesowych</w:t>
      </w:r>
      <w:r w:rsidR="009B4540" w:rsidRPr="000635DD">
        <w:rPr>
          <w:rFonts w:ascii="Arial" w:hAnsi="Arial" w:cs="Arial"/>
          <w:sz w:val="20"/>
          <w:szCs w:val="20"/>
          <w:lang w:val="pl-PL"/>
        </w:rPr>
        <w:t>.</w:t>
      </w:r>
      <w:r w:rsidR="009B6EDD" w:rsidRPr="000635DD"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4B9C6A47" w14:textId="7D7AD44C" w:rsidR="00CE309D" w:rsidRPr="008123A1" w:rsidRDefault="000356E5" w:rsidP="00AF6536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>
        <w:rPr>
          <w:rFonts w:ascii="Arial" w:hAnsi="Arial" w:cs="Arial"/>
          <w:sz w:val="20"/>
          <w:szCs w:val="20"/>
          <w:lang w:val="pl-PL"/>
        </w:rPr>
        <w:t xml:space="preserve">Firmy potrzebują </w:t>
      </w:r>
      <w:r w:rsidR="002520C8">
        <w:rPr>
          <w:rFonts w:ascii="Arial" w:hAnsi="Arial" w:cs="Arial"/>
          <w:sz w:val="20"/>
          <w:szCs w:val="20"/>
          <w:lang w:val="pl-PL"/>
        </w:rPr>
        <w:t xml:space="preserve">budynków </w:t>
      </w:r>
      <w:r w:rsidR="00571511">
        <w:rPr>
          <w:rFonts w:ascii="Arial" w:hAnsi="Arial" w:cs="Arial"/>
          <w:sz w:val="20"/>
          <w:szCs w:val="20"/>
          <w:lang w:val="pl-PL"/>
        </w:rPr>
        <w:t xml:space="preserve">różnego rodzaju </w:t>
      </w:r>
      <w:r w:rsidR="002520C8">
        <w:rPr>
          <w:rFonts w:ascii="Arial" w:hAnsi="Arial" w:cs="Arial"/>
          <w:sz w:val="20"/>
          <w:szCs w:val="20"/>
          <w:lang w:val="pl-PL"/>
        </w:rPr>
        <w:t xml:space="preserve">– od </w:t>
      </w:r>
      <w:r w:rsidR="0005114A">
        <w:rPr>
          <w:rFonts w:ascii="Arial" w:hAnsi="Arial" w:cs="Arial"/>
          <w:sz w:val="20"/>
          <w:szCs w:val="20"/>
          <w:lang w:val="pl-PL"/>
        </w:rPr>
        <w:t xml:space="preserve">specjalnie zaprojektowanych obiektów </w:t>
      </w:r>
      <w:r w:rsidR="00C31589" w:rsidRPr="000635DD">
        <w:rPr>
          <w:rFonts w:ascii="Arial" w:hAnsi="Arial" w:cs="Arial"/>
          <w:sz w:val="20"/>
          <w:szCs w:val="20"/>
          <w:lang w:val="pl-PL"/>
        </w:rPr>
        <w:t>zajmowan</w:t>
      </w:r>
      <w:r w:rsidR="00E219E1">
        <w:rPr>
          <w:rFonts w:ascii="Arial" w:hAnsi="Arial" w:cs="Arial"/>
          <w:sz w:val="20"/>
          <w:szCs w:val="20"/>
          <w:lang w:val="pl-PL"/>
        </w:rPr>
        <w:t>ych</w:t>
      </w:r>
      <w:r w:rsidR="00C31589" w:rsidRPr="000635DD">
        <w:rPr>
          <w:rFonts w:ascii="Arial" w:hAnsi="Arial" w:cs="Arial"/>
          <w:sz w:val="20"/>
          <w:szCs w:val="20"/>
          <w:lang w:val="pl-PL"/>
        </w:rPr>
        <w:t xml:space="preserve"> przez właścicieli na potrzeby własne</w:t>
      </w:r>
      <w:r w:rsidR="00000C93">
        <w:rPr>
          <w:rFonts w:ascii="Arial" w:hAnsi="Arial" w:cs="Arial"/>
          <w:sz w:val="20"/>
          <w:szCs w:val="20"/>
          <w:lang w:val="pl-PL"/>
        </w:rPr>
        <w:t xml:space="preserve"> i</w:t>
      </w:r>
      <w:r w:rsidR="00C20CA6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3218FF" w:rsidRPr="000635DD">
        <w:rPr>
          <w:rFonts w:ascii="Arial" w:hAnsi="Arial" w:cs="Arial"/>
          <w:sz w:val="20"/>
          <w:szCs w:val="20"/>
          <w:lang w:val="pl-PL"/>
        </w:rPr>
        <w:t>wykorzystywan</w:t>
      </w:r>
      <w:r w:rsidR="00E219E1">
        <w:rPr>
          <w:rFonts w:ascii="Arial" w:hAnsi="Arial" w:cs="Arial"/>
          <w:sz w:val="20"/>
          <w:szCs w:val="20"/>
          <w:lang w:val="pl-PL"/>
        </w:rPr>
        <w:t>ych</w:t>
      </w:r>
      <w:r w:rsidR="003218FF" w:rsidRPr="000635DD">
        <w:rPr>
          <w:rFonts w:ascii="Arial" w:hAnsi="Arial" w:cs="Arial"/>
          <w:sz w:val="20"/>
          <w:szCs w:val="20"/>
          <w:lang w:val="pl-PL"/>
        </w:rPr>
        <w:t xml:space="preserve"> do specjalistycznej produkcji</w:t>
      </w:r>
      <w:r w:rsidR="00B05334">
        <w:rPr>
          <w:rFonts w:ascii="Arial" w:hAnsi="Arial" w:cs="Arial"/>
          <w:sz w:val="20"/>
          <w:szCs w:val="20"/>
          <w:lang w:val="pl-PL"/>
        </w:rPr>
        <w:t>,</w:t>
      </w:r>
      <w:r w:rsidR="00E219E1">
        <w:rPr>
          <w:rFonts w:ascii="Arial" w:hAnsi="Arial" w:cs="Arial"/>
          <w:sz w:val="20"/>
          <w:szCs w:val="20"/>
          <w:lang w:val="pl-PL"/>
        </w:rPr>
        <w:t xml:space="preserve"> po </w:t>
      </w:r>
      <w:r w:rsidR="003F52D5">
        <w:rPr>
          <w:rFonts w:ascii="Arial" w:hAnsi="Arial" w:cs="Arial"/>
          <w:sz w:val="20"/>
          <w:szCs w:val="20"/>
          <w:lang w:val="pl-PL"/>
        </w:rPr>
        <w:t xml:space="preserve">standardowe </w:t>
      </w:r>
      <w:r w:rsidR="00E219E1">
        <w:rPr>
          <w:rFonts w:ascii="Arial" w:hAnsi="Arial" w:cs="Arial"/>
          <w:sz w:val="20"/>
          <w:szCs w:val="20"/>
          <w:lang w:val="pl-PL"/>
        </w:rPr>
        <w:t>hale</w:t>
      </w:r>
      <w:r w:rsidR="00C20CA6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5C506E" w:rsidRPr="000635DD">
        <w:rPr>
          <w:rFonts w:ascii="Arial" w:hAnsi="Arial" w:cs="Arial"/>
          <w:sz w:val="20"/>
          <w:szCs w:val="20"/>
          <w:lang w:val="pl-PL"/>
        </w:rPr>
        <w:t xml:space="preserve">wynajmowane </w:t>
      </w:r>
      <w:r w:rsidR="0089612D">
        <w:rPr>
          <w:rFonts w:ascii="Arial" w:hAnsi="Arial" w:cs="Arial"/>
          <w:sz w:val="20"/>
          <w:szCs w:val="20"/>
          <w:lang w:val="pl-PL"/>
        </w:rPr>
        <w:t xml:space="preserve">pod </w:t>
      </w:r>
      <w:r w:rsidR="00990879" w:rsidRPr="000635DD">
        <w:rPr>
          <w:rFonts w:ascii="Arial" w:hAnsi="Arial" w:cs="Arial"/>
          <w:sz w:val="20"/>
          <w:szCs w:val="20"/>
          <w:lang w:val="pl-PL"/>
        </w:rPr>
        <w:t>działalnoś</w:t>
      </w:r>
      <w:r w:rsidR="0089612D">
        <w:rPr>
          <w:rFonts w:ascii="Arial" w:hAnsi="Arial" w:cs="Arial"/>
          <w:sz w:val="20"/>
          <w:szCs w:val="20"/>
          <w:lang w:val="pl-PL"/>
        </w:rPr>
        <w:t>ć</w:t>
      </w:r>
      <w:r w:rsidR="00990879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F1072F" w:rsidRPr="000635DD">
        <w:rPr>
          <w:rFonts w:ascii="Arial" w:hAnsi="Arial" w:cs="Arial"/>
          <w:sz w:val="20"/>
          <w:szCs w:val="20"/>
          <w:lang w:val="pl-PL"/>
        </w:rPr>
        <w:t>montaż</w:t>
      </w:r>
      <w:r w:rsidR="00990879" w:rsidRPr="000635DD">
        <w:rPr>
          <w:rFonts w:ascii="Arial" w:hAnsi="Arial" w:cs="Arial"/>
          <w:sz w:val="20"/>
          <w:szCs w:val="20"/>
          <w:lang w:val="pl-PL"/>
        </w:rPr>
        <w:t>ow</w:t>
      </w:r>
      <w:r w:rsidR="0089612D">
        <w:rPr>
          <w:rFonts w:ascii="Arial" w:hAnsi="Arial" w:cs="Arial"/>
          <w:sz w:val="20"/>
          <w:szCs w:val="20"/>
          <w:lang w:val="pl-PL"/>
        </w:rPr>
        <w:t>ą</w:t>
      </w:r>
      <w:r w:rsidR="00F1072F" w:rsidRPr="000635DD">
        <w:rPr>
          <w:rFonts w:ascii="Arial" w:hAnsi="Arial" w:cs="Arial"/>
          <w:sz w:val="20"/>
          <w:szCs w:val="20"/>
          <w:lang w:val="pl-PL"/>
        </w:rPr>
        <w:t xml:space="preserve"> i logi</w:t>
      </w:r>
      <w:r w:rsidR="00990879" w:rsidRPr="000635DD">
        <w:rPr>
          <w:rFonts w:ascii="Arial" w:hAnsi="Arial" w:cs="Arial"/>
          <w:sz w:val="20"/>
          <w:szCs w:val="20"/>
          <w:lang w:val="pl-PL"/>
        </w:rPr>
        <w:t>styczn</w:t>
      </w:r>
      <w:r w:rsidR="0089612D">
        <w:rPr>
          <w:rFonts w:ascii="Arial" w:hAnsi="Arial" w:cs="Arial"/>
          <w:sz w:val="20"/>
          <w:szCs w:val="20"/>
          <w:lang w:val="pl-PL"/>
        </w:rPr>
        <w:t>ą</w:t>
      </w:r>
      <w:r w:rsidR="00990879" w:rsidRPr="000635DD">
        <w:rPr>
          <w:rFonts w:ascii="Arial" w:hAnsi="Arial" w:cs="Arial"/>
          <w:sz w:val="20"/>
          <w:szCs w:val="20"/>
          <w:lang w:val="pl-PL"/>
        </w:rPr>
        <w:t>.</w:t>
      </w:r>
      <w:r w:rsidR="00043285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9410BB" w:rsidRPr="000635DD">
        <w:rPr>
          <w:rFonts w:ascii="Arial" w:hAnsi="Arial" w:cs="Arial"/>
          <w:sz w:val="20"/>
          <w:szCs w:val="20"/>
          <w:lang w:val="pl-PL"/>
        </w:rPr>
        <w:t>D</w:t>
      </w:r>
      <w:r w:rsidR="00043285" w:rsidRPr="000635DD">
        <w:rPr>
          <w:rFonts w:ascii="Arial" w:hAnsi="Arial" w:cs="Arial"/>
          <w:sz w:val="20"/>
          <w:szCs w:val="20"/>
          <w:lang w:val="pl-PL"/>
        </w:rPr>
        <w:t xml:space="preserve">ecyzje lokalizacyjne </w:t>
      </w:r>
      <w:r w:rsidR="00501878" w:rsidRPr="000635DD">
        <w:rPr>
          <w:rFonts w:ascii="Arial" w:hAnsi="Arial" w:cs="Arial"/>
          <w:sz w:val="20"/>
          <w:szCs w:val="20"/>
          <w:lang w:val="pl-PL"/>
        </w:rPr>
        <w:t>w dużej mierze</w:t>
      </w:r>
      <w:r w:rsidR="00043285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9410BB" w:rsidRPr="000635DD">
        <w:rPr>
          <w:rFonts w:ascii="Arial" w:hAnsi="Arial" w:cs="Arial"/>
          <w:sz w:val="20"/>
          <w:szCs w:val="20"/>
          <w:lang w:val="pl-PL"/>
        </w:rPr>
        <w:t xml:space="preserve">zależą </w:t>
      </w:r>
      <w:r w:rsidR="00807186" w:rsidRPr="000635DD">
        <w:rPr>
          <w:rFonts w:ascii="Arial" w:hAnsi="Arial" w:cs="Arial"/>
          <w:sz w:val="20"/>
          <w:szCs w:val="20"/>
          <w:lang w:val="pl-PL"/>
        </w:rPr>
        <w:t>od</w:t>
      </w:r>
      <w:r w:rsidR="00AD587E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043285" w:rsidRPr="000635DD">
        <w:rPr>
          <w:rFonts w:ascii="Arial" w:hAnsi="Arial" w:cs="Arial"/>
          <w:sz w:val="20"/>
          <w:szCs w:val="20"/>
          <w:lang w:val="pl-PL"/>
        </w:rPr>
        <w:t>bliskoś</w:t>
      </w:r>
      <w:r w:rsidR="00807186" w:rsidRPr="000635DD">
        <w:rPr>
          <w:rFonts w:ascii="Arial" w:hAnsi="Arial" w:cs="Arial"/>
          <w:sz w:val="20"/>
          <w:szCs w:val="20"/>
          <w:lang w:val="pl-PL"/>
        </w:rPr>
        <w:t xml:space="preserve">ci </w:t>
      </w:r>
      <w:r w:rsidR="003345CD">
        <w:rPr>
          <w:rFonts w:ascii="Arial" w:hAnsi="Arial" w:cs="Arial"/>
          <w:sz w:val="20"/>
          <w:szCs w:val="20"/>
          <w:lang w:val="pl-PL"/>
        </w:rPr>
        <w:t>połączeń</w:t>
      </w:r>
      <w:r w:rsidR="003345CD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2F7DDA" w:rsidRPr="000635DD">
        <w:rPr>
          <w:rFonts w:ascii="Arial" w:hAnsi="Arial" w:cs="Arial"/>
          <w:sz w:val="20"/>
          <w:szCs w:val="20"/>
          <w:lang w:val="pl-PL"/>
        </w:rPr>
        <w:t>transportowych, dostępnoś</w:t>
      </w:r>
      <w:r w:rsidR="00807186" w:rsidRPr="000635DD">
        <w:rPr>
          <w:rFonts w:ascii="Arial" w:hAnsi="Arial" w:cs="Arial"/>
          <w:sz w:val="20"/>
          <w:szCs w:val="20"/>
          <w:lang w:val="pl-PL"/>
        </w:rPr>
        <w:t>ci</w:t>
      </w:r>
      <w:r w:rsidR="002F7DDA" w:rsidRPr="000635DD">
        <w:rPr>
          <w:rFonts w:ascii="Arial" w:hAnsi="Arial" w:cs="Arial"/>
          <w:sz w:val="20"/>
          <w:szCs w:val="20"/>
          <w:lang w:val="pl-PL"/>
        </w:rPr>
        <w:t xml:space="preserve"> wykwalifikowanej kadry oraz </w:t>
      </w:r>
      <w:r w:rsidR="00AD587E" w:rsidRPr="000635DD">
        <w:rPr>
          <w:rFonts w:ascii="Arial" w:hAnsi="Arial" w:cs="Arial"/>
          <w:sz w:val="20"/>
          <w:szCs w:val="20"/>
          <w:lang w:val="pl-PL"/>
        </w:rPr>
        <w:t xml:space="preserve">korzyści </w:t>
      </w:r>
      <w:r w:rsidR="00752A1D">
        <w:rPr>
          <w:rFonts w:ascii="Arial" w:hAnsi="Arial" w:cs="Arial"/>
          <w:sz w:val="20"/>
          <w:szCs w:val="20"/>
          <w:lang w:val="pl-PL"/>
        </w:rPr>
        <w:t xml:space="preserve">płynących </w:t>
      </w:r>
      <w:r w:rsidR="00AD587E" w:rsidRPr="000635DD">
        <w:rPr>
          <w:rFonts w:ascii="Arial" w:hAnsi="Arial" w:cs="Arial"/>
          <w:sz w:val="20"/>
          <w:szCs w:val="20"/>
          <w:lang w:val="pl-PL"/>
        </w:rPr>
        <w:t xml:space="preserve">z </w:t>
      </w:r>
      <w:r w:rsidR="00C70554">
        <w:rPr>
          <w:rFonts w:ascii="Arial" w:hAnsi="Arial" w:cs="Arial"/>
          <w:sz w:val="20"/>
          <w:szCs w:val="20"/>
          <w:lang w:val="pl-PL"/>
        </w:rPr>
        <w:t>utworzenia klastra</w:t>
      </w:r>
      <w:r w:rsidR="002B1032" w:rsidRPr="000635DD">
        <w:rPr>
          <w:rFonts w:ascii="Arial" w:hAnsi="Arial" w:cs="Arial"/>
          <w:sz w:val="20"/>
          <w:szCs w:val="20"/>
          <w:lang w:val="pl-PL"/>
        </w:rPr>
        <w:t xml:space="preserve"> w</w:t>
      </w:r>
      <w:r w:rsidR="00D95C84">
        <w:rPr>
          <w:rFonts w:ascii="Arial" w:hAnsi="Arial" w:cs="Arial"/>
          <w:sz w:val="20"/>
          <w:szCs w:val="20"/>
          <w:lang w:val="pl-PL"/>
        </w:rPr>
        <w:t xml:space="preserve"> obrębie</w:t>
      </w:r>
      <w:r w:rsidR="002B1032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EE42E2" w:rsidRPr="000635DD">
        <w:rPr>
          <w:rFonts w:ascii="Arial" w:hAnsi="Arial" w:cs="Arial"/>
          <w:sz w:val="20"/>
          <w:szCs w:val="20"/>
          <w:lang w:val="pl-PL"/>
        </w:rPr>
        <w:t>istniejących ośrodk</w:t>
      </w:r>
      <w:r w:rsidR="00D95C84">
        <w:rPr>
          <w:rFonts w:ascii="Arial" w:hAnsi="Arial" w:cs="Arial"/>
          <w:sz w:val="20"/>
          <w:szCs w:val="20"/>
          <w:lang w:val="pl-PL"/>
        </w:rPr>
        <w:t>ów</w:t>
      </w:r>
      <w:r w:rsidR="00EE42E2" w:rsidRPr="000635DD">
        <w:rPr>
          <w:rFonts w:ascii="Arial" w:hAnsi="Arial" w:cs="Arial"/>
          <w:sz w:val="20"/>
          <w:szCs w:val="20"/>
          <w:lang w:val="pl-PL"/>
        </w:rPr>
        <w:t xml:space="preserve"> produkcyjnych. </w:t>
      </w:r>
      <w:r w:rsidR="008201F2" w:rsidRPr="000635DD">
        <w:rPr>
          <w:rFonts w:ascii="Arial" w:hAnsi="Arial" w:cs="Arial"/>
          <w:sz w:val="20"/>
          <w:szCs w:val="20"/>
          <w:lang w:val="pl-PL"/>
        </w:rPr>
        <w:t>W sektorze tym dominują Niemcy, które odpowiadają za ok. połow</w:t>
      </w:r>
      <w:r w:rsidR="007B36BB">
        <w:rPr>
          <w:rFonts w:ascii="Arial" w:hAnsi="Arial" w:cs="Arial"/>
          <w:sz w:val="20"/>
          <w:szCs w:val="20"/>
          <w:lang w:val="pl-PL"/>
        </w:rPr>
        <w:t>ę</w:t>
      </w:r>
      <w:r w:rsidR="000C7D1A">
        <w:rPr>
          <w:rFonts w:ascii="Arial" w:hAnsi="Arial" w:cs="Arial"/>
          <w:sz w:val="20"/>
          <w:szCs w:val="20"/>
          <w:lang w:val="pl-PL"/>
        </w:rPr>
        <w:t xml:space="preserve"> zdolności</w:t>
      </w:r>
      <w:r w:rsidR="00826C10" w:rsidRPr="000635DD">
        <w:rPr>
          <w:rFonts w:ascii="Arial" w:hAnsi="Arial" w:cs="Arial"/>
          <w:sz w:val="20"/>
          <w:szCs w:val="20"/>
          <w:lang w:val="pl-PL"/>
        </w:rPr>
        <w:t xml:space="preserve"> produkcyjnych UE </w:t>
      </w:r>
      <w:r w:rsidR="006D58CB">
        <w:rPr>
          <w:rFonts w:ascii="Arial" w:hAnsi="Arial" w:cs="Arial"/>
          <w:sz w:val="20"/>
          <w:szCs w:val="20"/>
          <w:lang w:val="pl-PL"/>
        </w:rPr>
        <w:t xml:space="preserve">w zakresie </w:t>
      </w:r>
      <w:r w:rsidR="008E08FE">
        <w:rPr>
          <w:rFonts w:ascii="Arial" w:hAnsi="Arial" w:cs="Arial"/>
          <w:sz w:val="20"/>
          <w:szCs w:val="20"/>
          <w:lang w:val="pl-PL"/>
        </w:rPr>
        <w:t xml:space="preserve">produkcji </w:t>
      </w:r>
      <w:r w:rsidR="006D58CB">
        <w:rPr>
          <w:rFonts w:ascii="Arial" w:hAnsi="Arial" w:cs="Arial"/>
          <w:sz w:val="20"/>
          <w:szCs w:val="20"/>
          <w:lang w:val="pl-PL"/>
        </w:rPr>
        <w:t xml:space="preserve">urządzeń </w:t>
      </w:r>
      <w:r w:rsidR="0038749D">
        <w:rPr>
          <w:rFonts w:ascii="Arial" w:hAnsi="Arial" w:cs="Arial"/>
          <w:sz w:val="20"/>
          <w:szCs w:val="20"/>
          <w:lang w:val="pl-PL"/>
        </w:rPr>
        <w:t>wykorzystywanych w energetyce</w:t>
      </w:r>
      <w:r w:rsidR="00A21AB4" w:rsidRPr="000635DD">
        <w:rPr>
          <w:rFonts w:ascii="Arial" w:hAnsi="Arial" w:cs="Arial"/>
          <w:sz w:val="20"/>
          <w:szCs w:val="20"/>
          <w:lang w:val="pl-PL"/>
        </w:rPr>
        <w:t xml:space="preserve"> wiatrowej i słonecznej</w:t>
      </w:r>
      <w:r w:rsidR="00CC3507" w:rsidRPr="000635DD">
        <w:rPr>
          <w:rFonts w:ascii="Arial" w:hAnsi="Arial" w:cs="Arial"/>
          <w:sz w:val="20"/>
          <w:szCs w:val="20"/>
          <w:lang w:val="pl-PL"/>
        </w:rPr>
        <w:t xml:space="preserve">. Dużymi </w:t>
      </w:r>
      <w:r w:rsidR="00826C10" w:rsidRPr="000635DD">
        <w:rPr>
          <w:rFonts w:ascii="Arial" w:hAnsi="Arial" w:cs="Arial"/>
          <w:sz w:val="20"/>
          <w:szCs w:val="20"/>
          <w:lang w:val="pl-PL"/>
        </w:rPr>
        <w:t>mocami</w:t>
      </w:r>
      <w:r w:rsidR="00CC3507" w:rsidRPr="000635DD">
        <w:rPr>
          <w:rFonts w:ascii="Arial" w:hAnsi="Arial" w:cs="Arial"/>
          <w:sz w:val="20"/>
          <w:szCs w:val="20"/>
          <w:lang w:val="pl-PL"/>
        </w:rPr>
        <w:t xml:space="preserve"> </w:t>
      </w:r>
      <w:r w:rsidR="007952B0">
        <w:rPr>
          <w:rFonts w:ascii="Arial" w:hAnsi="Arial" w:cs="Arial"/>
          <w:sz w:val="20"/>
          <w:szCs w:val="20"/>
          <w:lang w:val="pl-PL"/>
        </w:rPr>
        <w:t xml:space="preserve">mogą </w:t>
      </w:r>
      <w:r w:rsidR="00CC3507" w:rsidRPr="000635DD">
        <w:rPr>
          <w:rFonts w:ascii="Arial" w:hAnsi="Arial" w:cs="Arial"/>
          <w:sz w:val="20"/>
          <w:szCs w:val="20"/>
          <w:lang w:val="pl-PL"/>
        </w:rPr>
        <w:t xml:space="preserve">pochwalić się </w:t>
      </w:r>
      <w:r w:rsidR="008E08FE">
        <w:rPr>
          <w:rFonts w:ascii="Arial" w:hAnsi="Arial" w:cs="Arial"/>
          <w:sz w:val="20"/>
          <w:szCs w:val="20"/>
          <w:lang w:val="pl-PL"/>
        </w:rPr>
        <w:t xml:space="preserve">także </w:t>
      </w:r>
      <w:r w:rsidR="00211ECF" w:rsidRPr="000635DD">
        <w:rPr>
          <w:rFonts w:ascii="Arial" w:hAnsi="Arial" w:cs="Arial"/>
          <w:sz w:val="20"/>
          <w:szCs w:val="20"/>
          <w:lang w:val="pl-PL"/>
        </w:rPr>
        <w:t xml:space="preserve">Wielka Brytania, Włochy, Francja, Hiszpania </w:t>
      </w:r>
      <w:r w:rsidR="00211ECF" w:rsidRPr="000635DD">
        <w:rPr>
          <w:rFonts w:ascii="Arial" w:hAnsi="Arial" w:cs="Arial"/>
          <w:sz w:val="20"/>
          <w:szCs w:val="20"/>
          <w:lang w:val="pl-PL"/>
        </w:rPr>
        <w:lastRenderedPageBreak/>
        <w:t>oraz niektóre kraje nordyckie i Europy Środkowo-Wschodnie</w:t>
      </w:r>
      <w:r w:rsidR="00AF6536">
        <w:rPr>
          <w:rFonts w:ascii="Arial" w:hAnsi="Arial" w:cs="Arial"/>
          <w:sz w:val="20"/>
          <w:szCs w:val="20"/>
          <w:lang w:val="pl-PL"/>
        </w:rPr>
        <w:t>j</w:t>
      </w:r>
      <w:r w:rsidR="00B05334">
        <w:rPr>
          <w:rFonts w:ascii="Arial" w:hAnsi="Arial" w:cs="Arial"/>
          <w:sz w:val="20"/>
          <w:szCs w:val="20"/>
          <w:lang w:val="pl-PL"/>
        </w:rPr>
        <w:t xml:space="preserve"> -</w:t>
      </w:r>
      <w:r w:rsidR="00AF6536">
        <w:rPr>
          <w:rFonts w:ascii="Arial" w:hAnsi="Arial" w:cs="Arial"/>
          <w:sz w:val="20"/>
          <w:szCs w:val="20"/>
          <w:lang w:val="pl-PL"/>
        </w:rPr>
        <w:t xml:space="preserve"> w tym Polska.</w:t>
      </w:r>
      <w:r w:rsidR="000D2296">
        <w:rPr>
          <w:rFonts w:ascii="Arial" w:hAnsi="Arial" w:cs="Arial"/>
          <w:sz w:val="20"/>
          <w:szCs w:val="20"/>
          <w:lang w:val="pl-PL"/>
        </w:rPr>
        <w:t xml:space="preserve"> Polski rynek</w:t>
      </w:r>
      <w:r w:rsidR="000D2296" w:rsidRPr="000D2296">
        <w:rPr>
          <w:rFonts w:ascii="Arial" w:hAnsi="Arial" w:cs="Arial"/>
          <w:sz w:val="20"/>
          <w:szCs w:val="20"/>
          <w:lang w:val="pl-PL"/>
        </w:rPr>
        <w:t xml:space="preserve"> staje się konkurencyjnym kosztowo </w:t>
      </w:r>
      <w:proofErr w:type="spellStart"/>
      <w:r w:rsidR="000D2296" w:rsidRPr="000D2296">
        <w:rPr>
          <w:rFonts w:ascii="Arial" w:hAnsi="Arial" w:cs="Arial"/>
          <w:sz w:val="20"/>
          <w:szCs w:val="20"/>
          <w:lang w:val="pl-PL"/>
        </w:rPr>
        <w:t>hubem</w:t>
      </w:r>
      <w:proofErr w:type="spellEnd"/>
      <w:r w:rsidR="000D2296" w:rsidRPr="000D2296">
        <w:rPr>
          <w:rFonts w:ascii="Arial" w:hAnsi="Arial" w:cs="Arial"/>
          <w:sz w:val="20"/>
          <w:szCs w:val="20"/>
          <w:lang w:val="pl-PL"/>
        </w:rPr>
        <w:t xml:space="preserve"> dla produkcji łopat i wież (wiatraków), a także punktem przeładunkowym dla morskich dostaw </w:t>
      </w:r>
      <w:proofErr w:type="spellStart"/>
      <w:r w:rsidR="000D2296" w:rsidRPr="000D2296">
        <w:rPr>
          <w:rFonts w:ascii="Arial" w:hAnsi="Arial" w:cs="Arial"/>
          <w:sz w:val="20"/>
          <w:szCs w:val="20"/>
          <w:lang w:val="pl-PL"/>
        </w:rPr>
        <w:t>offshore</w:t>
      </w:r>
      <w:proofErr w:type="spellEnd"/>
      <w:r w:rsidR="000D2296" w:rsidRPr="000D2296">
        <w:rPr>
          <w:rFonts w:ascii="Arial" w:hAnsi="Arial" w:cs="Arial"/>
          <w:sz w:val="20"/>
          <w:szCs w:val="20"/>
          <w:lang w:val="pl-PL"/>
        </w:rPr>
        <w:t xml:space="preserve"> na Bałtyku – szczególnie w rejonie Gdańska, Gdyni i Szczecina.</w:t>
      </w:r>
      <w:r w:rsidR="008123A1">
        <w:rPr>
          <w:rFonts w:ascii="Arial" w:hAnsi="Arial" w:cs="Arial"/>
          <w:sz w:val="20"/>
          <w:szCs w:val="20"/>
          <w:lang w:val="pl-PL"/>
        </w:rPr>
        <w:t xml:space="preserve"> </w:t>
      </w:r>
      <w:r w:rsidR="008123A1" w:rsidRPr="006F2A4A">
        <w:rPr>
          <w:rFonts w:ascii="Arial" w:hAnsi="Arial" w:cs="Arial"/>
          <w:sz w:val="20"/>
          <w:szCs w:val="20"/>
          <w:lang w:val="pl-PL"/>
        </w:rPr>
        <w:t>Skalę tych inwestycji obrazuje chociażby budżet programu rozwoju morskiej energetyki wiatrowej, który może sięgnąć nawet 360 mld PLN.</w:t>
      </w:r>
    </w:p>
    <w:p w14:paraId="47BCA898" w14:textId="3AB6866E" w:rsidR="000D2296" w:rsidRPr="000D2296" w:rsidRDefault="000D2296" w:rsidP="00AF6536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D2296">
        <w:rPr>
          <w:rFonts w:ascii="Arial" w:hAnsi="Arial" w:cs="Arial"/>
          <w:b/>
          <w:bCs/>
          <w:sz w:val="20"/>
          <w:szCs w:val="20"/>
          <w:lang w:val="pl-PL"/>
        </w:rPr>
        <w:t>Surowce krytyczne</w:t>
      </w:r>
    </w:p>
    <w:p w14:paraId="0BB87C9D" w14:textId="2ADDA8F4" w:rsidR="00A76CB3" w:rsidRPr="00A76CB3" w:rsidRDefault="00A76CB3" w:rsidP="000D2296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A76CB3">
        <w:rPr>
          <w:rFonts w:ascii="Arial" w:hAnsi="Arial" w:cs="Arial"/>
          <w:sz w:val="20"/>
          <w:szCs w:val="20"/>
          <w:lang w:val="pl-PL"/>
        </w:rPr>
        <w:t>Sektor surowców krytycznych odpowiada na rosnący popyt na zasoby o strategicznym znaczeniu, takie jak nikiel, lit czy pierwiastki ziem rzadkich, które są niezbędne w produkcji kluczowych technologii. Unijny akt w sprawie surowców krytycznych (</w:t>
      </w:r>
      <w:r w:rsidRPr="00A76CB3">
        <w:rPr>
          <w:rFonts w:ascii="Arial" w:hAnsi="Arial" w:cs="Arial"/>
          <w:i/>
          <w:iCs/>
          <w:sz w:val="20"/>
          <w:szCs w:val="20"/>
          <w:lang w:val="pl-PL"/>
        </w:rPr>
        <w:t>Critical Raw Materials Act</w:t>
      </w:r>
      <w:r w:rsidRPr="00A76CB3">
        <w:rPr>
          <w:rFonts w:ascii="Arial" w:hAnsi="Arial" w:cs="Arial"/>
          <w:sz w:val="20"/>
          <w:szCs w:val="20"/>
          <w:lang w:val="pl-PL"/>
        </w:rPr>
        <w:t>), który wszedł w życie w maju 2024 roku, wyznacza ambitne cele dla państw członkowskich. Do 2030 roku UE zamierza pozyskiwać ze złóż krajowych co najmniej 10% rocznego zużycia surowców, przetwarzać 40% i odzyskiwać 25% w ramach recyklingu. W tym kontekście Polska już teraz odgrywa kluczową rolę</w:t>
      </w:r>
      <w:r w:rsidR="00B05334">
        <w:rPr>
          <w:rFonts w:ascii="Arial" w:hAnsi="Arial" w:cs="Arial"/>
          <w:sz w:val="20"/>
          <w:szCs w:val="20"/>
          <w:lang w:val="pl-PL"/>
        </w:rPr>
        <w:t xml:space="preserve"> -</w:t>
      </w:r>
      <w:r w:rsidRPr="00A76CB3">
        <w:rPr>
          <w:rFonts w:ascii="Arial" w:hAnsi="Arial" w:cs="Arial"/>
          <w:sz w:val="20"/>
          <w:szCs w:val="20"/>
          <w:lang w:val="pl-PL"/>
        </w:rPr>
        <w:t xml:space="preserve"> szczególnie w ekosystemie baterii do pojazdów elektrycznych (EV). Nasz kraj jest jednym z wiodących w Europie </w:t>
      </w:r>
      <w:proofErr w:type="spellStart"/>
      <w:r w:rsidRPr="00A76CB3">
        <w:rPr>
          <w:rFonts w:ascii="Arial" w:hAnsi="Arial" w:cs="Arial"/>
          <w:sz w:val="20"/>
          <w:szCs w:val="20"/>
          <w:lang w:val="pl-PL"/>
        </w:rPr>
        <w:t>hubów</w:t>
      </w:r>
      <w:proofErr w:type="spellEnd"/>
      <w:r w:rsidRPr="00A76CB3">
        <w:rPr>
          <w:rFonts w:ascii="Arial" w:hAnsi="Arial" w:cs="Arial"/>
          <w:sz w:val="20"/>
          <w:szCs w:val="20"/>
          <w:lang w:val="pl-PL"/>
        </w:rPr>
        <w:t xml:space="preserve"> dla </w:t>
      </w:r>
      <w:proofErr w:type="spellStart"/>
      <w:r w:rsidRPr="00A76CB3">
        <w:rPr>
          <w:rFonts w:ascii="Arial" w:hAnsi="Arial" w:cs="Arial"/>
          <w:sz w:val="20"/>
          <w:szCs w:val="20"/>
          <w:lang w:val="pl-PL"/>
        </w:rPr>
        <w:t>gigafabryk</w:t>
      </w:r>
      <w:proofErr w:type="spellEnd"/>
      <w:r w:rsidRPr="00A76CB3">
        <w:rPr>
          <w:rFonts w:ascii="Arial" w:hAnsi="Arial" w:cs="Arial"/>
          <w:sz w:val="20"/>
          <w:szCs w:val="20"/>
          <w:lang w:val="pl-PL"/>
        </w:rPr>
        <w:t xml:space="preserve"> baterii, co naturalnie stymuluje rozwój zakładów recyklingu. Obiekty te, często lokalizowane w pobliżu głównych ośrodków produkcyjnych, mogą funkcjonować w standardowych obiektach przemysłowo-magazynowych, co otwiera nowe możliwości dla rynku nieruchomości.</w:t>
      </w:r>
    </w:p>
    <w:p w14:paraId="1713D0CC" w14:textId="3B2B8965" w:rsidR="000D2296" w:rsidRPr="000D2296" w:rsidRDefault="000D2296" w:rsidP="000D2296">
      <w:pPr>
        <w:tabs>
          <w:tab w:val="left" w:pos="5630"/>
        </w:tabs>
        <w:spacing w:line="240" w:lineRule="auto"/>
        <w:jc w:val="both"/>
        <w:rPr>
          <w:rFonts w:ascii="Arial" w:hAnsi="Arial" w:cs="Arial"/>
          <w:b/>
          <w:bCs/>
          <w:sz w:val="20"/>
          <w:szCs w:val="20"/>
          <w:lang w:val="pl-PL"/>
        </w:rPr>
      </w:pPr>
      <w:r w:rsidRPr="000D2296">
        <w:rPr>
          <w:rFonts w:ascii="Arial" w:hAnsi="Arial" w:cs="Arial"/>
          <w:b/>
          <w:bCs/>
          <w:sz w:val="20"/>
          <w:szCs w:val="20"/>
          <w:lang w:val="pl-PL"/>
        </w:rPr>
        <w:t xml:space="preserve">Life </w:t>
      </w:r>
      <w:proofErr w:type="spellStart"/>
      <w:r w:rsidRPr="000D2296">
        <w:rPr>
          <w:rFonts w:ascii="Arial" w:hAnsi="Arial" w:cs="Arial"/>
          <w:b/>
          <w:bCs/>
          <w:sz w:val="20"/>
          <w:szCs w:val="20"/>
          <w:lang w:val="pl-PL"/>
        </w:rPr>
        <w:t>sciences</w:t>
      </w:r>
      <w:proofErr w:type="spellEnd"/>
    </w:p>
    <w:p w14:paraId="4F012B30" w14:textId="77777777" w:rsidR="00F218F2" w:rsidRPr="009A2552" w:rsidRDefault="00F218F2" w:rsidP="00F218F2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552">
        <w:rPr>
          <w:rFonts w:ascii="Arial" w:hAnsi="Arial" w:cs="Arial"/>
          <w:sz w:val="20"/>
          <w:szCs w:val="20"/>
          <w:lang w:val="pl-PL"/>
        </w:rPr>
        <w:t xml:space="preserve">Sektor </w:t>
      </w:r>
      <w:r w:rsidRPr="009A2552">
        <w:rPr>
          <w:rFonts w:ascii="Arial" w:hAnsi="Arial" w:cs="Arial"/>
          <w:i/>
          <w:iCs/>
          <w:sz w:val="20"/>
          <w:szCs w:val="20"/>
          <w:lang w:val="pl-PL"/>
        </w:rPr>
        <w:t xml:space="preserve">life </w:t>
      </w:r>
      <w:proofErr w:type="spellStart"/>
      <w:r w:rsidRPr="009A2552">
        <w:rPr>
          <w:rFonts w:ascii="Arial" w:hAnsi="Arial" w:cs="Arial"/>
          <w:i/>
          <w:iCs/>
          <w:sz w:val="20"/>
          <w:szCs w:val="20"/>
          <w:lang w:val="pl-PL"/>
        </w:rPr>
        <w:t>sciences</w:t>
      </w:r>
      <w:proofErr w:type="spellEnd"/>
      <w:r w:rsidRPr="009A2552">
        <w:rPr>
          <w:rFonts w:ascii="Arial" w:hAnsi="Arial" w:cs="Arial"/>
          <w:sz w:val="20"/>
          <w:szCs w:val="20"/>
          <w:lang w:val="pl-PL"/>
        </w:rPr>
        <w:t xml:space="preserve"> jest jednym z priorytetów dla Unii Europejskiej, której strategie koncentrują się na wspieraniu badań, rozwoju produkcji i zwiększaniu odporności łańcuchów dostaw (Life Science Strategy </w:t>
      </w:r>
      <w:proofErr w:type="spellStart"/>
      <w:r w:rsidRPr="009A2552">
        <w:rPr>
          <w:rFonts w:ascii="Arial" w:hAnsi="Arial" w:cs="Arial"/>
          <w:sz w:val="20"/>
          <w:szCs w:val="20"/>
          <w:lang w:val="pl-PL"/>
        </w:rPr>
        <w:t>whitepaper</w:t>
      </w:r>
      <w:proofErr w:type="spellEnd"/>
      <w:r w:rsidRPr="009A2552">
        <w:rPr>
          <w:rFonts w:ascii="Arial" w:hAnsi="Arial" w:cs="Arial"/>
          <w:sz w:val="20"/>
          <w:szCs w:val="20"/>
          <w:lang w:val="pl-PL"/>
        </w:rPr>
        <w:t xml:space="preserve">, lipiec 2025). W Polsce głównym ośrodkiem tych zmian jest klaster Warszawa-Łódź, rozwijający się jako centrum badawczo-rozwojowe z rosnącym potencjałem produkcyjnym. </w:t>
      </w:r>
    </w:p>
    <w:p w14:paraId="56B14E65" w14:textId="5D64E8D8" w:rsidR="00B9285B" w:rsidRPr="006F2A4A" w:rsidRDefault="00F218F2" w:rsidP="000D2296">
      <w:pPr>
        <w:tabs>
          <w:tab w:val="left" w:pos="5630"/>
        </w:tabs>
        <w:spacing w:line="240" w:lineRule="auto"/>
        <w:jc w:val="both"/>
        <w:rPr>
          <w:rFonts w:ascii="Arial" w:hAnsi="Arial" w:cs="Arial"/>
          <w:sz w:val="20"/>
          <w:szCs w:val="20"/>
          <w:lang w:val="pl-PL"/>
        </w:rPr>
      </w:pPr>
      <w:r w:rsidRPr="009A2552">
        <w:rPr>
          <w:rFonts w:ascii="Arial" w:hAnsi="Arial" w:cs="Arial"/>
          <w:sz w:val="20"/>
          <w:szCs w:val="20"/>
          <w:lang w:val="pl-PL"/>
        </w:rPr>
        <w:t>Dla rynku nieruchomości oznacza to rosnący popyt na dwa kluczowe typy obiektów: wyspecjalizowane zakłady produkcyjne (GMP) oraz nowoczesne centra logistyczne (GDP). Wraz z rozwojem zaawansowanych leków i terapii coraz większe znaczenie zyskują zwłaszcza powierzchnie obsługujące łańcuch chłodniczy.</w:t>
      </w:r>
    </w:p>
    <w:p w14:paraId="0A7B490B" w14:textId="42AE0233" w:rsidR="007B1347" w:rsidRPr="000635DD" w:rsidRDefault="007B1347" w:rsidP="00564B2D">
      <w:pPr>
        <w:tabs>
          <w:tab w:val="left" w:pos="5630"/>
        </w:tabs>
        <w:jc w:val="center"/>
        <w:rPr>
          <w:rFonts w:ascii="Arial" w:hAnsi="Arial" w:cs="Arial"/>
          <w:bCs/>
          <w:sz w:val="20"/>
          <w:szCs w:val="20"/>
          <w:lang w:val="pl-PL"/>
        </w:rPr>
      </w:pPr>
      <w:r w:rsidRPr="000635DD">
        <w:rPr>
          <w:noProof/>
          <w:lang w:val="pl-PL"/>
        </w:rPr>
        <w:lastRenderedPageBreak/>
        <w:drawing>
          <wp:inline distT="0" distB="0" distL="0" distR="0" wp14:anchorId="45B6556A" wp14:editId="073CA071">
            <wp:extent cx="4046220" cy="2679780"/>
            <wp:effectExtent l="0" t="0" r="0" b="6350"/>
            <wp:docPr id="1020328391" name="Picture 1" descr="A map of europe with different colored countries/regi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28391" name="Picture 1" descr="A map of europe with different colored countries/regions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96929" cy="2713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8EF7D2" w14:textId="4CA7571A" w:rsidR="008942DD" w:rsidRPr="000635DD" w:rsidRDefault="008942DD" w:rsidP="00564B2D">
      <w:pPr>
        <w:tabs>
          <w:tab w:val="left" w:pos="5630"/>
        </w:tabs>
        <w:jc w:val="center"/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</w:pPr>
      <w:r w:rsidRPr="000635DD"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  <w:t>-</w:t>
      </w:r>
      <w:r w:rsidR="009C1CAB" w:rsidRPr="000635DD"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  <w:t>KONIEC</w:t>
      </w:r>
      <w:r w:rsidRPr="000635DD">
        <w:rPr>
          <w:rFonts w:ascii="Arial" w:eastAsia="Microsoft JhengHei" w:hAnsi="Arial" w:cs="Arial"/>
          <w:b/>
          <w:color w:val="4E5050"/>
          <w:sz w:val="20"/>
          <w:szCs w:val="20"/>
          <w:lang w:val="pl-PL"/>
        </w:rPr>
        <w:t>-</w:t>
      </w:r>
    </w:p>
    <w:p w14:paraId="54817A36" w14:textId="71FBCEEB" w:rsidR="00C939A3" w:rsidRPr="000635DD" w:rsidRDefault="009C1CAB" w:rsidP="00564B2D">
      <w:pPr>
        <w:rPr>
          <w:rFonts w:ascii="Arial" w:hAnsi="Arial" w:cs="Arial"/>
          <w:sz w:val="18"/>
          <w:szCs w:val="18"/>
          <w:lang w:val="pl-PL"/>
        </w:rPr>
      </w:pPr>
      <w:r w:rsidRPr="000635DD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pl-PL"/>
        </w:rPr>
        <w:t>O</w:t>
      </w:r>
      <w:r w:rsidR="001E5EDD" w:rsidRPr="000635DD"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pl-PL"/>
        </w:rPr>
        <w:t xml:space="preserve"> Cushman &amp; Wakefield </w:t>
      </w:r>
      <w:r w:rsidR="001E5EDD" w:rsidRPr="000635DD">
        <w:rPr>
          <w:rFonts w:ascii="Arial" w:hAnsi="Arial" w:cs="Arial"/>
          <w:b/>
          <w:bCs/>
          <w:sz w:val="18"/>
          <w:szCs w:val="18"/>
          <w:lang w:val="pl-PL"/>
        </w:rPr>
        <w:br/>
      </w:r>
      <w:r w:rsidR="006C4363" w:rsidRPr="000635DD">
        <w:rPr>
          <w:rFonts w:ascii="Arial" w:hAnsi="Arial" w:cs="Arial"/>
          <w:sz w:val="18"/>
          <w:szCs w:val="18"/>
          <w:lang w:val="pl-PL"/>
        </w:rPr>
        <w:t>Cushman &amp; Wakefield (NYSE: CWK) jest wiodącą na świecie firmą świadczącą usługi na rzecz właścicieli i najemców nieruchomości komercyjnych. Zatrudnia ok. 52 tys. pracowników w niemal 400 biurach i 60 krajach na całym świecie. W 2024 roku jej przychody wyniosły 9,4 mld USD. Do najważniejszych usług świadczonych przez firmę należą m.in. zarządzanie nieruchomościami, obiektami i projektami, pośrednictwo w wynajmie powierzchni, obsługa transakcji na rynkach kapitałowych oraz wyceny. Za nieustanne dążenie do doskonałości zgodnie z zasadą </w:t>
      </w:r>
      <w:proofErr w:type="spellStart"/>
      <w:r w:rsidR="006C4363" w:rsidRPr="000635DD">
        <w:rPr>
          <w:rFonts w:ascii="Arial" w:hAnsi="Arial" w:cs="Arial"/>
          <w:i/>
          <w:iCs/>
          <w:sz w:val="18"/>
          <w:szCs w:val="18"/>
          <w:lang w:val="pl-PL"/>
        </w:rPr>
        <w:t>Better</w:t>
      </w:r>
      <w:proofErr w:type="spellEnd"/>
      <w:r w:rsidR="006C4363" w:rsidRPr="000635DD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="006C4363" w:rsidRPr="000635DD">
        <w:rPr>
          <w:rFonts w:ascii="Arial" w:hAnsi="Arial" w:cs="Arial"/>
          <w:i/>
          <w:iCs/>
          <w:sz w:val="18"/>
          <w:szCs w:val="18"/>
          <w:lang w:val="pl-PL"/>
        </w:rPr>
        <w:t>never</w:t>
      </w:r>
      <w:proofErr w:type="spellEnd"/>
      <w:r w:rsidR="006C4363" w:rsidRPr="000635DD">
        <w:rPr>
          <w:rFonts w:ascii="Arial" w:hAnsi="Arial" w:cs="Arial"/>
          <w:i/>
          <w:iCs/>
          <w:sz w:val="18"/>
          <w:szCs w:val="18"/>
          <w:lang w:val="pl-PL"/>
        </w:rPr>
        <w:t xml:space="preserve"> </w:t>
      </w:r>
      <w:proofErr w:type="spellStart"/>
      <w:r w:rsidR="006C4363" w:rsidRPr="000635DD">
        <w:rPr>
          <w:rFonts w:ascii="Arial" w:hAnsi="Arial" w:cs="Arial"/>
          <w:i/>
          <w:iCs/>
          <w:sz w:val="18"/>
          <w:szCs w:val="18"/>
          <w:lang w:val="pl-PL"/>
        </w:rPr>
        <w:t>settles</w:t>
      </w:r>
      <w:proofErr w:type="spellEnd"/>
      <w:r w:rsidR="006C4363" w:rsidRPr="000635DD">
        <w:rPr>
          <w:rFonts w:ascii="Arial" w:hAnsi="Arial" w:cs="Arial"/>
          <w:sz w:val="18"/>
          <w:szCs w:val="18"/>
          <w:lang w:val="pl-PL"/>
        </w:rPr>
        <w:t> Cushman &amp; Wakefield otrzymuje wiele wyróżnień oraz nagród w konkursach branżowych i biznesowych. Dodatkowe informacje na stronie</w:t>
      </w:r>
      <w:r w:rsidR="006C4363" w:rsidRPr="000635DD">
        <w:rPr>
          <w:sz w:val="16"/>
          <w:szCs w:val="16"/>
          <w:lang w:val="pl-PL"/>
        </w:rPr>
        <w:t> </w:t>
      </w:r>
      <w:hyperlink r:id="rId9" w:tgtFrame="_blank" w:tooltip="http://www.cushmanwakefield.com/" w:history="1">
        <w:r w:rsidR="00C939A3" w:rsidRPr="000635DD">
          <w:rPr>
            <w:rStyle w:val="Hipercze"/>
            <w:rFonts w:ascii="Arial" w:hAnsi="Arial" w:cs="Arial"/>
            <w:sz w:val="18"/>
            <w:szCs w:val="18"/>
            <w:lang w:val="pl-PL"/>
          </w:rPr>
          <w:t>www.cushmanwakefield.com</w:t>
        </w:r>
      </w:hyperlink>
      <w:r w:rsidR="00C939A3" w:rsidRPr="000635DD">
        <w:rPr>
          <w:rFonts w:ascii="Arial" w:hAnsi="Arial" w:cs="Arial"/>
          <w:sz w:val="18"/>
          <w:szCs w:val="18"/>
          <w:lang w:val="pl-PL"/>
        </w:rPr>
        <w:t>.</w:t>
      </w:r>
    </w:p>
    <w:p w14:paraId="4964727D" w14:textId="063A45C8" w:rsidR="009D7EBB" w:rsidRPr="000635DD" w:rsidRDefault="009D7EBB" w:rsidP="0004779C">
      <w:pPr>
        <w:pStyle w:val="NormalnyWeb"/>
        <w:rPr>
          <w:rFonts w:ascii="Arial" w:hAnsi="Arial" w:cs="Arial"/>
          <w:b/>
          <w:bCs/>
          <w:sz w:val="20"/>
          <w:szCs w:val="20"/>
          <w:bdr w:val="none" w:sz="0" w:space="0" w:color="auto" w:frame="1"/>
          <w:shd w:val="clear" w:color="auto" w:fill="FFFFFF"/>
          <w:lang w:val="pl-PL"/>
        </w:rPr>
      </w:pPr>
    </w:p>
    <w:p w14:paraId="280C5F18" w14:textId="2D890C96" w:rsidR="001E5EDD" w:rsidRPr="000635DD" w:rsidRDefault="001E5EDD" w:rsidP="001E5EDD">
      <w:pPr>
        <w:spacing w:after="120" w:line="288" w:lineRule="auto"/>
        <w:rPr>
          <w:rFonts w:ascii="Arial" w:eastAsiaTheme="minorHAnsi" w:hAnsi="Arial" w:cs="Arial"/>
          <w:sz w:val="18"/>
          <w:szCs w:val="18"/>
          <w:lang w:val="pl-PL"/>
        </w:rPr>
      </w:pPr>
    </w:p>
    <w:p w14:paraId="4AB07F79" w14:textId="77777777" w:rsidR="00753BBA" w:rsidRPr="000635DD" w:rsidRDefault="00753BBA">
      <w:pPr>
        <w:rPr>
          <w:lang w:val="pl-PL"/>
        </w:rPr>
      </w:pPr>
    </w:p>
    <w:sectPr w:rsidR="00753BBA" w:rsidRPr="000635DD" w:rsidSect="001E5EDD">
      <w:headerReference w:type="default" r:id="rId10"/>
      <w:footerReference w:type="default" r:id="rId11"/>
      <w:headerReference w:type="first" r:id="rId12"/>
      <w:footerReference w:type="first" r:id="rId13"/>
      <w:pgSz w:w="11909" w:h="16834" w:code="9"/>
      <w:pgMar w:top="3600" w:right="1008" w:bottom="2880" w:left="1224" w:header="180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3ABC0" w14:textId="77777777" w:rsidR="003E539A" w:rsidRDefault="003E539A" w:rsidP="001E5EDD">
      <w:pPr>
        <w:spacing w:after="0" w:line="240" w:lineRule="auto"/>
      </w:pPr>
      <w:r>
        <w:separator/>
      </w:r>
    </w:p>
  </w:endnote>
  <w:endnote w:type="continuationSeparator" w:id="0">
    <w:p w14:paraId="532998A8" w14:textId="77777777" w:rsidR="003E539A" w:rsidRDefault="003E539A" w:rsidP="001E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67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70"/>
    </w:tblGrid>
    <w:tr w:rsidR="002B653E" w:rsidRPr="00F27BA6" w14:paraId="7077B96D" w14:textId="77777777" w:rsidTr="00A30D8E">
      <w:trPr>
        <w:trHeight w:val="1260"/>
      </w:trPr>
      <w:tc>
        <w:tcPr>
          <w:tcW w:w="5670" w:type="dxa"/>
          <w:vAlign w:val="bottom"/>
        </w:tcPr>
        <w:p w14:paraId="57945FB9" w14:textId="449AFCD9" w:rsidR="00104CC1" w:rsidRPr="001E5EDD" w:rsidRDefault="007F75D4" w:rsidP="002B653E">
          <w:pPr>
            <w:pStyle w:val="ContactName"/>
            <w:rPr>
              <w:rFonts w:ascii="Arial" w:hAnsi="Arial" w:cs="Arial"/>
              <w:color w:val="696B6B"/>
              <w:szCs w:val="18"/>
            </w:rPr>
          </w:pPr>
          <w:r>
            <w:rPr>
              <w:rFonts w:ascii="Arial" w:hAnsi="Arial" w:cs="Arial"/>
              <w:color w:val="696B6B"/>
              <w:szCs w:val="18"/>
            </w:rPr>
            <w:t>Lauren</w:t>
          </w:r>
          <w:r w:rsidR="00104CC1" w:rsidRPr="001E5EDD">
            <w:rPr>
              <w:rFonts w:ascii="Arial" w:hAnsi="Arial" w:cs="Arial"/>
              <w:color w:val="696B6B"/>
              <w:szCs w:val="18"/>
            </w:rPr>
            <w:t xml:space="preserve"> </w:t>
          </w:r>
          <w:r>
            <w:rPr>
              <w:rFonts w:ascii="Arial" w:hAnsi="Arial" w:cs="Arial"/>
              <w:color w:val="696B6B"/>
              <w:szCs w:val="18"/>
            </w:rPr>
            <w:t>Joselyn</w:t>
          </w:r>
        </w:p>
        <w:p w14:paraId="722927BA" w14:textId="1DBEF968" w:rsidR="00104CC1" w:rsidRPr="001E5EDD" w:rsidRDefault="007F75D4" w:rsidP="002B653E">
          <w:pPr>
            <w:pStyle w:val="ContactDetail"/>
            <w:rPr>
              <w:rFonts w:ascii="Arial" w:hAnsi="Arial" w:cs="Arial"/>
              <w:color w:val="696B6B"/>
              <w:szCs w:val="18"/>
            </w:rPr>
          </w:pPr>
          <w:r>
            <w:rPr>
              <w:rFonts w:ascii="Arial" w:hAnsi="Arial" w:cs="Arial"/>
              <w:color w:val="696B6B"/>
              <w:szCs w:val="18"/>
            </w:rPr>
            <w:t>Associate Director,</w:t>
          </w:r>
          <w:r w:rsidR="00104CC1" w:rsidRPr="001E5EDD">
            <w:rPr>
              <w:rFonts w:ascii="Arial" w:hAnsi="Arial" w:cs="Arial"/>
              <w:color w:val="696B6B"/>
              <w:szCs w:val="18"/>
            </w:rPr>
            <w:t xml:space="preserve"> Communications</w:t>
          </w:r>
        </w:p>
        <w:p w14:paraId="3845771C" w14:textId="77777777" w:rsidR="007F75D4" w:rsidRPr="001E5EDD" w:rsidRDefault="007F75D4" w:rsidP="007F75D4">
          <w:pPr>
            <w:spacing w:after="0" w:line="216" w:lineRule="atLeast"/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</w:pPr>
          <w:r w:rsidRPr="001E5EDD"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 xml:space="preserve">+44(0)203 296 </w:t>
          </w:r>
          <w:r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>3034</w:t>
          </w:r>
        </w:p>
        <w:p w14:paraId="253B56A5" w14:textId="5BF74390" w:rsidR="00104CC1" w:rsidRPr="001E5EDD" w:rsidRDefault="007F75D4" w:rsidP="007F75D4">
          <w:pPr>
            <w:pStyle w:val="ContactDetail"/>
            <w:rPr>
              <w:rFonts w:ascii="Arial" w:hAnsi="Arial" w:cs="Arial"/>
              <w:color w:val="4E5050"/>
              <w:lang w:val="es-ES_tradnl"/>
            </w:rPr>
          </w:pPr>
          <w:hyperlink r:id="rId1" w:history="1">
            <w:r>
              <w:rPr>
                <w:rFonts w:ascii="Arial" w:hAnsi="Arial" w:cs="Arial"/>
                <w:color w:val="0093B2"/>
                <w:szCs w:val="18"/>
                <w:u w:val="single"/>
                <w:lang w:val="es-ES_tradnl"/>
              </w:rPr>
              <w:t>lauren.joselyn@cushwake.com</w:t>
            </w:r>
          </w:hyperlink>
        </w:p>
      </w:tc>
    </w:tr>
  </w:tbl>
  <w:p w14:paraId="3C11815C" w14:textId="77777777" w:rsidR="00104CC1" w:rsidRDefault="00104CC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3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5"/>
      <w:gridCol w:w="3065"/>
    </w:tblGrid>
    <w:tr w:rsidR="001E5EDD" w:rsidRPr="001E5EDD" w14:paraId="0D5F9232" w14:textId="77777777" w:rsidTr="00AE6F33">
      <w:trPr>
        <w:trHeight w:val="650"/>
      </w:trPr>
      <w:tc>
        <w:tcPr>
          <w:tcW w:w="6130" w:type="dxa"/>
          <w:gridSpan w:val="2"/>
          <w:vAlign w:val="bottom"/>
        </w:tcPr>
        <w:p w14:paraId="3896D469" w14:textId="63CDBD8F" w:rsidR="001E5EDD" w:rsidRPr="001E5EDD" w:rsidRDefault="009C1CAB" w:rsidP="001E5EDD">
          <w:pPr>
            <w:keepNext/>
            <w:keepLines/>
            <w:spacing w:after="100" w:line="240" w:lineRule="atLeast"/>
            <w:outlineLvl w:val="1"/>
            <w:rPr>
              <w:rFonts w:ascii="Arial" w:eastAsia="Times New Roman" w:hAnsi="Arial" w:cs="Arial"/>
              <w:b/>
              <w:bCs/>
              <w:caps/>
              <w:color w:val="4E5050"/>
              <w:sz w:val="18"/>
              <w:szCs w:val="26"/>
              <w:lang w:eastAsia="en-GB"/>
            </w:rPr>
          </w:pPr>
          <w:r w:rsidRPr="009C1CAB">
            <w:rPr>
              <w:rFonts w:ascii="Arial" w:eastAsia="Times New Roman" w:hAnsi="Arial" w:cs="Arial"/>
              <w:b/>
              <w:bCs/>
              <w:color w:val="4E5050"/>
              <w:sz w:val="18"/>
              <w:szCs w:val="26"/>
              <w:lang w:val="pl-PL" w:eastAsia="en-GB"/>
            </w:rPr>
            <w:t>Dodatkowe informacje</w:t>
          </w:r>
          <w:r w:rsidR="001E5EDD" w:rsidRPr="001E5EDD">
            <w:rPr>
              <w:rFonts w:ascii="Arial" w:eastAsia="Times New Roman" w:hAnsi="Arial" w:cs="Arial"/>
              <w:b/>
              <w:bCs/>
              <w:color w:val="4E5050"/>
              <w:sz w:val="18"/>
              <w:szCs w:val="26"/>
              <w:lang w:eastAsia="en-GB"/>
            </w:rPr>
            <w:t>:</w:t>
          </w:r>
        </w:p>
      </w:tc>
    </w:tr>
    <w:tr w:rsidR="001E5EDD" w:rsidRPr="001E5EDD" w14:paraId="76C3C1CA" w14:textId="77777777" w:rsidTr="00AE6F33">
      <w:trPr>
        <w:trHeight w:val="1300"/>
      </w:trPr>
      <w:tc>
        <w:tcPr>
          <w:tcW w:w="3065" w:type="dxa"/>
          <w:vAlign w:val="bottom"/>
        </w:tcPr>
        <w:p w14:paraId="267837AC" w14:textId="7B6642F0" w:rsidR="001E5EDD" w:rsidRPr="001E5EDD" w:rsidRDefault="00AE6F33" w:rsidP="001E5EDD">
          <w:pPr>
            <w:keepNext/>
            <w:keepLines/>
            <w:spacing w:after="0" w:line="216" w:lineRule="atLeast"/>
            <w:outlineLvl w:val="2"/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</w:pPr>
          <w:r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  <w:t>Lauren</w:t>
          </w:r>
          <w:r w:rsidR="001E5EDD" w:rsidRPr="001E5EDD"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color w:val="696B6B"/>
              <w:sz w:val="18"/>
              <w:szCs w:val="18"/>
              <w:lang w:eastAsia="en-GB"/>
            </w:rPr>
            <w:t>Joselyn</w:t>
          </w:r>
        </w:p>
        <w:p w14:paraId="6CFC7B1A" w14:textId="331BBF84" w:rsidR="001E5EDD" w:rsidRPr="001E5EDD" w:rsidRDefault="00AE6F33" w:rsidP="001E5EDD">
          <w:pPr>
            <w:spacing w:after="0" w:line="216" w:lineRule="atLeast"/>
            <w:rPr>
              <w:rFonts w:ascii="Arial" w:eastAsia="Times New Roman" w:hAnsi="Arial" w:cs="Arial"/>
              <w:color w:val="696B6B"/>
              <w:sz w:val="18"/>
              <w:szCs w:val="18"/>
              <w:lang w:eastAsia="en-GB"/>
            </w:rPr>
          </w:pPr>
          <w:r>
            <w:rPr>
              <w:rFonts w:ascii="Arial" w:eastAsia="Times New Roman" w:hAnsi="Arial" w:cs="Arial"/>
              <w:color w:val="696B6B"/>
              <w:sz w:val="18"/>
              <w:szCs w:val="18"/>
              <w:lang w:eastAsia="en-GB"/>
            </w:rPr>
            <w:t>Associate Director,</w:t>
          </w:r>
          <w:r w:rsidR="001E5EDD" w:rsidRPr="001E5EDD">
            <w:rPr>
              <w:rFonts w:ascii="Arial" w:eastAsia="Times New Roman" w:hAnsi="Arial" w:cs="Arial"/>
              <w:color w:val="696B6B"/>
              <w:sz w:val="18"/>
              <w:szCs w:val="18"/>
              <w:lang w:eastAsia="en-GB"/>
            </w:rPr>
            <w:t xml:space="preserve"> Communications</w:t>
          </w:r>
        </w:p>
        <w:p w14:paraId="2D0B8870" w14:textId="17618848" w:rsidR="001E5EDD" w:rsidRPr="001E5EDD" w:rsidRDefault="001E5EDD" w:rsidP="001E5EDD">
          <w:pPr>
            <w:spacing w:after="0" w:line="216" w:lineRule="atLeast"/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</w:pPr>
          <w:r w:rsidRPr="001E5EDD"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 xml:space="preserve">+44(0)203 296 </w:t>
          </w:r>
          <w:r w:rsidR="00AE6F33">
            <w:rPr>
              <w:rFonts w:ascii="Arial" w:eastAsia="Times New Roman" w:hAnsi="Arial" w:cs="Arial"/>
              <w:color w:val="696B6B"/>
              <w:sz w:val="18"/>
              <w:szCs w:val="18"/>
              <w:lang w:val="es-ES_tradnl" w:eastAsia="en-GB"/>
            </w:rPr>
            <w:t>3034</w:t>
          </w:r>
        </w:p>
        <w:p w14:paraId="2E7DEB0F" w14:textId="2D36CE02" w:rsidR="001E5EDD" w:rsidRPr="001E5EDD" w:rsidRDefault="00AE6F33" w:rsidP="001E5EDD">
          <w:pPr>
            <w:spacing w:after="0" w:line="216" w:lineRule="atLeast"/>
            <w:rPr>
              <w:rFonts w:ascii="Arial" w:eastAsia="Times New Roman" w:hAnsi="Arial" w:cs="Arial"/>
              <w:color w:val="4E5050"/>
              <w:sz w:val="18"/>
              <w:szCs w:val="18"/>
              <w:lang w:eastAsia="en-GB"/>
            </w:rPr>
          </w:pPr>
          <w:hyperlink r:id="rId1" w:history="1">
            <w:r>
              <w:rPr>
                <w:rFonts w:ascii="Arial" w:eastAsia="Times New Roman" w:hAnsi="Arial" w:cs="Arial"/>
                <w:color w:val="0093B2"/>
                <w:sz w:val="18"/>
                <w:szCs w:val="18"/>
                <w:u w:val="single"/>
                <w:lang w:val="es-ES_tradnl" w:eastAsia="en-GB"/>
              </w:rPr>
              <w:t>lauren.joselyn@cushwake.com</w:t>
            </w:r>
          </w:hyperlink>
        </w:p>
      </w:tc>
      <w:tc>
        <w:tcPr>
          <w:tcW w:w="3065" w:type="dxa"/>
          <w:vAlign w:val="bottom"/>
        </w:tcPr>
        <w:p w14:paraId="2FAF6508" w14:textId="77777777" w:rsidR="001E5EDD" w:rsidRPr="001E5EDD" w:rsidRDefault="001E5EDD" w:rsidP="001E5EDD">
          <w:pPr>
            <w:spacing w:after="0" w:line="216" w:lineRule="atLeast"/>
            <w:rPr>
              <w:rFonts w:ascii="Arial" w:eastAsia="Times New Roman" w:hAnsi="Arial" w:cs="Arial"/>
              <w:color w:val="4E5050"/>
              <w:sz w:val="18"/>
              <w:szCs w:val="18"/>
              <w:lang w:val="es-ES_tradnl" w:eastAsia="en-GB"/>
            </w:rPr>
          </w:pPr>
        </w:p>
      </w:tc>
    </w:tr>
  </w:tbl>
  <w:p w14:paraId="054AD49B" w14:textId="22808C65" w:rsidR="00104CC1" w:rsidRDefault="00104CC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9DBE5" w14:textId="77777777" w:rsidR="003E539A" w:rsidRDefault="003E539A" w:rsidP="001E5EDD">
      <w:pPr>
        <w:spacing w:after="0" w:line="240" w:lineRule="auto"/>
      </w:pPr>
      <w:r>
        <w:separator/>
      </w:r>
    </w:p>
  </w:footnote>
  <w:footnote w:type="continuationSeparator" w:id="0">
    <w:p w14:paraId="713B4F22" w14:textId="77777777" w:rsidR="003E539A" w:rsidRDefault="003E539A" w:rsidP="001E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A93B" w14:textId="77777777" w:rsidR="00104CC1" w:rsidRDefault="00104CC1">
    <w:pPr>
      <w:pStyle w:val="Nagwek"/>
    </w:pPr>
    <w:r>
      <w:rPr>
        <w:noProof/>
        <w:lang w:eastAsia="en-GB"/>
      </w:rPr>
      <w:drawing>
        <wp:inline distT="0" distB="0" distL="0" distR="0" wp14:anchorId="60C9C53F" wp14:editId="37A0F607">
          <wp:extent cx="2303780" cy="484505"/>
          <wp:effectExtent l="0" t="0" r="1270" b="0"/>
          <wp:docPr id="1" name="Picture 1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61A27B" w14:textId="77777777" w:rsidR="00104CC1" w:rsidRDefault="00104CC1">
    <w:pPr>
      <w:pStyle w:val="Nagwek"/>
    </w:pPr>
    <w:r>
      <w:rPr>
        <w:noProof/>
        <w:lang w:eastAsia="en-GB"/>
      </w:rPr>
      <w:drawing>
        <wp:inline distT="0" distB="0" distL="0" distR="0" wp14:anchorId="350B32DA" wp14:editId="09AA938A">
          <wp:extent cx="2303780" cy="484505"/>
          <wp:effectExtent l="0" t="0" r="1270" b="0"/>
          <wp:docPr id="6" name="Picture 6" descr="E:\CW REBRAND\Assets\CW Logo Suite\Cushman &amp; Wakefield\CW_Logo_PMS.em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E:\CW REBRAND\Assets\CW Logo Suite\Cushman &amp; Wakefield\CW_Logo_PMS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3780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14A10"/>
    <w:multiLevelType w:val="hybridMultilevel"/>
    <w:tmpl w:val="37FC0D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B665F2"/>
    <w:multiLevelType w:val="hybridMultilevel"/>
    <w:tmpl w:val="8918E0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3299484">
    <w:abstractNumId w:val="0"/>
  </w:num>
  <w:num w:numId="2" w16cid:durableId="1798839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EDD"/>
    <w:rsid w:val="00000C93"/>
    <w:rsid w:val="00000F4A"/>
    <w:rsid w:val="00005CD2"/>
    <w:rsid w:val="00011442"/>
    <w:rsid w:val="00012840"/>
    <w:rsid w:val="00013335"/>
    <w:rsid w:val="00013865"/>
    <w:rsid w:val="00021209"/>
    <w:rsid w:val="000212B3"/>
    <w:rsid w:val="00024A05"/>
    <w:rsid w:val="00026690"/>
    <w:rsid w:val="000323DC"/>
    <w:rsid w:val="000333B4"/>
    <w:rsid w:val="00034007"/>
    <w:rsid w:val="000350F0"/>
    <w:rsid w:val="000356E5"/>
    <w:rsid w:val="00036A2A"/>
    <w:rsid w:val="000406F3"/>
    <w:rsid w:val="00041425"/>
    <w:rsid w:val="00042896"/>
    <w:rsid w:val="00043285"/>
    <w:rsid w:val="00043B30"/>
    <w:rsid w:val="00043EAE"/>
    <w:rsid w:val="000455BC"/>
    <w:rsid w:val="0004601A"/>
    <w:rsid w:val="00046BEA"/>
    <w:rsid w:val="0004779C"/>
    <w:rsid w:val="00050727"/>
    <w:rsid w:val="0005114A"/>
    <w:rsid w:val="0005180B"/>
    <w:rsid w:val="00054A8D"/>
    <w:rsid w:val="00054F64"/>
    <w:rsid w:val="000573ED"/>
    <w:rsid w:val="000635DD"/>
    <w:rsid w:val="00063657"/>
    <w:rsid w:val="00063FB9"/>
    <w:rsid w:val="00066B0F"/>
    <w:rsid w:val="00067DF5"/>
    <w:rsid w:val="00073663"/>
    <w:rsid w:val="00073B6F"/>
    <w:rsid w:val="00074043"/>
    <w:rsid w:val="000771E8"/>
    <w:rsid w:val="0008356E"/>
    <w:rsid w:val="0008538D"/>
    <w:rsid w:val="0008596F"/>
    <w:rsid w:val="00085B48"/>
    <w:rsid w:val="00090DBB"/>
    <w:rsid w:val="00092FC6"/>
    <w:rsid w:val="00094145"/>
    <w:rsid w:val="00094EC8"/>
    <w:rsid w:val="00095A14"/>
    <w:rsid w:val="000963C3"/>
    <w:rsid w:val="00096A79"/>
    <w:rsid w:val="00097CE1"/>
    <w:rsid w:val="000A1B60"/>
    <w:rsid w:val="000A20A4"/>
    <w:rsid w:val="000A5FE1"/>
    <w:rsid w:val="000A7549"/>
    <w:rsid w:val="000B06F0"/>
    <w:rsid w:val="000B1C0E"/>
    <w:rsid w:val="000C57AE"/>
    <w:rsid w:val="000C7D1A"/>
    <w:rsid w:val="000D2296"/>
    <w:rsid w:val="000D44B7"/>
    <w:rsid w:val="000D5E49"/>
    <w:rsid w:val="000E1A9A"/>
    <w:rsid w:val="000E34DA"/>
    <w:rsid w:val="000E4554"/>
    <w:rsid w:val="000E495D"/>
    <w:rsid w:val="000E5416"/>
    <w:rsid w:val="000E7C24"/>
    <w:rsid w:val="000F54BD"/>
    <w:rsid w:val="000F6D55"/>
    <w:rsid w:val="000F7D93"/>
    <w:rsid w:val="00103A95"/>
    <w:rsid w:val="001042E2"/>
    <w:rsid w:val="00104CC1"/>
    <w:rsid w:val="00107265"/>
    <w:rsid w:val="00111A8D"/>
    <w:rsid w:val="00113343"/>
    <w:rsid w:val="00120858"/>
    <w:rsid w:val="0012179A"/>
    <w:rsid w:val="001228D0"/>
    <w:rsid w:val="001239A3"/>
    <w:rsid w:val="0012426A"/>
    <w:rsid w:val="00124F66"/>
    <w:rsid w:val="00125331"/>
    <w:rsid w:val="001253E7"/>
    <w:rsid w:val="00125C7E"/>
    <w:rsid w:val="00133CC5"/>
    <w:rsid w:val="00136D9E"/>
    <w:rsid w:val="00137803"/>
    <w:rsid w:val="00141E66"/>
    <w:rsid w:val="00143878"/>
    <w:rsid w:val="001450BD"/>
    <w:rsid w:val="001464A7"/>
    <w:rsid w:val="00150579"/>
    <w:rsid w:val="001536EB"/>
    <w:rsid w:val="00153CFF"/>
    <w:rsid w:val="0015560A"/>
    <w:rsid w:val="00157D03"/>
    <w:rsid w:val="001611CD"/>
    <w:rsid w:val="0016146A"/>
    <w:rsid w:val="00162A4D"/>
    <w:rsid w:val="00163E7F"/>
    <w:rsid w:val="001669DD"/>
    <w:rsid w:val="001678C1"/>
    <w:rsid w:val="00177E61"/>
    <w:rsid w:val="001801FD"/>
    <w:rsid w:val="0018383E"/>
    <w:rsid w:val="00186FCF"/>
    <w:rsid w:val="001875CE"/>
    <w:rsid w:val="0019065F"/>
    <w:rsid w:val="00191B4C"/>
    <w:rsid w:val="00192D24"/>
    <w:rsid w:val="001A00E0"/>
    <w:rsid w:val="001A2B7F"/>
    <w:rsid w:val="001A5B65"/>
    <w:rsid w:val="001A6AB7"/>
    <w:rsid w:val="001A7F10"/>
    <w:rsid w:val="001B0E39"/>
    <w:rsid w:val="001C43FD"/>
    <w:rsid w:val="001C6023"/>
    <w:rsid w:val="001C6965"/>
    <w:rsid w:val="001D35D4"/>
    <w:rsid w:val="001D590D"/>
    <w:rsid w:val="001D5B31"/>
    <w:rsid w:val="001E0786"/>
    <w:rsid w:val="001E2A27"/>
    <w:rsid w:val="001E50FF"/>
    <w:rsid w:val="001E5EDD"/>
    <w:rsid w:val="001F090C"/>
    <w:rsid w:val="001F11AF"/>
    <w:rsid w:val="001F1B0E"/>
    <w:rsid w:val="001F2AC6"/>
    <w:rsid w:val="001F59EA"/>
    <w:rsid w:val="001F6A93"/>
    <w:rsid w:val="001F6D52"/>
    <w:rsid w:val="001F7EC7"/>
    <w:rsid w:val="00205906"/>
    <w:rsid w:val="00207082"/>
    <w:rsid w:val="002073DD"/>
    <w:rsid w:val="00207ED2"/>
    <w:rsid w:val="00210943"/>
    <w:rsid w:val="00211ECF"/>
    <w:rsid w:val="00212C61"/>
    <w:rsid w:val="00212E69"/>
    <w:rsid w:val="00214C8B"/>
    <w:rsid w:val="0021616E"/>
    <w:rsid w:val="00217570"/>
    <w:rsid w:val="00220ED6"/>
    <w:rsid w:val="002241B6"/>
    <w:rsid w:val="00224E25"/>
    <w:rsid w:val="0023061F"/>
    <w:rsid w:val="0023077B"/>
    <w:rsid w:val="002307E9"/>
    <w:rsid w:val="00230AA1"/>
    <w:rsid w:val="00231CA5"/>
    <w:rsid w:val="00232FA2"/>
    <w:rsid w:val="00235A51"/>
    <w:rsid w:val="002362E8"/>
    <w:rsid w:val="002402F3"/>
    <w:rsid w:val="00240B68"/>
    <w:rsid w:val="0024757B"/>
    <w:rsid w:val="002520C8"/>
    <w:rsid w:val="0025326B"/>
    <w:rsid w:val="00253F83"/>
    <w:rsid w:val="0025581A"/>
    <w:rsid w:val="00255D1D"/>
    <w:rsid w:val="0025717C"/>
    <w:rsid w:val="002623AE"/>
    <w:rsid w:val="00264853"/>
    <w:rsid w:val="00265F4C"/>
    <w:rsid w:val="00271E84"/>
    <w:rsid w:val="00271EB7"/>
    <w:rsid w:val="00273344"/>
    <w:rsid w:val="00275DDB"/>
    <w:rsid w:val="00285E30"/>
    <w:rsid w:val="00286AF2"/>
    <w:rsid w:val="00287BFF"/>
    <w:rsid w:val="002902B4"/>
    <w:rsid w:val="00290356"/>
    <w:rsid w:val="00292854"/>
    <w:rsid w:val="002A02D1"/>
    <w:rsid w:val="002A2422"/>
    <w:rsid w:val="002A309B"/>
    <w:rsid w:val="002A6017"/>
    <w:rsid w:val="002A6C9E"/>
    <w:rsid w:val="002A6D47"/>
    <w:rsid w:val="002A758A"/>
    <w:rsid w:val="002B1032"/>
    <w:rsid w:val="002B1149"/>
    <w:rsid w:val="002B4862"/>
    <w:rsid w:val="002C0B55"/>
    <w:rsid w:val="002D13FE"/>
    <w:rsid w:val="002D330A"/>
    <w:rsid w:val="002D4863"/>
    <w:rsid w:val="002D691E"/>
    <w:rsid w:val="002E130B"/>
    <w:rsid w:val="002E31B3"/>
    <w:rsid w:val="002E406E"/>
    <w:rsid w:val="002E77BB"/>
    <w:rsid w:val="002E79F5"/>
    <w:rsid w:val="002F1393"/>
    <w:rsid w:val="002F44AA"/>
    <w:rsid w:val="002F7DDA"/>
    <w:rsid w:val="00300041"/>
    <w:rsid w:val="00300069"/>
    <w:rsid w:val="003012C2"/>
    <w:rsid w:val="00302139"/>
    <w:rsid w:val="00302CF9"/>
    <w:rsid w:val="00304E79"/>
    <w:rsid w:val="0030508F"/>
    <w:rsid w:val="00305E12"/>
    <w:rsid w:val="00307233"/>
    <w:rsid w:val="0030762E"/>
    <w:rsid w:val="00307A6B"/>
    <w:rsid w:val="00311A10"/>
    <w:rsid w:val="00312512"/>
    <w:rsid w:val="00313481"/>
    <w:rsid w:val="00315413"/>
    <w:rsid w:val="003218FF"/>
    <w:rsid w:val="003231E4"/>
    <w:rsid w:val="00323819"/>
    <w:rsid w:val="003327B7"/>
    <w:rsid w:val="003328C9"/>
    <w:rsid w:val="0033312B"/>
    <w:rsid w:val="003345CD"/>
    <w:rsid w:val="00334FFA"/>
    <w:rsid w:val="0033539C"/>
    <w:rsid w:val="00335D72"/>
    <w:rsid w:val="00336388"/>
    <w:rsid w:val="003407AF"/>
    <w:rsid w:val="00341BA8"/>
    <w:rsid w:val="00342214"/>
    <w:rsid w:val="003428AD"/>
    <w:rsid w:val="00345E0B"/>
    <w:rsid w:val="00351FDE"/>
    <w:rsid w:val="003524FB"/>
    <w:rsid w:val="00355189"/>
    <w:rsid w:val="003563A7"/>
    <w:rsid w:val="003607EF"/>
    <w:rsid w:val="00360801"/>
    <w:rsid w:val="0036096F"/>
    <w:rsid w:val="0036108A"/>
    <w:rsid w:val="003615BD"/>
    <w:rsid w:val="00363DD2"/>
    <w:rsid w:val="00364595"/>
    <w:rsid w:val="00371815"/>
    <w:rsid w:val="00372123"/>
    <w:rsid w:val="00384061"/>
    <w:rsid w:val="00384618"/>
    <w:rsid w:val="0038749D"/>
    <w:rsid w:val="00390796"/>
    <w:rsid w:val="003926DD"/>
    <w:rsid w:val="00393076"/>
    <w:rsid w:val="003A120F"/>
    <w:rsid w:val="003A1210"/>
    <w:rsid w:val="003A1973"/>
    <w:rsid w:val="003A33F6"/>
    <w:rsid w:val="003A39F6"/>
    <w:rsid w:val="003A64F5"/>
    <w:rsid w:val="003B175A"/>
    <w:rsid w:val="003B2CA2"/>
    <w:rsid w:val="003B422E"/>
    <w:rsid w:val="003B4FF7"/>
    <w:rsid w:val="003B7EF3"/>
    <w:rsid w:val="003C0B24"/>
    <w:rsid w:val="003C269E"/>
    <w:rsid w:val="003C314C"/>
    <w:rsid w:val="003C3194"/>
    <w:rsid w:val="003C52CD"/>
    <w:rsid w:val="003C564D"/>
    <w:rsid w:val="003C5F45"/>
    <w:rsid w:val="003C648A"/>
    <w:rsid w:val="003D2458"/>
    <w:rsid w:val="003D2BAF"/>
    <w:rsid w:val="003D308D"/>
    <w:rsid w:val="003D401A"/>
    <w:rsid w:val="003D752C"/>
    <w:rsid w:val="003E1027"/>
    <w:rsid w:val="003E5345"/>
    <w:rsid w:val="003E539A"/>
    <w:rsid w:val="003E589F"/>
    <w:rsid w:val="003F0FC5"/>
    <w:rsid w:val="003F3DAA"/>
    <w:rsid w:val="003F52D5"/>
    <w:rsid w:val="004061C8"/>
    <w:rsid w:val="00407F82"/>
    <w:rsid w:val="00411ECD"/>
    <w:rsid w:val="00416A91"/>
    <w:rsid w:val="0041774F"/>
    <w:rsid w:val="004213D3"/>
    <w:rsid w:val="004225A1"/>
    <w:rsid w:val="00423C3D"/>
    <w:rsid w:val="00424812"/>
    <w:rsid w:val="004270C7"/>
    <w:rsid w:val="004277BF"/>
    <w:rsid w:val="00427F8B"/>
    <w:rsid w:val="004306F2"/>
    <w:rsid w:val="00431594"/>
    <w:rsid w:val="00441081"/>
    <w:rsid w:val="004419E5"/>
    <w:rsid w:val="00442916"/>
    <w:rsid w:val="0044367D"/>
    <w:rsid w:val="00444018"/>
    <w:rsid w:val="00452D1D"/>
    <w:rsid w:val="00454F17"/>
    <w:rsid w:val="0046146A"/>
    <w:rsid w:val="00465CA8"/>
    <w:rsid w:val="00465FD5"/>
    <w:rsid w:val="0047106D"/>
    <w:rsid w:val="00473673"/>
    <w:rsid w:val="00474D39"/>
    <w:rsid w:val="00476E28"/>
    <w:rsid w:val="0048015C"/>
    <w:rsid w:val="00483155"/>
    <w:rsid w:val="004832B8"/>
    <w:rsid w:val="00483735"/>
    <w:rsid w:val="00491082"/>
    <w:rsid w:val="004929C2"/>
    <w:rsid w:val="00492FFB"/>
    <w:rsid w:val="00494895"/>
    <w:rsid w:val="004A004C"/>
    <w:rsid w:val="004A184E"/>
    <w:rsid w:val="004A1E3E"/>
    <w:rsid w:val="004A234C"/>
    <w:rsid w:val="004A436E"/>
    <w:rsid w:val="004A6BF4"/>
    <w:rsid w:val="004B0C40"/>
    <w:rsid w:val="004B2F8E"/>
    <w:rsid w:val="004B4382"/>
    <w:rsid w:val="004B50A2"/>
    <w:rsid w:val="004B6530"/>
    <w:rsid w:val="004B76E2"/>
    <w:rsid w:val="004C074D"/>
    <w:rsid w:val="004C17A8"/>
    <w:rsid w:val="004C3958"/>
    <w:rsid w:val="004C451C"/>
    <w:rsid w:val="004C58AF"/>
    <w:rsid w:val="004D0D62"/>
    <w:rsid w:val="004D1D1D"/>
    <w:rsid w:val="004D33F0"/>
    <w:rsid w:val="004D77AA"/>
    <w:rsid w:val="004E3EB3"/>
    <w:rsid w:val="004E3EC1"/>
    <w:rsid w:val="004F1918"/>
    <w:rsid w:val="004F5383"/>
    <w:rsid w:val="004F5B26"/>
    <w:rsid w:val="004F68D4"/>
    <w:rsid w:val="00500D5D"/>
    <w:rsid w:val="00501023"/>
    <w:rsid w:val="00501878"/>
    <w:rsid w:val="00501DCD"/>
    <w:rsid w:val="00502A3F"/>
    <w:rsid w:val="005078C0"/>
    <w:rsid w:val="00512AA5"/>
    <w:rsid w:val="00513283"/>
    <w:rsid w:val="00520179"/>
    <w:rsid w:val="00523854"/>
    <w:rsid w:val="00524F25"/>
    <w:rsid w:val="00526186"/>
    <w:rsid w:val="0053060C"/>
    <w:rsid w:val="00530E91"/>
    <w:rsid w:val="00531E0E"/>
    <w:rsid w:val="00533679"/>
    <w:rsid w:val="00552CE0"/>
    <w:rsid w:val="00553ECA"/>
    <w:rsid w:val="005549F5"/>
    <w:rsid w:val="00554BCE"/>
    <w:rsid w:val="005561A0"/>
    <w:rsid w:val="005605F6"/>
    <w:rsid w:val="00560EE8"/>
    <w:rsid w:val="005636C9"/>
    <w:rsid w:val="00564B2D"/>
    <w:rsid w:val="005652EE"/>
    <w:rsid w:val="00565C51"/>
    <w:rsid w:val="00567367"/>
    <w:rsid w:val="00567505"/>
    <w:rsid w:val="00571511"/>
    <w:rsid w:val="00572B4F"/>
    <w:rsid w:val="00573A94"/>
    <w:rsid w:val="00575F56"/>
    <w:rsid w:val="00580824"/>
    <w:rsid w:val="005851EC"/>
    <w:rsid w:val="00587040"/>
    <w:rsid w:val="00593A86"/>
    <w:rsid w:val="0059521E"/>
    <w:rsid w:val="005A07FA"/>
    <w:rsid w:val="005A08D7"/>
    <w:rsid w:val="005A1530"/>
    <w:rsid w:val="005A17C7"/>
    <w:rsid w:val="005A59E0"/>
    <w:rsid w:val="005A5EC2"/>
    <w:rsid w:val="005A6D96"/>
    <w:rsid w:val="005B0ACA"/>
    <w:rsid w:val="005B0B3E"/>
    <w:rsid w:val="005B0F82"/>
    <w:rsid w:val="005C506E"/>
    <w:rsid w:val="005C5D90"/>
    <w:rsid w:val="005E3168"/>
    <w:rsid w:val="005E6C67"/>
    <w:rsid w:val="005F59FB"/>
    <w:rsid w:val="006001FD"/>
    <w:rsid w:val="006022DF"/>
    <w:rsid w:val="00604C6E"/>
    <w:rsid w:val="00605ADC"/>
    <w:rsid w:val="006116AA"/>
    <w:rsid w:val="00613E77"/>
    <w:rsid w:val="00614B4B"/>
    <w:rsid w:val="006160F6"/>
    <w:rsid w:val="006176E6"/>
    <w:rsid w:val="00622096"/>
    <w:rsid w:val="006221DC"/>
    <w:rsid w:val="00623527"/>
    <w:rsid w:val="00624DA7"/>
    <w:rsid w:val="00634891"/>
    <w:rsid w:val="00636A3D"/>
    <w:rsid w:val="00636B0D"/>
    <w:rsid w:val="0063729C"/>
    <w:rsid w:val="00637C82"/>
    <w:rsid w:val="00637EA3"/>
    <w:rsid w:val="00641B09"/>
    <w:rsid w:val="00643A5C"/>
    <w:rsid w:val="00643C9C"/>
    <w:rsid w:val="00644486"/>
    <w:rsid w:val="0064475F"/>
    <w:rsid w:val="00644C4B"/>
    <w:rsid w:val="00653ECA"/>
    <w:rsid w:val="00654188"/>
    <w:rsid w:val="00655C00"/>
    <w:rsid w:val="00657799"/>
    <w:rsid w:val="006578F1"/>
    <w:rsid w:val="00657CDF"/>
    <w:rsid w:val="00657D96"/>
    <w:rsid w:val="00663849"/>
    <w:rsid w:val="00663AE4"/>
    <w:rsid w:val="00663F64"/>
    <w:rsid w:val="00666EC8"/>
    <w:rsid w:val="00667142"/>
    <w:rsid w:val="00667E57"/>
    <w:rsid w:val="00670C24"/>
    <w:rsid w:val="006721D5"/>
    <w:rsid w:val="00674C62"/>
    <w:rsid w:val="0067627A"/>
    <w:rsid w:val="00677CBF"/>
    <w:rsid w:val="006860BC"/>
    <w:rsid w:val="0068736C"/>
    <w:rsid w:val="0069341F"/>
    <w:rsid w:val="006951B2"/>
    <w:rsid w:val="0069759E"/>
    <w:rsid w:val="006A31C7"/>
    <w:rsid w:val="006A4E16"/>
    <w:rsid w:val="006A4E1D"/>
    <w:rsid w:val="006A7DFA"/>
    <w:rsid w:val="006B20E4"/>
    <w:rsid w:val="006B6114"/>
    <w:rsid w:val="006B616B"/>
    <w:rsid w:val="006B6934"/>
    <w:rsid w:val="006B7769"/>
    <w:rsid w:val="006C0910"/>
    <w:rsid w:val="006C2C01"/>
    <w:rsid w:val="006C4363"/>
    <w:rsid w:val="006C6561"/>
    <w:rsid w:val="006C66BE"/>
    <w:rsid w:val="006C689B"/>
    <w:rsid w:val="006D2071"/>
    <w:rsid w:val="006D235F"/>
    <w:rsid w:val="006D58CB"/>
    <w:rsid w:val="006D5ED6"/>
    <w:rsid w:val="006D6797"/>
    <w:rsid w:val="006E0B83"/>
    <w:rsid w:val="006E1086"/>
    <w:rsid w:val="006E14FF"/>
    <w:rsid w:val="006E3C1B"/>
    <w:rsid w:val="006E47DB"/>
    <w:rsid w:val="006E65F4"/>
    <w:rsid w:val="006E782D"/>
    <w:rsid w:val="006F2A4A"/>
    <w:rsid w:val="006F7E3A"/>
    <w:rsid w:val="006F7F0A"/>
    <w:rsid w:val="00701CA3"/>
    <w:rsid w:val="0070289B"/>
    <w:rsid w:val="00702974"/>
    <w:rsid w:val="0070348C"/>
    <w:rsid w:val="0070379F"/>
    <w:rsid w:val="00704F12"/>
    <w:rsid w:val="00710A02"/>
    <w:rsid w:val="00713483"/>
    <w:rsid w:val="00715614"/>
    <w:rsid w:val="00715907"/>
    <w:rsid w:val="00717BFD"/>
    <w:rsid w:val="007209C0"/>
    <w:rsid w:val="00722946"/>
    <w:rsid w:val="007230F7"/>
    <w:rsid w:val="00723DAD"/>
    <w:rsid w:val="00727FD1"/>
    <w:rsid w:val="00731ECB"/>
    <w:rsid w:val="0073562B"/>
    <w:rsid w:val="00741592"/>
    <w:rsid w:val="00744588"/>
    <w:rsid w:val="0074498C"/>
    <w:rsid w:val="00745287"/>
    <w:rsid w:val="00746CB9"/>
    <w:rsid w:val="0075021B"/>
    <w:rsid w:val="00752A1D"/>
    <w:rsid w:val="00753BBA"/>
    <w:rsid w:val="007555D8"/>
    <w:rsid w:val="007561AC"/>
    <w:rsid w:val="007612AE"/>
    <w:rsid w:val="00766792"/>
    <w:rsid w:val="0076748F"/>
    <w:rsid w:val="0077366C"/>
    <w:rsid w:val="0077466F"/>
    <w:rsid w:val="007748E0"/>
    <w:rsid w:val="007812EF"/>
    <w:rsid w:val="007832E6"/>
    <w:rsid w:val="00784D28"/>
    <w:rsid w:val="00791DB6"/>
    <w:rsid w:val="00793174"/>
    <w:rsid w:val="007952B0"/>
    <w:rsid w:val="007968A0"/>
    <w:rsid w:val="007A071A"/>
    <w:rsid w:val="007A1E2C"/>
    <w:rsid w:val="007A4EBC"/>
    <w:rsid w:val="007A5D86"/>
    <w:rsid w:val="007B0966"/>
    <w:rsid w:val="007B1347"/>
    <w:rsid w:val="007B1AC0"/>
    <w:rsid w:val="007B36BB"/>
    <w:rsid w:val="007B3E07"/>
    <w:rsid w:val="007B3E09"/>
    <w:rsid w:val="007B4796"/>
    <w:rsid w:val="007B5688"/>
    <w:rsid w:val="007B5BAB"/>
    <w:rsid w:val="007C522E"/>
    <w:rsid w:val="007C5E3F"/>
    <w:rsid w:val="007C7C31"/>
    <w:rsid w:val="007E6FAB"/>
    <w:rsid w:val="007E7797"/>
    <w:rsid w:val="007E7BCE"/>
    <w:rsid w:val="007F3ED7"/>
    <w:rsid w:val="007F4A4D"/>
    <w:rsid w:val="007F75D4"/>
    <w:rsid w:val="0080203F"/>
    <w:rsid w:val="008032FE"/>
    <w:rsid w:val="00803E7D"/>
    <w:rsid w:val="00804C2E"/>
    <w:rsid w:val="00807186"/>
    <w:rsid w:val="008123A1"/>
    <w:rsid w:val="008201F2"/>
    <w:rsid w:val="008238A2"/>
    <w:rsid w:val="00825576"/>
    <w:rsid w:val="00826C10"/>
    <w:rsid w:val="0084065B"/>
    <w:rsid w:val="008438D1"/>
    <w:rsid w:val="0084599A"/>
    <w:rsid w:val="00850F56"/>
    <w:rsid w:val="00854AE9"/>
    <w:rsid w:val="00856B11"/>
    <w:rsid w:val="00857607"/>
    <w:rsid w:val="00860B09"/>
    <w:rsid w:val="0086487D"/>
    <w:rsid w:val="008667E6"/>
    <w:rsid w:val="00866D74"/>
    <w:rsid w:val="008814F8"/>
    <w:rsid w:val="00887E9B"/>
    <w:rsid w:val="00893B0A"/>
    <w:rsid w:val="008942DD"/>
    <w:rsid w:val="0089612D"/>
    <w:rsid w:val="00896B94"/>
    <w:rsid w:val="0089770F"/>
    <w:rsid w:val="008A1306"/>
    <w:rsid w:val="008A6905"/>
    <w:rsid w:val="008A7559"/>
    <w:rsid w:val="008B3B7C"/>
    <w:rsid w:val="008B4EE8"/>
    <w:rsid w:val="008C0EC5"/>
    <w:rsid w:val="008C1454"/>
    <w:rsid w:val="008C4A94"/>
    <w:rsid w:val="008C6487"/>
    <w:rsid w:val="008D0E65"/>
    <w:rsid w:val="008D2C30"/>
    <w:rsid w:val="008D38FC"/>
    <w:rsid w:val="008D5371"/>
    <w:rsid w:val="008D705A"/>
    <w:rsid w:val="008D7291"/>
    <w:rsid w:val="008E018F"/>
    <w:rsid w:val="008E08FE"/>
    <w:rsid w:val="008E0DED"/>
    <w:rsid w:val="008E4001"/>
    <w:rsid w:val="008E4607"/>
    <w:rsid w:val="008F12B2"/>
    <w:rsid w:val="008F1F80"/>
    <w:rsid w:val="008F50F0"/>
    <w:rsid w:val="00900B01"/>
    <w:rsid w:val="00902F95"/>
    <w:rsid w:val="00906B4C"/>
    <w:rsid w:val="0091037F"/>
    <w:rsid w:val="00916D79"/>
    <w:rsid w:val="0091777B"/>
    <w:rsid w:val="00917E42"/>
    <w:rsid w:val="00920450"/>
    <w:rsid w:val="009213E5"/>
    <w:rsid w:val="00921D12"/>
    <w:rsid w:val="00922A32"/>
    <w:rsid w:val="0092308E"/>
    <w:rsid w:val="009246B2"/>
    <w:rsid w:val="00924705"/>
    <w:rsid w:val="00932377"/>
    <w:rsid w:val="009410BB"/>
    <w:rsid w:val="00944623"/>
    <w:rsid w:val="0095039F"/>
    <w:rsid w:val="00954D0B"/>
    <w:rsid w:val="00954F60"/>
    <w:rsid w:val="00955879"/>
    <w:rsid w:val="00957089"/>
    <w:rsid w:val="00961934"/>
    <w:rsid w:val="00963FC0"/>
    <w:rsid w:val="00964630"/>
    <w:rsid w:val="00965135"/>
    <w:rsid w:val="0096636D"/>
    <w:rsid w:val="00966DDD"/>
    <w:rsid w:val="00974DFC"/>
    <w:rsid w:val="0097642E"/>
    <w:rsid w:val="009803DD"/>
    <w:rsid w:val="009823B4"/>
    <w:rsid w:val="00983BF9"/>
    <w:rsid w:val="00986332"/>
    <w:rsid w:val="009905C8"/>
    <w:rsid w:val="00990879"/>
    <w:rsid w:val="00993B14"/>
    <w:rsid w:val="00994C3D"/>
    <w:rsid w:val="0099648B"/>
    <w:rsid w:val="009975A5"/>
    <w:rsid w:val="009A196E"/>
    <w:rsid w:val="009A2552"/>
    <w:rsid w:val="009A2A48"/>
    <w:rsid w:val="009A5E3B"/>
    <w:rsid w:val="009B13A4"/>
    <w:rsid w:val="009B1F50"/>
    <w:rsid w:val="009B2ECF"/>
    <w:rsid w:val="009B3666"/>
    <w:rsid w:val="009B4540"/>
    <w:rsid w:val="009B503A"/>
    <w:rsid w:val="009B567E"/>
    <w:rsid w:val="009B6EDD"/>
    <w:rsid w:val="009C0D31"/>
    <w:rsid w:val="009C1CAB"/>
    <w:rsid w:val="009C2FD3"/>
    <w:rsid w:val="009C323E"/>
    <w:rsid w:val="009C339F"/>
    <w:rsid w:val="009C409E"/>
    <w:rsid w:val="009C58F3"/>
    <w:rsid w:val="009C6A00"/>
    <w:rsid w:val="009D0783"/>
    <w:rsid w:val="009D3944"/>
    <w:rsid w:val="009D6313"/>
    <w:rsid w:val="009D7E4B"/>
    <w:rsid w:val="009D7EBB"/>
    <w:rsid w:val="009E1335"/>
    <w:rsid w:val="009E1AE9"/>
    <w:rsid w:val="009E1F0B"/>
    <w:rsid w:val="009E3E68"/>
    <w:rsid w:val="009E3EF3"/>
    <w:rsid w:val="009E4455"/>
    <w:rsid w:val="009E5295"/>
    <w:rsid w:val="009E583C"/>
    <w:rsid w:val="009E6064"/>
    <w:rsid w:val="009F6B4C"/>
    <w:rsid w:val="009F7859"/>
    <w:rsid w:val="009F7D5B"/>
    <w:rsid w:val="00A00113"/>
    <w:rsid w:val="00A00F20"/>
    <w:rsid w:val="00A01BE8"/>
    <w:rsid w:val="00A06B3A"/>
    <w:rsid w:val="00A1134C"/>
    <w:rsid w:val="00A140FF"/>
    <w:rsid w:val="00A162F1"/>
    <w:rsid w:val="00A1660E"/>
    <w:rsid w:val="00A21AB4"/>
    <w:rsid w:val="00A31FE8"/>
    <w:rsid w:val="00A346F0"/>
    <w:rsid w:val="00A3C333"/>
    <w:rsid w:val="00A40CE1"/>
    <w:rsid w:val="00A41DB4"/>
    <w:rsid w:val="00A45C59"/>
    <w:rsid w:val="00A462EB"/>
    <w:rsid w:val="00A4730C"/>
    <w:rsid w:val="00A53608"/>
    <w:rsid w:val="00A537FC"/>
    <w:rsid w:val="00A575D6"/>
    <w:rsid w:val="00A57679"/>
    <w:rsid w:val="00A57EEE"/>
    <w:rsid w:val="00A62B67"/>
    <w:rsid w:val="00A6394D"/>
    <w:rsid w:val="00A63A12"/>
    <w:rsid w:val="00A66148"/>
    <w:rsid w:val="00A6618F"/>
    <w:rsid w:val="00A71701"/>
    <w:rsid w:val="00A71D5A"/>
    <w:rsid w:val="00A73D5A"/>
    <w:rsid w:val="00A752E1"/>
    <w:rsid w:val="00A76071"/>
    <w:rsid w:val="00A76CB3"/>
    <w:rsid w:val="00A80E0A"/>
    <w:rsid w:val="00A84824"/>
    <w:rsid w:val="00A84A94"/>
    <w:rsid w:val="00A85F3E"/>
    <w:rsid w:val="00A96E83"/>
    <w:rsid w:val="00A9716E"/>
    <w:rsid w:val="00AA622E"/>
    <w:rsid w:val="00AB1746"/>
    <w:rsid w:val="00AB193F"/>
    <w:rsid w:val="00AB1D73"/>
    <w:rsid w:val="00AB2F2D"/>
    <w:rsid w:val="00AB30BE"/>
    <w:rsid w:val="00AB3F69"/>
    <w:rsid w:val="00AB7B7D"/>
    <w:rsid w:val="00AC226C"/>
    <w:rsid w:val="00AC30B8"/>
    <w:rsid w:val="00AC7436"/>
    <w:rsid w:val="00AD03C2"/>
    <w:rsid w:val="00AD16C0"/>
    <w:rsid w:val="00AD1D26"/>
    <w:rsid w:val="00AD2692"/>
    <w:rsid w:val="00AD587E"/>
    <w:rsid w:val="00AD5BAD"/>
    <w:rsid w:val="00AD7293"/>
    <w:rsid w:val="00AE0565"/>
    <w:rsid w:val="00AE3136"/>
    <w:rsid w:val="00AE3897"/>
    <w:rsid w:val="00AE637D"/>
    <w:rsid w:val="00AE6F33"/>
    <w:rsid w:val="00AE7566"/>
    <w:rsid w:val="00AF03E2"/>
    <w:rsid w:val="00AF04D8"/>
    <w:rsid w:val="00AF4016"/>
    <w:rsid w:val="00AF485D"/>
    <w:rsid w:val="00AF6536"/>
    <w:rsid w:val="00B00CD1"/>
    <w:rsid w:val="00B014A3"/>
    <w:rsid w:val="00B0310F"/>
    <w:rsid w:val="00B04913"/>
    <w:rsid w:val="00B04AB1"/>
    <w:rsid w:val="00B05334"/>
    <w:rsid w:val="00B055C2"/>
    <w:rsid w:val="00B05A0A"/>
    <w:rsid w:val="00B05C51"/>
    <w:rsid w:val="00B215A2"/>
    <w:rsid w:val="00B21A38"/>
    <w:rsid w:val="00B21F00"/>
    <w:rsid w:val="00B301DA"/>
    <w:rsid w:val="00B31C34"/>
    <w:rsid w:val="00B34392"/>
    <w:rsid w:val="00B35B50"/>
    <w:rsid w:val="00B423AE"/>
    <w:rsid w:val="00B4293A"/>
    <w:rsid w:val="00B42D4B"/>
    <w:rsid w:val="00B46F72"/>
    <w:rsid w:val="00B47561"/>
    <w:rsid w:val="00B5009A"/>
    <w:rsid w:val="00B51D28"/>
    <w:rsid w:val="00B52676"/>
    <w:rsid w:val="00B52DD9"/>
    <w:rsid w:val="00B54040"/>
    <w:rsid w:val="00B60C1D"/>
    <w:rsid w:val="00B63EBE"/>
    <w:rsid w:val="00B70056"/>
    <w:rsid w:val="00B7179F"/>
    <w:rsid w:val="00B74543"/>
    <w:rsid w:val="00B77338"/>
    <w:rsid w:val="00B812BE"/>
    <w:rsid w:val="00B81491"/>
    <w:rsid w:val="00B82F50"/>
    <w:rsid w:val="00B8347D"/>
    <w:rsid w:val="00B8735F"/>
    <w:rsid w:val="00B87363"/>
    <w:rsid w:val="00B877C4"/>
    <w:rsid w:val="00B9285B"/>
    <w:rsid w:val="00B92E6E"/>
    <w:rsid w:val="00B92EBE"/>
    <w:rsid w:val="00B934B8"/>
    <w:rsid w:val="00B970B7"/>
    <w:rsid w:val="00BA2349"/>
    <w:rsid w:val="00BA3BB4"/>
    <w:rsid w:val="00BA46B0"/>
    <w:rsid w:val="00BA6A50"/>
    <w:rsid w:val="00BB304B"/>
    <w:rsid w:val="00BB3CE0"/>
    <w:rsid w:val="00BB497A"/>
    <w:rsid w:val="00BB5CEA"/>
    <w:rsid w:val="00BC1274"/>
    <w:rsid w:val="00BC38E9"/>
    <w:rsid w:val="00BD0B84"/>
    <w:rsid w:val="00BD17B0"/>
    <w:rsid w:val="00BD2707"/>
    <w:rsid w:val="00BD3630"/>
    <w:rsid w:val="00BD5DB5"/>
    <w:rsid w:val="00BD5E1D"/>
    <w:rsid w:val="00BD78DE"/>
    <w:rsid w:val="00BE01E6"/>
    <w:rsid w:val="00BE181B"/>
    <w:rsid w:val="00BE277D"/>
    <w:rsid w:val="00BE2EA2"/>
    <w:rsid w:val="00BE60CF"/>
    <w:rsid w:val="00BE6994"/>
    <w:rsid w:val="00BF2659"/>
    <w:rsid w:val="00BF3EF4"/>
    <w:rsid w:val="00BF7FC8"/>
    <w:rsid w:val="00C00009"/>
    <w:rsid w:val="00C003D6"/>
    <w:rsid w:val="00C02A83"/>
    <w:rsid w:val="00C04C31"/>
    <w:rsid w:val="00C05714"/>
    <w:rsid w:val="00C058C0"/>
    <w:rsid w:val="00C06116"/>
    <w:rsid w:val="00C06933"/>
    <w:rsid w:val="00C0756C"/>
    <w:rsid w:val="00C07BCF"/>
    <w:rsid w:val="00C12D73"/>
    <w:rsid w:val="00C1349F"/>
    <w:rsid w:val="00C16C20"/>
    <w:rsid w:val="00C20CA6"/>
    <w:rsid w:val="00C22617"/>
    <w:rsid w:val="00C25164"/>
    <w:rsid w:val="00C25D77"/>
    <w:rsid w:val="00C31589"/>
    <w:rsid w:val="00C33B98"/>
    <w:rsid w:val="00C33BED"/>
    <w:rsid w:val="00C3451A"/>
    <w:rsid w:val="00C35B5F"/>
    <w:rsid w:val="00C371BB"/>
    <w:rsid w:val="00C41CF2"/>
    <w:rsid w:val="00C4237E"/>
    <w:rsid w:val="00C43831"/>
    <w:rsid w:val="00C44E24"/>
    <w:rsid w:val="00C51A6E"/>
    <w:rsid w:val="00C52A16"/>
    <w:rsid w:val="00C56965"/>
    <w:rsid w:val="00C57F59"/>
    <w:rsid w:val="00C663E1"/>
    <w:rsid w:val="00C668EB"/>
    <w:rsid w:val="00C70554"/>
    <w:rsid w:val="00C71C12"/>
    <w:rsid w:val="00C7362C"/>
    <w:rsid w:val="00C7459B"/>
    <w:rsid w:val="00C75081"/>
    <w:rsid w:val="00C8140F"/>
    <w:rsid w:val="00C81CF1"/>
    <w:rsid w:val="00C91486"/>
    <w:rsid w:val="00C91793"/>
    <w:rsid w:val="00C91E2C"/>
    <w:rsid w:val="00C93675"/>
    <w:rsid w:val="00C939A3"/>
    <w:rsid w:val="00C94DE3"/>
    <w:rsid w:val="00C95B33"/>
    <w:rsid w:val="00CB064B"/>
    <w:rsid w:val="00CB26E7"/>
    <w:rsid w:val="00CC14BA"/>
    <w:rsid w:val="00CC1F5C"/>
    <w:rsid w:val="00CC3507"/>
    <w:rsid w:val="00CC3AD5"/>
    <w:rsid w:val="00CC5830"/>
    <w:rsid w:val="00CC7088"/>
    <w:rsid w:val="00CD3529"/>
    <w:rsid w:val="00CD574C"/>
    <w:rsid w:val="00CD79C2"/>
    <w:rsid w:val="00CE0891"/>
    <w:rsid w:val="00CE1A2C"/>
    <w:rsid w:val="00CE1B39"/>
    <w:rsid w:val="00CE2879"/>
    <w:rsid w:val="00CE309D"/>
    <w:rsid w:val="00CE5DFB"/>
    <w:rsid w:val="00CE6B3F"/>
    <w:rsid w:val="00D015FC"/>
    <w:rsid w:val="00D07434"/>
    <w:rsid w:val="00D12A00"/>
    <w:rsid w:val="00D12EFA"/>
    <w:rsid w:val="00D14B54"/>
    <w:rsid w:val="00D16FD2"/>
    <w:rsid w:val="00D201B9"/>
    <w:rsid w:val="00D26997"/>
    <w:rsid w:val="00D3284D"/>
    <w:rsid w:val="00D347CC"/>
    <w:rsid w:val="00D36032"/>
    <w:rsid w:val="00D3745F"/>
    <w:rsid w:val="00D425BD"/>
    <w:rsid w:val="00D477E2"/>
    <w:rsid w:val="00D506D1"/>
    <w:rsid w:val="00D53F3F"/>
    <w:rsid w:val="00D54B20"/>
    <w:rsid w:val="00D556C2"/>
    <w:rsid w:val="00D573CD"/>
    <w:rsid w:val="00D577D9"/>
    <w:rsid w:val="00D61380"/>
    <w:rsid w:val="00D61A14"/>
    <w:rsid w:val="00D62BD6"/>
    <w:rsid w:val="00D63AC7"/>
    <w:rsid w:val="00D63D4D"/>
    <w:rsid w:val="00D66194"/>
    <w:rsid w:val="00D7264F"/>
    <w:rsid w:val="00D7318C"/>
    <w:rsid w:val="00D80B6A"/>
    <w:rsid w:val="00D80EC6"/>
    <w:rsid w:val="00D82502"/>
    <w:rsid w:val="00D904E2"/>
    <w:rsid w:val="00D90962"/>
    <w:rsid w:val="00D91C00"/>
    <w:rsid w:val="00D931CB"/>
    <w:rsid w:val="00D946BF"/>
    <w:rsid w:val="00D95C84"/>
    <w:rsid w:val="00DA1C75"/>
    <w:rsid w:val="00DA200D"/>
    <w:rsid w:val="00DA3388"/>
    <w:rsid w:val="00DA62C9"/>
    <w:rsid w:val="00DB24F0"/>
    <w:rsid w:val="00DB350C"/>
    <w:rsid w:val="00DB74D6"/>
    <w:rsid w:val="00DB7ED6"/>
    <w:rsid w:val="00DC048F"/>
    <w:rsid w:val="00DC1616"/>
    <w:rsid w:val="00DC29DF"/>
    <w:rsid w:val="00DC4C86"/>
    <w:rsid w:val="00DC4E66"/>
    <w:rsid w:val="00DC7472"/>
    <w:rsid w:val="00DD0AD0"/>
    <w:rsid w:val="00DD0EE0"/>
    <w:rsid w:val="00DD5495"/>
    <w:rsid w:val="00DD64F9"/>
    <w:rsid w:val="00DE1ACE"/>
    <w:rsid w:val="00DE1B6F"/>
    <w:rsid w:val="00DE4704"/>
    <w:rsid w:val="00DF0C3C"/>
    <w:rsid w:val="00DF208D"/>
    <w:rsid w:val="00DF20C2"/>
    <w:rsid w:val="00DF5939"/>
    <w:rsid w:val="00DF655A"/>
    <w:rsid w:val="00DF73D8"/>
    <w:rsid w:val="00E02536"/>
    <w:rsid w:val="00E03552"/>
    <w:rsid w:val="00E04EC4"/>
    <w:rsid w:val="00E138EB"/>
    <w:rsid w:val="00E13D5A"/>
    <w:rsid w:val="00E1556A"/>
    <w:rsid w:val="00E20A98"/>
    <w:rsid w:val="00E20D76"/>
    <w:rsid w:val="00E219E1"/>
    <w:rsid w:val="00E23636"/>
    <w:rsid w:val="00E25482"/>
    <w:rsid w:val="00E25BF6"/>
    <w:rsid w:val="00E260C8"/>
    <w:rsid w:val="00E265CD"/>
    <w:rsid w:val="00E2696F"/>
    <w:rsid w:val="00E274C2"/>
    <w:rsid w:val="00E27FA4"/>
    <w:rsid w:val="00E3332F"/>
    <w:rsid w:val="00E3591A"/>
    <w:rsid w:val="00E35A97"/>
    <w:rsid w:val="00E415F3"/>
    <w:rsid w:val="00E437F0"/>
    <w:rsid w:val="00E438D6"/>
    <w:rsid w:val="00E4568B"/>
    <w:rsid w:val="00E46EFF"/>
    <w:rsid w:val="00E5299C"/>
    <w:rsid w:val="00E54734"/>
    <w:rsid w:val="00E63767"/>
    <w:rsid w:val="00E6658E"/>
    <w:rsid w:val="00E67AD0"/>
    <w:rsid w:val="00E708A6"/>
    <w:rsid w:val="00E73D2E"/>
    <w:rsid w:val="00E75008"/>
    <w:rsid w:val="00E7705C"/>
    <w:rsid w:val="00E77BE9"/>
    <w:rsid w:val="00E81A09"/>
    <w:rsid w:val="00E82CE2"/>
    <w:rsid w:val="00E82E87"/>
    <w:rsid w:val="00E83F98"/>
    <w:rsid w:val="00E85200"/>
    <w:rsid w:val="00E91877"/>
    <w:rsid w:val="00E92107"/>
    <w:rsid w:val="00E9347F"/>
    <w:rsid w:val="00E96986"/>
    <w:rsid w:val="00EA2829"/>
    <w:rsid w:val="00EA37BE"/>
    <w:rsid w:val="00EA6B30"/>
    <w:rsid w:val="00EB0366"/>
    <w:rsid w:val="00EB39CE"/>
    <w:rsid w:val="00EB43DA"/>
    <w:rsid w:val="00EC2262"/>
    <w:rsid w:val="00EC304A"/>
    <w:rsid w:val="00EC4D82"/>
    <w:rsid w:val="00ED1766"/>
    <w:rsid w:val="00ED3E77"/>
    <w:rsid w:val="00ED49AF"/>
    <w:rsid w:val="00ED64A6"/>
    <w:rsid w:val="00EE42E2"/>
    <w:rsid w:val="00EE6453"/>
    <w:rsid w:val="00EF1E93"/>
    <w:rsid w:val="00EF3487"/>
    <w:rsid w:val="00EF384D"/>
    <w:rsid w:val="00EF5D16"/>
    <w:rsid w:val="00EF6796"/>
    <w:rsid w:val="00EF7496"/>
    <w:rsid w:val="00F003BD"/>
    <w:rsid w:val="00F05CA0"/>
    <w:rsid w:val="00F10407"/>
    <w:rsid w:val="00F1072F"/>
    <w:rsid w:val="00F11C88"/>
    <w:rsid w:val="00F1368C"/>
    <w:rsid w:val="00F13810"/>
    <w:rsid w:val="00F1494D"/>
    <w:rsid w:val="00F20867"/>
    <w:rsid w:val="00F218F2"/>
    <w:rsid w:val="00F22A39"/>
    <w:rsid w:val="00F3138D"/>
    <w:rsid w:val="00F31799"/>
    <w:rsid w:val="00F32FEC"/>
    <w:rsid w:val="00F34836"/>
    <w:rsid w:val="00F34A2F"/>
    <w:rsid w:val="00F35834"/>
    <w:rsid w:val="00F359C4"/>
    <w:rsid w:val="00F470F5"/>
    <w:rsid w:val="00F47988"/>
    <w:rsid w:val="00F5135A"/>
    <w:rsid w:val="00F52F2F"/>
    <w:rsid w:val="00F542F8"/>
    <w:rsid w:val="00F545C7"/>
    <w:rsid w:val="00F54CA2"/>
    <w:rsid w:val="00F54EEA"/>
    <w:rsid w:val="00F60193"/>
    <w:rsid w:val="00F63024"/>
    <w:rsid w:val="00F70FE1"/>
    <w:rsid w:val="00F81E78"/>
    <w:rsid w:val="00F82D54"/>
    <w:rsid w:val="00F84AE3"/>
    <w:rsid w:val="00F84B71"/>
    <w:rsid w:val="00F90019"/>
    <w:rsid w:val="00F9158A"/>
    <w:rsid w:val="00F93B71"/>
    <w:rsid w:val="00F96CED"/>
    <w:rsid w:val="00FA06CF"/>
    <w:rsid w:val="00FA6197"/>
    <w:rsid w:val="00FA6C7A"/>
    <w:rsid w:val="00FA7419"/>
    <w:rsid w:val="00FA7760"/>
    <w:rsid w:val="00FB6DFD"/>
    <w:rsid w:val="00FC2321"/>
    <w:rsid w:val="00FC34CF"/>
    <w:rsid w:val="00FC795E"/>
    <w:rsid w:val="00FC7A56"/>
    <w:rsid w:val="00FD109B"/>
    <w:rsid w:val="00FE097A"/>
    <w:rsid w:val="00FE0FE3"/>
    <w:rsid w:val="00FF2200"/>
    <w:rsid w:val="00FF5DD2"/>
    <w:rsid w:val="0140FFC6"/>
    <w:rsid w:val="0272D279"/>
    <w:rsid w:val="04659290"/>
    <w:rsid w:val="05375008"/>
    <w:rsid w:val="07BA71A8"/>
    <w:rsid w:val="09719020"/>
    <w:rsid w:val="0BA17393"/>
    <w:rsid w:val="0BE397ED"/>
    <w:rsid w:val="0C99FC74"/>
    <w:rsid w:val="0D8E2467"/>
    <w:rsid w:val="0E02D643"/>
    <w:rsid w:val="0FEB9752"/>
    <w:rsid w:val="103CD374"/>
    <w:rsid w:val="13933310"/>
    <w:rsid w:val="157EC7A4"/>
    <w:rsid w:val="16BA8DA3"/>
    <w:rsid w:val="19E1EF03"/>
    <w:rsid w:val="1C9162B3"/>
    <w:rsid w:val="1CAE07D6"/>
    <w:rsid w:val="1E5B5F7B"/>
    <w:rsid w:val="1EA75866"/>
    <w:rsid w:val="233D9908"/>
    <w:rsid w:val="259C9E13"/>
    <w:rsid w:val="280E325C"/>
    <w:rsid w:val="2898D305"/>
    <w:rsid w:val="28A421D9"/>
    <w:rsid w:val="2AE31BF7"/>
    <w:rsid w:val="2BAD80AE"/>
    <w:rsid w:val="2C0C93D8"/>
    <w:rsid w:val="2D353557"/>
    <w:rsid w:val="2DD59A8F"/>
    <w:rsid w:val="2FC676B6"/>
    <w:rsid w:val="32D5E112"/>
    <w:rsid w:val="33C47EA9"/>
    <w:rsid w:val="33FD3B4D"/>
    <w:rsid w:val="34061AAC"/>
    <w:rsid w:val="34F1B5AA"/>
    <w:rsid w:val="363472D6"/>
    <w:rsid w:val="36CABF9D"/>
    <w:rsid w:val="3767D056"/>
    <w:rsid w:val="38E4A324"/>
    <w:rsid w:val="390F273C"/>
    <w:rsid w:val="39D6D49B"/>
    <w:rsid w:val="3C3438B1"/>
    <w:rsid w:val="3DC818F0"/>
    <w:rsid w:val="3F49C7EB"/>
    <w:rsid w:val="3FF0D3E2"/>
    <w:rsid w:val="415441D1"/>
    <w:rsid w:val="41685DE9"/>
    <w:rsid w:val="42F60C8C"/>
    <w:rsid w:val="4316E0C5"/>
    <w:rsid w:val="44FC888E"/>
    <w:rsid w:val="48C41F50"/>
    <w:rsid w:val="49943F9A"/>
    <w:rsid w:val="4A6FC7F9"/>
    <w:rsid w:val="4C18FB07"/>
    <w:rsid w:val="505847D6"/>
    <w:rsid w:val="53F2D17D"/>
    <w:rsid w:val="55B644C8"/>
    <w:rsid w:val="58E89B17"/>
    <w:rsid w:val="5991AFBC"/>
    <w:rsid w:val="5E4F8349"/>
    <w:rsid w:val="5F0C11C5"/>
    <w:rsid w:val="6264F622"/>
    <w:rsid w:val="63DCF962"/>
    <w:rsid w:val="646A696F"/>
    <w:rsid w:val="6487FEBC"/>
    <w:rsid w:val="6584D33D"/>
    <w:rsid w:val="66865D7F"/>
    <w:rsid w:val="69EAE824"/>
    <w:rsid w:val="6A7ABCD7"/>
    <w:rsid w:val="6CD8D774"/>
    <w:rsid w:val="6CF8E3C2"/>
    <w:rsid w:val="6E9AA676"/>
    <w:rsid w:val="6FB81F8E"/>
    <w:rsid w:val="713BBD62"/>
    <w:rsid w:val="71FB4D6E"/>
    <w:rsid w:val="72723C3B"/>
    <w:rsid w:val="731622C2"/>
    <w:rsid w:val="77175E49"/>
    <w:rsid w:val="78819E4A"/>
    <w:rsid w:val="7933A138"/>
    <w:rsid w:val="7961BBAA"/>
    <w:rsid w:val="7B0FCCE1"/>
    <w:rsid w:val="7BE25C9B"/>
    <w:rsid w:val="7C6BF1B5"/>
    <w:rsid w:val="7CAB9EF2"/>
    <w:rsid w:val="7FA8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7787F3"/>
  <w15:chartTrackingRefBased/>
  <w15:docId w15:val="{286C76C1-C9D3-47F0-BFF5-9B5F05156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3D5A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5E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1E5E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E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E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E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E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E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E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E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E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1E5E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E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ED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ED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ED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ED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ED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ED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E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E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E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E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E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ED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ED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ED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E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ED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EDD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5EDD"/>
    <w:rPr>
      <w:rFonts w:eastAsiaTheme="minorEastAsia"/>
      <w:kern w:val="0"/>
      <w:sz w:val="22"/>
      <w:szCs w:val="22"/>
      <w:lang w:val="en-US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5EDD"/>
    <w:rPr>
      <w:rFonts w:eastAsiaTheme="minorEastAsia"/>
      <w:kern w:val="0"/>
      <w:sz w:val="22"/>
      <w:szCs w:val="22"/>
      <w:lang w:val="en-US"/>
      <w14:ligatures w14:val="none"/>
    </w:rPr>
  </w:style>
  <w:style w:type="character" w:styleId="Hipercze">
    <w:name w:val="Hyperlink"/>
    <w:basedOn w:val="Domylnaczcionkaakapitu"/>
    <w:unhideWhenUsed/>
    <w:qFormat/>
    <w:rsid w:val="001E5EDD"/>
    <w:rPr>
      <w:color w:val="156082" w:themeColor="accent1"/>
      <w:u w:val="single"/>
    </w:rPr>
  </w:style>
  <w:style w:type="table" w:styleId="Tabela-Siatka">
    <w:name w:val="Table Grid"/>
    <w:basedOn w:val="Standardowy"/>
    <w:uiPriority w:val="59"/>
    <w:rsid w:val="001E5EDD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1E5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actName">
    <w:name w:val="ContactName"/>
    <w:basedOn w:val="Nagwek3"/>
    <w:qFormat/>
    <w:rsid w:val="001E5EDD"/>
    <w:pPr>
      <w:spacing w:before="0" w:after="0" w:line="216" w:lineRule="atLeast"/>
    </w:pPr>
    <w:rPr>
      <w:rFonts w:ascii="Calibri" w:eastAsia="Times New Roman" w:hAnsi="Calibri" w:cs="Times New Roman"/>
      <w:b/>
      <w:bCs/>
      <w:color w:val="008B98"/>
      <w:sz w:val="18"/>
      <w:szCs w:val="24"/>
      <w:lang w:eastAsia="en-GB"/>
    </w:rPr>
  </w:style>
  <w:style w:type="paragraph" w:customStyle="1" w:styleId="ContactDetail">
    <w:name w:val="ContactDetail"/>
    <w:basedOn w:val="Normalny"/>
    <w:rsid w:val="001E5EDD"/>
    <w:pPr>
      <w:spacing w:after="0" w:line="216" w:lineRule="atLeast"/>
    </w:pPr>
    <w:rPr>
      <w:rFonts w:ascii="Calibri" w:eastAsia="Times New Roman" w:hAnsi="Calibri" w:cs="Times New Roman"/>
      <w:color w:val="000000"/>
      <w:sz w:val="18"/>
      <w:szCs w:val="24"/>
      <w:lang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70379F"/>
    <w:rPr>
      <w:color w:val="96607D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379F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2A6D47"/>
    <w:pPr>
      <w:spacing w:after="0" w:line="240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customStyle="1" w:styleId="Body">
    <w:name w:val="Body"/>
    <w:rsid w:val="009D7EBB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Arial" w:eastAsia="Arial Unicode MS" w:hAnsi="Arial" w:cs="Arial Unicode MS"/>
      <w:color w:val="000000"/>
      <w:kern w:val="0"/>
      <w:sz w:val="22"/>
      <w:szCs w:val="22"/>
      <w:u w:color="000000"/>
      <w:bdr w:val="nil"/>
      <w:lang w:val="en-US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5E1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05E1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05E12"/>
    <w:rPr>
      <w:rFonts w:eastAsiaTheme="minorEastAsia"/>
      <w:kern w:val="0"/>
      <w:sz w:val="20"/>
      <w:szCs w:val="20"/>
      <w:lang w:val="en-US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5E1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5E12"/>
    <w:rPr>
      <w:rFonts w:eastAsiaTheme="minorEastAsia"/>
      <w:b/>
      <w:bCs/>
      <w:kern w:val="0"/>
      <w:sz w:val="20"/>
      <w:szCs w:val="20"/>
      <w:lang w:val="en-US"/>
      <w14:ligatures w14:val="none"/>
    </w:rPr>
  </w:style>
  <w:style w:type="character" w:customStyle="1" w:styleId="cf01">
    <w:name w:val="cf01"/>
    <w:basedOn w:val="Domylnaczcionkaakapitu"/>
    <w:rsid w:val="00DC161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9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64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9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20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057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47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976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34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4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69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47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67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70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12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2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cushmanwakefield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.joselyn@cushwake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lauren.joselyn@cushwak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84ED6-5338-4EDC-BA78-B49C4D40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1382</Words>
  <Characters>8294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9657</CharactersWithSpaces>
  <SharedDoc>false</SharedDoc>
  <HLinks>
    <vt:vector size="18" baseType="variant">
      <vt:variant>
        <vt:i4>5701721</vt:i4>
      </vt:variant>
      <vt:variant>
        <vt:i4>0</vt:i4>
      </vt:variant>
      <vt:variant>
        <vt:i4>0</vt:i4>
      </vt:variant>
      <vt:variant>
        <vt:i4>5</vt:i4>
      </vt:variant>
      <vt:variant>
        <vt:lpwstr>http://www.cushmanwakefield.com/</vt:lpwstr>
      </vt:variant>
      <vt:variant>
        <vt:lpwstr/>
      </vt:variant>
      <vt:variant>
        <vt:i4>1310817</vt:i4>
      </vt:variant>
      <vt:variant>
        <vt:i4>3</vt:i4>
      </vt:variant>
      <vt:variant>
        <vt:i4>0</vt:i4>
      </vt:variant>
      <vt:variant>
        <vt:i4>5</vt:i4>
      </vt:variant>
      <vt:variant>
        <vt:lpwstr>mailto:lauren.joselyn@cushwake.com</vt:lpwstr>
      </vt:variant>
      <vt:variant>
        <vt:lpwstr/>
      </vt:variant>
      <vt:variant>
        <vt:i4>1310817</vt:i4>
      </vt:variant>
      <vt:variant>
        <vt:i4>0</vt:i4>
      </vt:variant>
      <vt:variant>
        <vt:i4>0</vt:i4>
      </vt:variant>
      <vt:variant>
        <vt:i4>5</vt:i4>
      </vt:variant>
      <vt:variant>
        <vt:lpwstr>mailto:lauren.joselyn@cushwake.com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Wilf Wheeler</dc:creator>
  <cp:keywords/>
  <dc:description/>
  <cp:lastModifiedBy>Link Leaders</cp:lastModifiedBy>
  <cp:revision>2</cp:revision>
  <dcterms:created xsi:type="dcterms:W3CDTF">2025-11-12T09:55:00Z</dcterms:created>
  <dcterms:modified xsi:type="dcterms:W3CDTF">2025-11-12T09:55:00Z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86f961-1d3e-4cfe-b1e9-19b9bcf12554_Enabled">
    <vt:lpwstr>true</vt:lpwstr>
  </property>
  <property fmtid="{D5CDD505-2E9C-101B-9397-08002B2CF9AE}" pid="3" name="MSIP_Label_b086f961-1d3e-4cfe-b1e9-19b9bcf12554_SetDate">
    <vt:lpwstr>2024-08-09T12:49:32Z</vt:lpwstr>
  </property>
  <property fmtid="{D5CDD505-2E9C-101B-9397-08002B2CF9AE}" pid="4" name="MSIP_Label_b086f961-1d3e-4cfe-b1e9-19b9bcf12554_Method">
    <vt:lpwstr>Standard</vt:lpwstr>
  </property>
  <property fmtid="{D5CDD505-2E9C-101B-9397-08002B2CF9AE}" pid="5" name="MSIP_Label_b086f961-1d3e-4cfe-b1e9-19b9bcf12554_Name">
    <vt:lpwstr>Private</vt:lpwstr>
  </property>
  <property fmtid="{D5CDD505-2E9C-101B-9397-08002B2CF9AE}" pid="6" name="MSIP_Label_b086f961-1d3e-4cfe-b1e9-19b9bcf12554_SiteId">
    <vt:lpwstr>6facebd9-e318-4ea6-a98b-e892ee55070f</vt:lpwstr>
  </property>
  <property fmtid="{D5CDD505-2E9C-101B-9397-08002B2CF9AE}" pid="7" name="MSIP_Label_b086f961-1d3e-4cfe-b1e9-19b9bcf12554_ActionId">
    <vt:lpwstr>60c3cb59-3795-42a8-af48-43117dcbee96</vt:lpwstr>
  </property>
  <property fmtid="{D5CDD505-2E9C-101B-9397-08002B2CF9AE}" pid="8" name="MSIP_Label_b086f961-1d3e-4cfe-b1e9-19b9bcf12554_ContentBits">
    <vt:lpwstr>0</vt:lpwstr>
  </property>
  <property fmtid="{D5CDD505-2E9C-101B-9397-08002B2CF9AE}" pid="9" name="GrammarlyDocumentId">
    <vt:lpwstr>341a8607d4d2d5ce3fbf3503c2f967ea1e4ce5daa8426167cb97b41905428e1a</vt:lpwstr>
  </property>
</Properties>
</file>