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814513" cy="4941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94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Nauczyciel, uczeń i AI w jednej klasie: eksperci PAN i branża EdTech wskazują wspólny kierunek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Choć w erze sztucznej inteligencji zmiana systemu nauczania w polskiej oświacie jest konieczna, szkoły wciąż traktują ją jako koszt i zagrożenie, a nie inwestycję. Wynika to z właśnie opublikowanej „Białej księgi AI w polskiej szkole” </w:t>
      </w:r>
      <w:r w:rsidDel="00000000" w:rsidR="00000000" w:rsidRPr="00000000">
        <w:rPr>
          <w:b w:val="1"/>
          <w:rtl w:val="0"/>
        </w:rPr>
        <w:t xml:space="preserve">[1]</w:t>
      </w:r>
      <w:r w:rsidDel="00000000" w:rsidR="00000000" w:rsidRPr="00000000">
        <w:rPr>
          <w:b w:val="1"/>
          <w:rtl w:val="0"/>
        </w:rPr>
        <w:t xml:space="preserve">, opracowanej przez Sekcję Edukacji Cyfrowej Komitetu Informatyki PAN. Jego twórcy podkreślają m.in.  konieczność wprowadzenia w polskich szkołach hybrydowej formy dydaktyki, podążającej za możliwościami związanymi z globalnym rozwojem branży EdTech oraz realnej współpracy placówek z rynkowymi partnerami z tego sektora. Eksperci wskazują również liczne możliwości wykorzystania technologii w edukacji oraz istotę zmiany postrzegania roli nauczyciela w procesie nauczania – w kierunku moderatora procesu kształcenia. </w:t>
      </w:r>
    </w:p>
    <w:p w:rsidR="00000000" w:rsidDel="00000000" w:rsidP="00000000" w:rsidRDefault="00000000" w:rsidRPr="00000000" w14:paraId="00000007">
      <w:pPr>
        <w:spacing w:after="24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Jak wykazało badanie “Jakość edukacji w Polsce”</w:t>
      </w:r>
      <w:r w:rsidDel="00000000" w:rsidR="00000000" w:rsidRPr="00000000">
        <w:rPr>
          <w:rtl w:val="0"/>
        </w:rPr>
        <w:t xml:space="preserve"> [2]</w:t>
      </w:r>
      <w:r w:rsidDel="00000000" w:rsidR="00000000" w:rsidRPr="00000000">
        <w:rPr>
          <w:rtl w:val="0"/>
        </w:rPr>
        <w:t xml:space="preserve">, przeprowadzone przez działającą na rynku EdTech platformę Novakid, co trzeci polski rodzic nie jest zadowolony z obecnej podstawy programowej realizowanej w szkołach podstawowych, co wielu z nich argumentuje przestarzałymi metodami edukacyjnymi oraz ich subiektywnym poczuciem zbędności części tematów. Głównym powodem stojącym za tymi nastrojami jest niski stopień wykorzystania nowoczesnych narzędzi, m.in. opartych na sztucznej inteligencji.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420" w:line="36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rbh1ccnvpgx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Polska szkoła w oderwaniu od globalnych trendów</w:t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Polski system szkolnictwa pozostaje w oderwaniu od globalnego, intensywnego rozwoju branży EdTech. </w:t>
      </w:r>
      <w:r w:rsidDel="00000000" w:rsidR="00000000" w:rsidRPr="00000000">
        <w:rPr>
          <w:rtl w:val="0"/>
        </w:rPr>
        <w:t xml:space="preserve">Co istotne - s</w:t>
      </w:r>
      <w:r w:rsidDel="00000000" w:rsidR="00000000" w:rsidRPr="00000000">
        <w:rPr>
          <w:rtl w:val="0"/>
        </w:rPr>
        <w:t xml:space="preserve">egment AI w edukacji, obejmujący przedszkola, szkoły podstawowe i szkoły średnie, jest obecnie najbardziej dynamiczną i perspektywiczną częścią sektora EdTech. Wielkość tego rynku w 2024 roku była szacowana na ponad 390 milionów USD. Według ekspertów do 2033 roku wartość sektora EdTech w tym obszarze edukacji może zwiększyć się nawet 20-krotnie.</w:t>
      </w:r>
      <w:r w:rsidDel="00000000" w:rsidR="00000000" w:rsidRPr="00000000">
        <w:rPr>
          <w:rtl w:val="0"/>
        </w:rPr>
        <w:t xml:space="preserve"> [3] Ten duży wzrost jest przede wszystkim napędzany rosnącym zapotrzebowaniem na spersonalizowane rozwiązania edukacyjne i inteligentne systemy korepetytorskie, które mają za zadanie poprawić wyniki i zaangażowanie uczniów. Raport “Biała księga AI w polskiej szkole” wskazuje, że dotychczas polska oświata nie podjęła zdecydowanych kroków, które miałyby na celu realne nadążenie za innymi, wysoko rozwiniętymi państwami w kontekście wdrażania AI. Wśród tych działań są np. szeroko zakrojone szkolenia mające na celu podniesienie kwalifikacji nauczycieli czy edukacja dzieci w kontekście bezpiecznego i odpowiedzialnego korzystania ze sztucznej inteligencji. </w:t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b w:val="1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Jakie zastosowania znajduje AI w edukacji?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Sztuczna inteligencja dzięki swojej elastyczności i wszechstronności w zakresie personalizacji, automatyzacji czy analityki już dziś rewolucjonizuje światową edukację</w:t>
      </w:r>
      <w:r w:rsidDel="00000000" w:rsidR="00000000" w:rsidRPr="00000000">
        <w:rPr>
          <w:rtl w:val="0"/>
        </w:rPr>
        <w:t xml:space="preserve">, co wymaga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właściwej zmiany podejścia do</w:t>
      </w:r>
      <w:r w:rsidDel="00000000" w:rsidR="00000000" w:rsidRPr="00000000">
        <w:rPr>
          <w:rtl w:val="0"/>
        </w:rPr>
        <w:t xml:space="preserve"> programu nauczania. AI jest technologią </w:t>
      </w:r>
      <w:r w:rsidDel="00000000" w:rsidR="00000000" w:rsidRPr="00000000">
        <w:rPr>
          <w:rtl w:val="0"/>
        </w:rPr>
        <w:t xml:space="preserve">transdyscyplinarną</w:t>
      </w:r>
      <w:r w:rsidDel="00000000" w:rsidR="00000000" w:rsidRPr="00000000">
        <w:rPr>
          <w:rtl w:val="0"/>
        </w:rPr>
        <w:t xml:space="preserve">, co stwarza możliwości jej praktycznego zastosowania nie tylko na lekcjach informatyki czy matematyki, ale także na lekcjach większości przedmiotów, np. geografii, plastyki, muzyki, lekcjach języka polskiego czy języków obcych. </w:t>
      </w:r>
    </w:p>
    <w:p w:rsidR="00000000" w:rsidDel="00000000" w:rsidP="00000000" w:rsidRDefault="00000000" w:rsidRPr="00000000" w14:paraId="0000000C">
      <w:pPr>
        <w:pStyle w:val="Heading3"/>
        <w:spacing w:after="0" w:before="0" w:line="240" w:lineRule="auto"/>
        <w:jc w:val="both"/>
        <w:rPr>
          <w:color w:val="000000"/>
          <w:sz w:val="22"/>
          <w:szCs w:val="22"/>
        </w:rPr>
      </w:pPr>
      <w:bookmarkStart w:colFirst="0" w:colLast="0" w:name="_nqb6myq07ej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="240" w:lineRule="auto"/>
        <w:jc w:val="both"/>
        <w:rPr>
          <w:color w:val="000000"/>
          <w:sz w:val="22"/>
          <w:szCs w:val="22"/>
        </w:rPr>
      </w:pPr>
      <w:bookmarkStart w:colFirst="0" w:colLast="0" w:name="_kai4026ogh3p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Integracja AI i analityki danych umożliwia wprowadzenie nowoczesnych technik nauczania, które są dostosowane do indywidualnego tempa i stylu nauki. Wdrożenie odpowiednich algorytmów pozwala na analizę postępów ucznia i automatyczne dostosowywanie trudności i rodzaju zadań do jego aktualnego poziomu wiedzy.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[4]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Dodatkowo istotną społecznie zaletą sztucznej inteligencji jest jej wykorzystanie we wspieraniu </w:t>
      </w:r>
      <w:r w:rsidDel="00000000" w:rsidR="00000000" w:rsidRPr="00000000">
        <w:rPr>
          <w:rtl w:val="0"/>
        </w:rPr>
        <w:t xml:space="preserve">inkluzywnej</w:t>
      </w:r>
      <w:r w:rsidDel="00000000" w:rsidR="00000000" w:rsidRPr="00000000">
        <w:rPr>
          <w:rtl w:val="0"/>
        </w:rPr>
        <w:t xml:space="preserve"> edukacji. AI dostarcza narzędzia, które sprawiają, że materiały naukowe są łatwo dostępne i właściwie przystosowane do uczniów ze specjalnymi potrzebami edukacyjnymi. Przykładem jest technologia Text-to-Speech oraz funkcja rozpoznawania mowy, które umożliwiają interakcję i przyswajanie treści w alternatywny sposób. Są one kluczowe w zmniejszaniu tzw. luk edukacyjnych i oferowaniu specjalistycznego wsparcia, zgodnie z priorytetami zrównoważonego rozwoju edukacyjnego. </w:t>
      </w:r>
      <w:r w:rsidDel="00000000" w:rsidR="00000000" w:rsidRPr="00000000">
        <w:rPr>
          <w:rtl w:val="0"/>
        </w:rPr>
        <w:t xml:space="preserve">Rozwój AI w szkołach</w:t>
      </w:r>
      <w:r w:rsidDel="00000000" w:rsidR="00000000" w:rsidRPr="00000000">
        <w:rPr>
          <w:rtl w:val="0"/>
        </w:rPr>
        <w:t xml:space="preserve"> jest silnie uzasadniony przez jego zdolność do zapewniania</w:t>
      </w:r>
      <w:r w:rsidDel="00000000" w:rsidR="00000000" w:rsidRPr="00000000">
        <w:rPr>
          <w:rtl w:val="0"/>
        </w:rPr>
        <w:t xml:space="preserve"> cyfrowej równości</w:t>
      </w:r>
      <w:r w:rsidDel="00000000" w:rsidR="00000000" w:rsidRPr="00000000">
        <w:rPr>
          <w:rtl w:val="0"/>
        </w:rPr>
        <w:t xml:space="preserve"> i dostępu do zasobów dla wszystkich uczniów. </w:t>
      </w:r>
      <w:r w:rsidDel="00000000" w:rsidR="00000000" w:rsidRPr="00000000">
        <w:rPr>
          <w:rtl w:val="0"/>
        </w:rPr>
        <w:t xml:space="preserve">[5]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0" w:before="420" w:line="335.99999999999994" w:lineRule="auto"/>
        <w:jc w:val="both"/>
        <w:rPr>
          <w:color w:val="000000"/>
        </w:rPr>
      </w:pPr>
      <w:bookmarkStart w:colFirst="0" w:colLast="0" w:name="_wp3ftcfg25fu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Rewolucyjny przełom w nauce jęz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yków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jc w:val="both"/>
        <w:rPr>
          <w:i w:val="1"/>
          <w:sz w:val="23"/>
          <w:szCs w:val="23"/>
        </w:rPr>
      </w:pPr>
      <w:r w:rsidDel="00000000" w:rsidR="00000000" w:rsidRPr="00000000">
        <w:rPr>
          <w:rtl w:val="0"/>
        </w:rPr>
        <w:t xml:space="preserve">Konkretnym obszarem, w którym AI osiąga wysoką skuteczność i staje się tzw. </w:t>
      </w:r>
      <w:r w:rsidDel="00000000" w:rsidR="00000000" w:rsidRPr="00000000">
        <w:rPr>
          <w:i w:val="1"/>
          <w:rtl w:val="0"/>
        </w:rPr>
        <w:t xml:space="preserve">gamechangerem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jest nauczanie języków obcych, szczególnie w zakresie umiejętności konwersacyjnych.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Przełomowym zastosowaniem AI jest automatyczna ocena wymowy, która oferuje uczniom natychmiastową, obiektywną i niezwykle szczegółową informację zwrotną. Skuteczność automatycznej oceny wymowy została potwierdzona badaniami. Wykazano, że uczniowie korzystający z AI osiągają znacznie wyższe wyniki w testach wymowy w porównaniu do grupy kontrolnej. Uczniowie wysoko ocenili funkcje natychmiastowego feedbacku i interaktywności, które precyzyjnie wskazywały konkretne błędy, znacząco poprawiając ich kompetencję językową. </w:t>
      </w:r>
      <w:r w:rsidDel="00000000" w:rsidR="00000000" w:rsidRPr="00000000">
        <w:rPr>
          <w:rtl w:val="0"/>
        </w:rPr>
        <w:t xml:space="preserve">[6]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Dostępne na rynku n</w:t>
      </w:r>
      <w:r w:rsidDel="00000000" w:rsidR="00000000" w:rsidRPr="00000000">
        <w:rPr>
          <w:rtl w:val="0"/>
        </w:rPr>
        <w:t xml:space="preserve">arzędzia oferują możliwość prowadzenia konwersacji z wirtualnymi rozmówcami dostępnymi o każdej porze, którzy w teorii rozwiązują problem bariery w mówieniu, stresu czy braku partnera do rozmowy. Systemy konwersacyjne wykorzystują personalizację i adaptacyjność, dostosowując tempo i poziom trudności dialogów oraz słownictwo do profilu i umiejętności użytkownika. Dzięki temu nauka staje się bardziej motywująca i skuteczna, a wirtualni tutorzy AI są również w stanie wykorzystać zaawansowane systemy analityczne do dokładniejszego </w:t>
      </w:r>
      <w:r w:rsidDel="00000000" w:rsidR="00000000" w:rsidRPr="00000000">
        <w:rPr>
          <w:rtl w:val="0"/>
        </w:rPr>
        <w:t xml:space="preserve">rozpoznawania</w:t>
      </w:r>
      <w:r w:rsidDel="00000000" w:rsidR="00000000" w:rsidRPr="00000000">
        <w:rPr>
          <w:rtl w:val="0"/>
        </w:rPr>
        <w:t xml:space="preserve"> problemów.</w:t>
      </w:r>
      <w:r w:rsidDel="00000000" w:rsidR="00000000" w:rsidRPr="00000000">
        <w:rPr>
          <w:rtl w:val="0"/>
        </w:rPr>
        <w:t xml:space="preserve"> [7]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Branża edukacji języków obcych z wykorzystaniem narzędzi EdTech i sztucznej inteligencji prężnie rozwija się również w Polsce. – </w:t>
      </w:r>
      <w:r w:rsidDel="00000000" w:rsidR="00000000" w:rsidRPr="00000000">
        <w:rPr>
          <w:i w:val="1"/>
          <w:rtl w:val="0"/>
        </w:rPr>
        <w:t xml:space="preserve">Od czerwca 2018 roku przeprowadziliśmy w Polsce niemal 5 milionów lekcji dla ponad 127 tysięcy dzieci, co pokazuje, jak duże jest zapotrzebowanie na nowoczesne formy nauki języka. W tym roku Polska znalazła się na 10. miejscu w rankingu znajomości angielskiego jako drugiego języka [8], co potwierdza również rosnącą świadomość potrzeby nauki od najmłodszych lat. Ponadto w październiku tego roku osiągnęliśmy globalnie liczbę ponad miliona uczniów, którzy w ciągu naszej 8-letniej działalności, wzięli udział w co najmniej jednej lekcji na platformie – to dla nas dowód, że rodzice coraz częściej wybierają elastyczne modele edukacji, łączące doświadczenie nauczyciela i nowoczesne technologie</w:t>
      </w:r>
      <w:r w:rsidDel="00000000" w:rsidR="00000000" w:rsidRPr="00000000">
        <w:rPr>
          <w:rtl w:val="0"/>
        </w:rPr>
        <w:t xml:space="preserve"> – mówi Max Azarov, CEO Novakid.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00" w:line="240" w:lineRule="auto"/>
        <w:jc w:val="both"/>
        <w:rPr/>
      </w:pPr>
      <w:bookmarkStart w:colFirst="0" w:colLast="0" w:name="_lji8njffic45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Hybrydowy kierunek w edukacji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="240" w:lineRule="auto"/>
        <w:jc w:val="both"/>
        <w:rPr/>
      </w:pPr>
      <w:r w:rsidDel="00000000" w:rsidR="00000000" w:rsidRPr="00000000">
        <w:rPr>
          <w:rtl w:val="0"/>
        </w:rPr>
        <w:t xml:space="preserve">Autorzy Białej Księgi podkreślają, że technologia nie może zastąpić kompetencji społecznych i empatii nauczyciela – powinna natomiast wspierać jego pracę, pomagając dostosować tempo nauki i narzędzia dydaktyczne do indywidualnych potrzeb uczniów. Właśnie dlatego rekomendowany kierunek to </w:t>
      </w:r>
      <w:r w:rsidDel="00000000" w:rsidR="00000000" w:rsidRPr="00000000">
        <w:rPr>
          <w:rtl w:val="0"/>
        </w:rPr>
        <w:t xml:space="preserve">humanocentryczny</w:t>
      </w:r>
      <w:r w:rsidDel="00000000" w:rsidR="00000000" w:rsidRPr="00000000">
        <w:rPr>
          <w:rtl w:val="0"/>
        </w:rPr>
        <w:t xml:space="preserve"> model hybrydowy, w którym rola nauczyciela w procesie nauczania zmienia się w kierunku moderatora procesu kształcenia zamiast zamiast osoby jednostronnie przekazującej wiedzę faktograficzną.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Taki kierunek działania wyznaczają również marki z sektora EdTech - z</w:t>
      </w:r>
      <w:r w:rsidDel="00000000" w:rsidR="00000000" w:rsidRPr="00000000">
        <w:rPr>
          <w:rtl w:val="0"/>
        </w:rPr>
        <w:t xml:space="preserve">auważają one potrzebę zmian i rozwoju wobec potencjału sztucznej inteligencji. Jednym z przykładów jest transakcja</w:t>
      </w:r>
      <w:r w:rsidDel="00000000" w:rsidR="00000000" w:rsidRPr="00000000">
        <w:rPr>
          <w:rtl w:val="0"/>
        </w:rPr>
        <w:t xml:space="preserve">, w ramach której platforma Novakid nabyła brytyjską aplikację Lingumi</w:t>
      </w:r>
      <w:r w:rsidDel="00000000" w:rsidR="00000000" w:rsidRPr="00000000">
        <w:rPr>
          <w:rtl w:val="0"/>
        </w:rPr>
        <w:t xml:space="preserve"> [9],</w:t>
      </w:r>
      <w:r w:rsidDel="00000000" w:rsidR="00000000" w:rsidRPr="00000000">
        <w:rPr>
          <w:rtl w:val="0"/>
        </w:rPr>
        <w:t xml:space="preserve"> oferującą interaktywne lekcje wspomagane sztuczną inteligencją. Fuzja ta umożliwiła Novakid stworzenie kompleksowego, hybrydowego ekosystemu nauki, który łączy narzędzia AI do samodzielnej nauki, elementy gamifikacji i zajęcia online na żywo z native speakerami. Taki model pozwala na skuteczne przyswajanie języka od najmłodszych lat. </w:t>
      </w:r>
    </w:p>
    <w:p w:rsidR="00000000" w:rsidDel="00000000" w:rsidP="00000000" w:rsidRDefault="00000000" w:rsidRPr="00000000" w14:paraId="00000018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Model hybrydowy jawi się jako optymalny standard skrojony pod dzisiejszą rzeczywistość. Skoro AI wykazuje słabości w rozwijaniu kreatywności i wyższego myślenia, ale jest niezrównana w automatyzacji i diagnostyce podstaw, najbardziej efektywna strategia rynkowa polega na integracji obu elementów. AI może przejąć fundamentalne zadania powtarzalności, diagnozy i ćwiczenia wymowy, podczas gdy </w:t>
      </w:r>
      <w:r w:rsidDel="00000000" w:rsidR="00000000" w:rsidRPr="00000000">
        <w:rPr>
          <w:rtl w:val="0"/>
        </w:rPr>
        <w:t xml:space="preserve">“realny” nauczyciel </w:t>
      </w:r>
      <w:r w:rsidDel="00000000" w:rsidR="00000000" w:rsidRPr="00000000">
        <w:rPr>
          <w:rtl w:val="0"/>
        </w:rPr>
        <w:t xml:space="preserve">koncentruje się na kontekście kulturowym, płynności w naturalnych sytuacjach i rozwoju zaawansowanych umiejętności komunikacyjnych.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Rozwój platform do nauki języków napędzany przez AI to globalny trend, który coraz więcej marek przekuwa w nowe rozwiązania. W Novakid naszym celem jest stworzenie korepetytora AI, który będzie stanowił wsparcie, a nie zastępstwo dla nauczyciela. Jego głównym zadaniem będzie pomoc w powtarzaniu i przyswajaniu wiedzy pomiędzy zajęciami z “realnym” prowadzącym. Dzięki takiej funkcji dzieci będą miały możliwość powtórki słownictwa czy wzięcia udziału w krótkich, angażujących rozmowach poza lekcjami z lektorem - każda sesja obejmie zarówno ćwiczenia mówienia, jak i słuchania. Jesteśmy przekonani, że to atrakcyjne rozwiązanie pozwoli naszym uczniom efektywniej przyspieszać postępy osiągane podczas tradycyjnych korepetycji </w:t>
      </w:r>
      <w:r w:rsidDel="00000000" w:rsidR="00000000" w:rsidRPr="00000000">
        <w:rPr>
          <w:rtl w:val="0"/>
        </w:rPr>
        <w:t xml:space="preserve">– tłumaczy Max Azarov, CEO Novakid.</w:t>
      </w:r>
    </w:p>
    <w:p w:rsidR="00000000" w:rsidDel="00000000" w:rsidP="00000000" w:rsidRDefault="00000000" w:rsidRPr="00000000" w14:paraId="0000001A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Przyszłość edukacji nie sprowadza się do pytania, czy AI zastąpi nauczyciela, lecz jak człowiek i technologia mogą się wzajemnie uzupełniać. Model hybrydowy – łączący empatię, doświadczenie i kontekst kulturowy z analitycznymi możliwościami sztucznej inteligencji – staje się dziś najbardziej obiecującym kierunkiem rozwoju nauczania.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[1]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Biała księga AI w polskiej szkole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, Sekcja Edukacji Cyfrowej Komitetu Informatyki PAN, 2025.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[2] </w:t>
      </w:r>
      <w:hyperlink r:id="rId9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Badanie: głos rodziców na temat jakości polskiej edukacji,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Novakid, marzec 2025.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[3]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Grand View Research: </w:t>
        </w:r>
      </w:hyperlink>
      <w:hyperlink r:id="rId1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Education Technology Market Size, Share &amp; Trends Analysis Report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, 2024.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[4]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University of Illinois: </w:t>
        </w:r>
      </w:hyperlink>
      <w:hyperlink r:id="rId15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AI in Schools – Pros and Cons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, 2024.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[5] Tamże</w:t>
      </w:r>
    </w:p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color w:val="111111"/>
        </w:rPr>
      </w:pPr>
      <w:r w:rsidDel="00000000" w:rsidR="00000000" w:rsidRPr="00000000">
        <w:rPr>
          <w:rtl w:val="0"/>
        </w:rPr>
        <w:t xml:space="preserve">[6]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AI-Driven Pronunciation Assessment: The Impact of SpeechAce on EFL Learners' Pronunciation Competency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color w:val="00053a"/>
          <w:u w:val="single"/>
        </w:rPr>
      </w:pPr>
      <w:r w:rsidDel="00000000" w:rsidR="00000000" w:rsidRPr="00000000">
        <w:rPr>
          <w:color w:val="111111"/>
          <w:rtl w:val="0"/>
        </w:rPr>
        <w:t xml:space="preserve">[7]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How AI-generated feedback could assist student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color w:val="00053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color w:val="00053a"/>
        </w:rPr>
      </w:pPr>
      <w:r w:rsidDel="00000000" w:rsidR="00000000" w:rsidRPr="00000000">
        <w:rPr>
          <w:color w:val="00053a"/>
          <w:rtl w:val="0"/>
        </w:rPr>
        <w:t xml:space="preserve">[8]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Global English Proficiency Rankings: Top Countries Excelling in English as a Second Language (2024 Data)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color w:val="00053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sz w:val="23"/>
          <w:szCs w:val="23"/>
        </w:rPr>
      </w:pPr>
      <w:r w:rsidDel="00000000" w:rsidR="00000000" w:rsidRPr="00000000">
        <w:rPr>
          <w:color w:val="00053a"/>
          <w:rtl w:val="0"/>
        </w:rPr>
        <w:t xml:space="preserve">[9]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Novakid rozwija nauczanie oparte o AI w branży EdTech i przejmuje Lingumi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oodonepr.prowly.com/352170-novakid-rozwija-nauczanie-oparte-o-ai-w-branzy-edtech-i-przejmuje-lingumi" TargetMode="External"/><Relationship Id="rId11" Type="http://schemas.openxmlformats.org/officeDocument/2006/relationships/hyperlink" Target="https://www.grandviewresearch.com/industry-analysis/education-technology-market" TargetMode="External"/><Relationship Id="rId10" Type="http://schemas.openxmlformats.org/officeDocument/2006/relationships/hyperlink" Target="https://www.novakid.pl/blog/nowoczesna-edukacja/" TargetMode="External"/><Relationship Id="rId13" Type="http://schemas.openxmlformats.org/officeDocument/2006/relationships/hyperlink" Target="https://www.grandviewresearch.com/industry-analysis/education-technology-market" TargetMode="External"/><Relationship Id="rId12" Type="http://schemas.openxmlformats.org/officeDocument/2006/relationships/hyperlink" Target="https://www.grandviewresearch.com/industry-analysis/education-technology-marke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ovakid.pl/blog/nowoczesna-edukacja/" TargetMode="External"/><Relationship Id="rId15" Type="http://schemas.openxmlformats.org/officeDocument/2006/relationships/hyperlink" Target="https://education.illinois.edu/about/news-events/news/article/2024/10/24/ai-in-schools--pros-and-cons" TargetMode="External"/><Relationship Id="rId14" Type="http://schemas.openxmlformats.org/officeDocument/2006/relationships/hyperlink" Target="https://education.illinois.edu/about/news-events/news/article/2024/10/24/ai-in-schools--pros-and-cons" TargetMode="External"/><Relationship Id="rId17" Type="http://schemas.openxmlformats.org/officeDocument/2006/relationships/hyperlink" Target="https://www.researchgate.net/publication/391669599_AI-Driven_Pronunciation_Assessment_The_Impact_of_SpeechAce_on_EFL_Learners%27_Pronunciation_Competency" TargetMode="External"/><Relationship Id="rId16" Type="http://schemas.openxmlformats.org/officeDocument/2006/relationships/hyperlink" Target="https://education.illinois.edu/about/news-events/news/article/2024/10/24/ai-in-schools--pros-and-cons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dlback.com/global-english-proficiency-rankings?srsltid=AfmBOorTxJIddxwZDh7CfUvJDgTMDFuHIac4zgu7UTvMo0yKMdIDUB2g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www.hepi.ac.uk/2024/10/22/how-ai-generated-feedback-could-assist-student-learning/" TargetMode="External"/><Relationship Id="rId7" Type="http://schemas.openxmlformats.org/officeDocument/2006/relationships/hyperlink" Target="https://ki.pan.pl/app/uploads/2025/06/Biala-ksiega-AI-w-szkole_final_29.05.2025.pdf" TargetMode="External"/><Relationship Id="rId8" Type="http://schemas.openxmlformats.org/officeDocument/2006/relationships/hyperlink" Target="https://ki.pan.pl/app/uploads/2025/06/Biala-ksiega-AI-w-szkole_final_29.05.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