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B2AE" w14:textId="16C8285C" w:rsidR="58BDF21E" w:rsidRDefault="58BDF21E" w:rsidP="58BDF21E">
      <w:pPr>
        <w:jc w:val="both"/>
        <w:rPr>
          <w:b/>
          <w:bCs/>
          <w:sz w:val="32"/>
          <w:szCs w:val="32"/>
          <w:lang w:val="pt-PT"/>
        </w:rPr>
      </w:pPr>
    </w:p>
    <w:p w14:paraId="38CD7AEB" w14:textId="77777777" w:rsidR="003B705B" w:rsidRDefault="003B705B" w:rsidP="006763FB">
      <w:pPr>
        <w:spacing w:line="276" w:lineRule="auto"/>
        <w:jc w:val="center"/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  <w:t>P</w:t>
      </w:r>
      <w:r w:rsidR="002E784A" w:rsidRPr="58BDF21E">
        <w:rPr>
          <w:b/>
          <w:bCs/>
          <w:sz w:val="32"/>
          <w:szCs w:val="32"/>
          <w:lang w:val="pt-PT"/>
        </w:rPr>
        <w:t>rocura crescente</w:t>
      </w:r>
      <w:r w:rsidR="0029581E" w:rsidRPr="58BDF21E">
        <w:rPr>
          <w:b/>
          <w:bCs/>
          <w:sz w:val="32"/>
          <w:szCs w:val="32"/>
          <w:lang w:val="pt-PT"/>
        </w:rPr>
        <w:t xml:space="preserve"> </w:t>
      </w:r>
      <w:r w:rsidR="00FD2566" w:rsidRPr="58BDF21E">
        <w:rPr>
          <w:b/>
          <w:bCs/>
          <w:sz w:val="32"/>
          <w:szCs w:val="32"/>
          <w:lang w:val="pt-PT"/>
        </w:rPr>
        <w:t>por</w:t>
      </w:r>
      <w:r w:rsidR="0029581E" w:rsidRPr="58BDF21E">
        <w:rPr>
          <w:b/>
          <w:bCs/>
          <w:sz w:val="32"/>
          <w:szCs w:val="32"/>
          <w:lang w:val="pt-PT"/>
        </w:rPr>
        <w:t xml:space="preserve"> recursos p</w:t>
      </w:r>
      <w:r w:rsidR="00FD2566" w:rsidRPr="58BDF21E">
        <w:rPr>
          <w:b/>
          <w:bCs/>
          <w:sz w:val="32"/>
          <w:szCs w:val="32"/>
          <w:lang w:val="pt-PT"/>
        </w:rPr>
        <w:t>ara suportar a</w:t>
      </w:r>
      <w:r w:rsidR="0029581E" w:rsidRPr="58BDF21E">
        <w:rPr>
          <w:b/>
          <w:bCs/>
          <w:sz w:val="32"/>
          <w:szCs w:val="32"/>
          <w:lang w:val="pt-PT"/>
        </w:rPr>
        <w:t xml:space="preserve"> IA é insustentável</w:t>
      </w:r>
    </w:p>
    <w:p w14:paraId="043ED0C4" w14:textId="2EA631B3" w:rsidR="0029581E" w:rsidRPr="003B705B" w:rsidRDefault="0029581E" w:rsidP="006763FB">
      <w:pPr>
        <w:spacing w:line="276" w:lineRule="auto"/>
        <w:jc w:val="center"/>
        <w:rPr>
          <w:b/>
          <w:bCs/>
          <w:i/>
          <w:iCs/>
          <w:lang w:val="pt-PT"/>
        </w:rPr>
      </w:pPr>
      <w:r w:rsidRPr="003B705B">
        <w:rPr>
          <w:i/>
          <w:iCs/>
          <w:lang w:val="pt-PT"/>
        </w:rPr>
        <w:br/>
      </w:r>
      <w:r w:rsidR="00FD2566" w:rsidRPr="003B705B">
        <w:rPr>
          <w:b/>
          <w:bCs/>
          <w:i/>
          <w:iCs/>
          <w:lang w:val="pt-PT"/>
        </w:rPr>
        <w:t xml:space="preserve">Novo White </w:t>
      </w:r>
      <w:proofErr w:type="spellStart"/>
      <w:r w:rsidR="00FD2566" w:rsidRPr="003B705B">
        <w:rPr>
          <w:b/>
          <w:bCs/>
          <w:i/>
          <w:iCs/>
          <w:lang w:val="pt-PT"/>
        </w:rPr>
        <w:t>paper</w:t>
      </w:r>
      <w:proofErr w:type="spellEnd"/>
      <w:r w:rsidRPr="003B705B">
        <w:rPr>
          <w:b/>
          <w:bCs/>
          <w:i/>
          <w:iCs/>
          <w:lang w:val="pt-PT"/>
        </w:rPr>
        <w:t xml:space="preserve"> da NTT DATA apela à ação e propõe soluções</w:t>
      </w:r>
    </w:p>
    <w:p w14:paraId="7346A969" w14:textId="028144AA" w:rsidR="00462B75" w:rsidRPr="00EC25C2" w:rsidRDefault="00462B75" w:rsidP="006763FB">
      <w:pPr>
        <w:spacing w:line="276" w:lineRule="auto"/>
        <w:jc w:val="both"/>
        <w:rPr>
          <w:b/>
          <w:bCs/>
          <w:sz w:val="20"/>
          <w:szCs w:val="20"/>
          <w:lang w:val="pt-PT"/>
        </w:rPr>
      </w:pPr>
      <w:bookmarkStart w:id="0" w:name="_Hlk208991917"/>
    </w:p>
    <w:p w14:paraId="6B12085A" w14:textId="03A8E643" w:rsidR="00462B75" w:rsidRPr="00EC25C2" w:rsidRDefault="003B705B" w:rsidP="006763FB">
      <w:pPr>
        <w:pStyle w:val="PargrafodaLista"/>
        <w:numPr>
          <w:ilvl w:val="0"/>
          <w:numId w:val="18"/>
        </w:numPr>
        <w:spacing w:line="276" w:lineRule="auto"/>
        <w:ind w:left="720"/>
        <w:jc w:val="both"/>
        <w:rPr>
          <w:lang w:val="pt-PT"/>
        </w:rPr>
      </w:pPr>
      <w:r>
        <w:rPr>
          <w:lang w:val="pt-PT"/>
        </w:rPr>
        <w:t>W</w:t>
      </w:r>
      <w:r w:rsidR="00462B75" w:rsidRPr="00EC25C2">
        <w:rPr>
          <w:lang w:val="pt-PT"/>
        </w:rPr>
        <w:t xml:space="preserve">hite </w:t>
      </w:r>
      <w:proofErr w:type="spellStart"/>
      <w:r w:rsidR="00462B75" w:rsidRPr="00EC25C2">
        <w:rPr>
          <w:lang w:val="pt-PT"/>
        </w:rPr>
        <w:t>paper</w:t>
      </w:r>
      <w:proofErr w:type="spellEnd"/>
      <w:r w:rsidR="00462B75" w:rsidRPr="00EC25C2">
        <w:rPr>
          <w:lang w:val="pt-PT"/>
        </w:rPr>
        <w:t xml:space="preserve"> mostra como a IA pode ajudar a resolver os desafios ambientais que ela própria cria </w:t>
      </w:r>
    </w:p>
    <w:p w14:paraId="2DD753BE" w14:textId="122A83E3" w:rsidR="00462B75" w:rsidRPr="00EC25C2" w:rsidRDefault="00462B75" w:rsidP="006763FB">
      <w:pPr>
        <w:pStyle w:val="PargrafodaLista"/>
        <w:numPr>
          <w:ilvl w:val="0"/>
          <w:numId w:val="18"/>
        </w:numPr>
        <w:spacing w:line="276" w:lineRule="auto"/>
        <w:ind w:left="720"/>
        <w:jc w:val="both"/>
        <w:rPr>
          <w:lang w:val="pt-PT"/>
        </w:rPr>
      </w:pPr>
      <w:r w:rsidRPr="00EC25C2">
        <w:rPr>
          <w:lang w:val="pt-PT"/>
        </w:rPr>
        <w:t xml:space="preserve">A eficiência dos recursos deve ser incorporada nos sistemas desde o início </w:t>
      </w:r>
    </w:p>
    <w:p w14:paraId="101CB0B3" w14:textId="38DCE2B9" w:rsidR="00462B75" w:rsidRPr="00EC25C2" w:rsidRDefault="00462B75" w:rsidP="006763FB">
      <w:pPr>
        <w:pStyle w:val="PargrafodaLista"/>
        <w:numPr>
          <w:ilvl w:val="0"/>
          <w:numId w:val="18"/>
        </w:numPr>
        <w:spacing w:line="276" w:lineRule="auto"/>
        <w:ind w:left="720"/>
        <w:jc w:val="both"/>
        <w:rPr>
          <w:lang w:val="pt-PT"/>
        </w:rPr>
      </w:pPr>
      <w:r w:rsidRPr="00EC25C2">
        <w:rPr>
          <w:lang w:val="pt-PT"/>
        </w:rPr>
        <w:t xml:space="preserve">IA sustentável exige </w:t>
      </w:r>
      <w:r w:rsidR="00FD2566" w:rsidRPr="00EC25C2">
        <w:rPr>
          <w:lang w:val="pt-PT"/>
        </w:rPr>
        <w:t>uma reflexão sobre todo o seu</w:t>
      </w:r>
      <w:r w:rsidRPr="00EC25C2">
        <w:rPr>
          <w:lang w:val="pt-PT"/>
        </w:rPr>
        <w:t xml:space="preserve"> ciclo de vida e </w:t>
      </w:r>
      <w:r w:rsidR="00FD2566" w:rsidRPr="00EC25C2">
        <w:rPr>
          <w:lang w:val="pt-PT"/>
        </w:rPr>
        <w:t xml:space="preserve">considerar </w:t>
      </w:r>
      <w:r w:rsidRPr="00EC25C2">
        <w:rPr>
          <w:lang w:val="pt-PT"/>
        </w:rPr>
        <w:t>princípios de economia circular</w:t>
      </w:r>
    </w:p>
    <w:p w14:paraId="6D5AD8AC" w14:textId="77777777" w:rsidR="00C84483" w:rsidRPr="00EC25C2" w:rsidRDefault="00C84483" w:rsidP="006763FB">
      <w:pPr>
        <w:spacing w:line="276" w:lineRule="auto"/>
        <w:jc w:val="both"/>
        <w:rPr>
          <w:b/>
          <w:bCs/>
          <w:lang w:val="pt-PT"/>
        </w:rPr>
      </w:pPr>
    </w:p>
    <w:p w14:paraId="3E393B0C" w14:textId="50CF216E" w:rsidR="002452FA" w:rsidRPr="007F262F" w:rsidRDefault="00FD2566" w:rsidP="006763FB">
      <w:pPr>
        <w:spacing w:line="276" w:lineRule="auto"/>
        <w:jc w:val="both"/>
        <w:rPr>
          <w:rFonts w:cs="Arial"/>
          <w:lang w:val="pt-PT"/>
        </w:rPr>
      </w:pPr>
      <w:r w:rsidRPr="13E7BDFD">
        <w:rPr>
          <w:b/>
          <w:bCs/>
          <w:lang w:val="pt-PT"/>
        </w:rPr>
        <w:t xml:space="preserve">Lisboa, </w:t>
      </w:r>
      <w:r w:rsidR="002538EF">
        <w:rPr>
          <w:b/>
          <w:bCs/>
          <w:lang w:val="pt-PT"/>
        </w:rPr>
        <w:t>03</w:t>
      </w:r>
      <w:r w:rsidRPr="13E7BDFD">
        <w:rPr>
          <w:b/>
          <w:bCs/>
          <w:lang w:val="pt-PT"/>
        </w:rPr>
        <w:t xml:space="preserve"> de </w:t>
      </w:r>
      <w:r w:rsidR="002538EF">
        <w:rPr>
          <w:b/>
          <w:bCs/>
          <w:lang w:val="pt-PT"/>
        </w:rPr>
        <w:t>novembro</w:t>
      </w:r>
      <w:r w:rsidRPr="13E7BDFD">
        <w:rPr>
          <w:b/>
          <w:bCs/>
          <w:lang w:val="pt-PT"/>
        </w:rPr>
        <w:t xml:space="preserve"> de 2025 –</w:t>
      </w:r>
      <w:r w:rsidRPr="13E7BDFD">
        <w:rPr>
          <w:lang w:val="pt-PT"/>
        </w:rPr>
        <w:t xml:space="preserve"> O mais recente</w:t>
      </w:r>
      <w:r w:rsidR="00F75CFE" w:rsidRPr="13E7BDFD">
        <w:rPr>
          <w:lang w:val="pt-PT"/>
        </w:rPr>
        <w:t xml:space="preserve"> white paper da NTT DATA, líder global em IA, </w:t>
      </w:r>
      <w:r w:rsidRPr="13E7BDFD">
        <w:rPr>
          <w:lang w:val="pt-PT"/>
        </w:rPr>
        <w:t>serviços de negócio e tecnologia</w:t>
      </w:r>
      <w:r w:rsidR="00F75CFE" w:rsidRPr="13E7BDFD">
        <w:rPr>
          <w:lang w:val="pt-PT"/>
        </w:rPr>
        <w:t>, destaca a necessidade urgente de integrar a sustentabilidade em todas as fases do desenvolvimento e implementação da IA, como forma de mitigar o impacto ambiental desta tecnologia. A adoção de soluções inovadoras para uma IA sustentável é uma responsabilidade corporativa e uma oportunidade estratégica para gerar valor duradouro, reforçar a resiliência organizacional e reduzir o consumo de recursos essenciais.</w:t>
      </w:r>
    </w:p>
    <w:p w14:paraId="10FC005A" w14:textId="77777777" w:rsidR="00F75CFE" w:rsidRPr="007F262F" w:rsidRDefault="00F75CFE" w:rsidP="006763FB">
      <w:pPr>
        <w:spacing w:line="276" w:lineRule="auto"/>
        <w:jc w:val="both"/>
        <w:rPr>
          <w:lang w:val="pt-PT"/>
        </w:rPr>
      </w:pPr>
    </w:p>
    <w:p w14:paraId="0F342638" w14:textId="1A9C1E28" w:rsidR="00195F8E" w:rsidRPr="00EC25C2" w:rsidRDefault="00195F8E" w:rsidP="006763FB">
      <w:pPr>
        <w:spacing w:line="276" w:lineRule="auto"/>
        <w:jc w:val="both"/>
        <w:rPr>
          <w:lang w:val="pt-PT"/>
        </w:rPr>
      </w:pPr>
      <w:r w:rsidRPr="00EC25C2">
        <w:rPr>
          <w:lang w:val="pt-PT"/>
        </w:rPr>
        <w:t xml:space="preserve">A análise intitulada </w:t>
      </w:r>
      <w:r w:rsidRPr="00EC25C2">
        <w:rPr>
          <w:i/>
          <w:iCs/>
          <w:lang w:val="pt-PT"/>
        </w:rPr>
        <w:t>‘</w:t>
      </w:r>
      <w:proofErr w:type="spellStart"/>
      <w:r w:rsidRPr="00EC25C2">
        <w:rPr>
          <w:i/>
          <w:iCs/>
          <w:lang w:val="pt-PT"/>
        </w:rPr>
        <w:t>Sustainable</w:t>
      </w:r>
      <w:proofErr w:type="spellEnd"/>
      <w:r w:rsidRPr="00EC25C2">
        <w:rPr>
          <w:i/>
          <w:iCs/>
          <w:lang w:val="pt-PT"/>
        </w:rPr>
        <w:t xml:space="preserve"> AI for a </w:t>
      </w:r>
      <w:proofErr w:type="spellStart"/>
      <w:r w:rsidRPr="00EC25C2">
        <w:rPr>
          <w:i/>
          <w:iCs/>
          <w:lang w:val="pt-PT"/>
        </w:rPr>
        <w:t>Greener</w:t>
      </w:r>
      <w:proofErr w:type="spellEnd"/>
      <w:r w:rsidRPr="00EC25C2">
        <w:rPr>
          <w:i/>
          <w:iCs/>
          <w:lang w:val="pt-PT"/>
        </w:rPr>
        <w:t xml:space="preserve"> </w:t>
      </w:r>
      <w:proofErr w:type="spellStart"/>
      <w:r w:rsidRPr="00EC25C2">
        <w:rPr>
          <w:i/>
          <w:iCs/>
          <w:lang w:val="pt-PT"/>
        </w:rPr>
        <w:t>Tomorrow</w:t>
      </w:r>
      <w:proofErr w:type="spellEnd"/>
      <w:r w:rsidRPr="00EC25C2">
        <w:rPr>
          <w:i/>
          <w:iCs/>
          <w:lang w:val="pt-PT"/>
        </w:rPr>
        <w:t>’</w:t>
      </w:r>
      <w:r w:rsidRPr="00EC25C2">
        <w:rPr>
          <w:lang w:val="pt-PT"/>
        </w:rPr>
        <w:t>, ilustra o crescente impacto ambiental da inteligência artificial e propõe um caminho para a inovação sustentável. Esta tecnologia exige enormes volumes de eletricidade para responder às crescentes necessidades computacionais, como o treino de modelos de linguagem de grande escala, a execução de pipelines de inferência e a manutenção de serviços permanentemente ativos. Os investigadores preveem que, até 2028, as cargas de trabalho associadas à IA sejam responsáveis por mais de 50% do consumo energético dos centros de dados. Outros impactos ambientais significativos incluem o consumo de água dirigido para os sistemas de arrefecimento desses centros, o lixo eletrónico e a extração de minerais raros para a produção de hardware.</w:t>
      </w:r>
    </w:p>
    <w:p w14:paraId="2F9CDADB" w14:textId="77777777" w:rsidR="00F75CFE" w:rsidRPr="007F262F" w:rsidRDefault="00F75CFE" w:rsidP="006763FB">
      <w:pPr>
        <w:spacing w:line="276" w:lineRule="auto"/>
        <w:jc w:val="both"/>
        <w:rPr>
          <w:lang w:val="pt-PT"/>
        </w:rPr>
      </w:pPr>
    </w:p>
    <w:p w14:paraId="142646A6" w14:textId="71EF7B06" w:rsidR="00F75CFE" w:rsidRPr="00EC25C2" w:rsidRDefault="00F75CFE" w:rsidP="006763FB">
      <w:pPr>
        <w:spacing w:line="276" w:lineRule="auto"/>
        <w:jc w:val="both"/>
        <w:rPr>
          <w:lang w:val="pt-PT"/>
        </w:rPr>
      </w:pPr>
      <w:r w:rsidRPr="00EC25C2">
        <w:rPr>
          <w:lang w:val="pt-PT"/>
        </w:rPr>
        <w:t>“As consequências do rápido crescimento e adoção da IA em termos de recursos são preocupantes, mas esta tecnologia também pode</w:t>
      </w:r>
      <w:r w:rsidR="00195F8E" w:rsidRPr="00EC25C2">
        <w:rPr>
          <w:lang w:val="pt-PT"/>
        </w:rPr>
        <w:t xml:space="preserve"> dar origem a </w:t>
      </w:r>
      <w:r w:rsidRPr="00EC25C2">
        <w:rPr>
          <w:lang w:val="pt-PT"/>
        </w:rPr>
        <w:t xml:space="preserve">soluções inovadoras para os problemas ambientais que ela própria gera”, </w:t>
      </w:r>
      <w:r w:rsidRPr="00EC25C2">
        <w:rPr>
          <w:b/>
          <w:bCs/>
          <w:lang w:val="pt-PT"/>
        </w:rPr>
        <w:t>afirm</w:t>
      </w:r>
      <w:r w:rsidR="00195F8E" w:rsidRPr="00EC25C2">
        <w:rPr>
          <w:b/>
          <w:bCs/>
          <w:lang w:val="pt-PT"/>
        </w:rPr>
        <w:t xml:space="preserve">a </w:t>
      </w:r>
      <w:r w:rsidRPr="00EC25C2">
        <w:rPr>
          <w:b/>
          <w:bCs/>
          <w:lang w:val="pt-PT"/>
        </w:rPr>
        <w:t>David Costa,</w:t>
      </w:r>
      <w:r w:rsidRPr="00EC25C2">
        <w:rPr>
          <w:lang w:val="pt-PT"/>
        </w:rPr>
        <w:t xml:space="preserve"> </w:t>
      </w:r>
      <w:proofErr w:type="spellStart"/>
      <w:r w:rsidR="00195F8E" w:rsidRPr="00EC25C2">
        <w:rPr>
          <w:b/>
          <w:bCs/>
          <w:lang w:val="pt-PT"/>
        </w:rPr>
        <w:t>Head</w:t>
      </w:r>
      <w:proofErr w:type="spellEnd"/>
      <w:r w:rsidR="00195F8E" w:rsidRPr="00EC25C2">
        <w:rPr>
          <w:b/>
          <w:bCs/>
          <w:lang w:val="pt-PT"/>
        </w:rPr>
        <w:t xml:space="preserve"> </w:t>
      </w:r>
      <w:proofErr w:type="spellStart"/>
      <w:r w:rsidR="00195F8E" w:rsidRPr="00EC25C2">
        <w:rPr>
          <w:b/>
          <w:bCs/>
          <w:lang w:val="pt-PT"/>
        </w:rPr>
        <w:t>of</w:t>
      </w:r>
      <w:proofErr w:type="spellEnd"/>
      <w:r w:rsidR="00195F8E" w:rsidRPr="00EC25C2">
        <w:rPr>
          <w:b/>
          <w:bCs/>
          <w:lang w:val="pt-PT"/>
        </w:rPr>
        <w:t xml:space="preserve"> </w:t>
      </w:r>
      <w:proofErr w:type="spellStart"/>
      <w:r w:rsidR="00195F8E" w:rsidRPr="00EC25C2">
        <w:rPr>
          <w:b/>
          <w:bCs/>
          <w:lang w:val="pt-PT"/>
        </w:rPr>
        <w:t>Sustainability</w:t>
      </w:r>
      <w:proofErr w:type="spellEnd"/>
      <w:r w:rsidR="00195F8E" w:rsidRPr="00EC25C2">
        <w:rPr>
          <w:b/>
          <w:bCs/>
          <w:lang w:val="pt-PT"/>
        </w:rPr>
        <w:t xml:space="preserve"> </w:t>
      </w:r>
      <w:proofErr w:type="spellStart"/>
      <w:r w:rsidR="00195F8E" w:rsidRPr="00EC25C2">
        <w:rPr>
          <w:b/>
          <w:bCs/>
          <w:lang w:val="pt-PT"/>
        </w:rPr>
        <w:t>Innovation</w:t>
      </w:r>
      <w:proofErr w:type="spellEnd"/>
      <w:r w:rsidR="00195F8E" w:rsidRPr="00EC25C2">
        <w:rPr>
          <w:b/>
          <w:bCs/>
          <w:lang w:val="pt-PT"/>
        </w:rPr>
        <w:t xml:space="preserve"> </w:t>
      </w:r>
      <w:proofErr w:type="spellStart"/>
      <w:r w:rsidR="00195F8E" w:rsidRPr="00EC25C2">
        <w:rPr>
          <w:b/>
          <w:bCs/>
          <w:lang w:val="pt-PT"/>
        </w:rPr>
        <w:t>Headquarters</w:t>
      </w:r>
      <w:proofErr w:type="spellEnd"/>
      <w:r w:rsidR="00195F8E" w:rsidRPr="00EC25C2">
        <w:rPr>
          <w:b/>
          <w:bCs/>
          <w:lang w:val="pt-PT"/>
        </w:rPr>
        <w:t>, NTT DATA</w:t>
      </w:r>
      <w:r w:rsidRPr="00EC25C2">
        <w:rPr>
          <w:lang w:val="pt-PT"/>
        </w:rPr>
        <w:t>. “As capacidades extraordinárias da IA podem ajudar a gerir redes energéticas de forma mais eficiente, reduzir as emissões globais, modelar riscos ambientais e melhorar a conservação da água. É fundamental que as organizações reconheçam este desafio e integrem a sustentabilidade nos sistemas de IA desde o início.”</w:t>
      </w:r>
    </w:p>
    <w:p w14:paraId="56B30853" w14:textId="4665C2E4" w:rsidR="00953C38" w:rsidRPr="00EC25C2" w:rsidRDefault="00953C38" w:rsidP="006763FB">
      <w:pPr>
        <w:spacing w:line="276" w:lineRule="auto"/>
        <w:jc w:val="both"/>
        <w:rPr>
          <w:lang w:val="pt-PT"/>
        </w:rPr>
      </w:pPr>
    </w:p>
    <w:p w14:paraId="2BCC79DF" w14:textId="7076DCCC" w:rsidR="00F75CFE" w:rsidRPr="00EC25C2" w:rsidRDefault="00F75CFE" w:rsidP="006763FB">
      <w:pPr>
        <w:spacing w:line="276" w:lineRule="auto"/>
        <w:jc w:val="both"/>
      </w:pPr>
      <w:proofErr w:type="spellStart"/>
      <w:r w:rsidRPr="00EC25C2">
        <w:rPr>
          <w:b/>
          <w:bCs/>
        </w:rPr>
        <w:t>Principais</w:t>
      </w:r>
      <w:proofErr w:type="spellEnd"/>
      <w:r w:rsidRPr="00EC25C2">
        <w:rPr>
          <w:b/>
          <w:bCs/>
        </w:rPr>
        <w:t xml:space="preserve"> Conclusões</w:t>
      </w:r>
      <w:r w:rsidR="00953C38" w:rsidRPr="00EC25C2">
        <w:rPr>
          <w:b/>
          <w:bCs/>
        </w:rPr>
        <w:br/>
      </w:r>
    </w:p>
    <w:p w14:paraId="46097D9C" w14:textId="59843098" w:rsidR="00F75CFE" w:rsidRPr="00EC25C2" w:rsidRDefault="00324E54" w:rsidP="006763FB">
      <w:pPr>
        <w:pStyle w:val="PargrafodaLista"/>
        <w:numPr>
          <w:ilvl w:val="0"/>
          <w:numId w:val="12"/>
        </w:numPr>
        <w:spacing w:line="276" w:lineRule="auto"/>
        <w:jc w:val="both"/>
        <w:rPr>
          <w:lang w:val="pt-PT"/>
        </w:rPr>
      </w:pPr>
      <w:r w:rsidRPr="0C5395E4">
        <w:rPr>
          <w:b/>
          <w:bCs/>
          <w:lang w:val="pt-PT"/>
        </w:rPr>
        <w:t>Alargar</w:t>
      </w:r>
      <w:r w:rsidR="00F75CFE" w:rsidRPr="0C5395E4">
        <w:rPr>
          <w:b/>
          <w:bCs/>
          <w:lang w:val="pt-PT"/>
        </w:rPr>
        <w:t xml:space="preserve"> as Prioridades de Desempenho </w:t>
      </w:r>
      <w:r w:rsidRPr="0C5395E4">
        <w:rPr>
          <w:b/>
          <w:bCs/>
          <w:lang w:val="pt-PT"/>
        </w:rPr>
        <w:t>às</w:t>
      </w:r>
      <w:r w:rsidR="00F75CFE" w:rsidRPr="0C5395E4">
        <w:rPr>
          <w:b/>
          <w:bCs/>
          <w:lang w:val="pt-PT"/>
        </w:rPr>
        <w:t xml:space="preserve"> Prioridades Ambientais</w:t>
      </w:r>
      <w:r w:rsidR="00F75CFE" w:rsidRPr="0C5395E4">
        <w:rPr>
          <w:lang w:val="pt-PT"/>
        </w:rPr>
        <w:t xml:space="preserve">: Os especialistas em IA e consultores de sustentabilidade da NTT DATA defendem a adoção de objetivos de sustentabilidade holísticos, e não apenas métricas convencionais de desempenho da </w:t>
      </w:r>
      <w:r w:rsidR="00F75CFE" w:rsidRPr="0C5395E4">
        <w:rPr>
          <w:lang w:val="pt-PT"/>
        </w:rPr>
        <w:lastRenderedPageBreak/>
        <w:t xml:space="preserve">IA, como precisão e velocidade. A eficiência deve ser uma prioridade, não </w:t>
      </w:r>
      <w:r w:rsidR="23613C88" w:rsidRPr="0C5395E4">
        <w:rPr>
          <w:lang w:val="pt-PT"/>
        </w:rPr>
        <w:t xml:space="preserve">apenas </w:t>
      </w:r>
      <w:r w:rsidR="00F75CFE" w:rsidRPr="0C5395E4">
        <w:rPr>
          <w:lang w:val="pt-PT"/>
        </w:rPr>
        <w:t>como um compromisso, mas como um princípio fundamental de design.</w:t>
      </w:r>
    </w:p>
    <w:p w14:paraId="75249CD7" w14:textId="00A54986" w:rsidR="00F75CFE" w:rsidRPr="00EC25C2" w:rsidRDefault="00F75CFE" w:rsidP="006763FB">
      <w:pPr>
        <w:pStyle w:val="PargrafodaLista"/>
        <w:numPr>
          <w:ilvl w:val="0"/>
          <w:numId w:val="12"/>
        </w:numPr>
        <w:spacing w:line="276" w:lineRule="auto"/>
        <w:jc w:val="both"/>
        <w:rPr>
          <w:lang w:val="pt-PT"/>
        </w:rPr>
      </w:pPr>
      <w:r w:rsidRPr="00EC25C2">
        <w:rPr>
          <w:b/>
          <w:bCs/>
          <w:lang w:val="pt-PT"/>
        </w:rPr>
        <w:t>Quantificar o Impacto Ambiental:</w:t>
      </w:r>
      <w:r w:rsidRPr="00EC25C2">
        <w:rPr>
          <w:lang w:val="pt-PT"/>
        </w:rPr>
        <w:t xml:space="preserve"> O consumo energético, as emissões de carbono e a pegada hídrica da IA precisam de métricas padronizadas e verificáveis. Referenciais da indústria como o AI </w:t>
      </w:r>
      <w:proofErr w:type="spellStart"/>
      <w:r w:rsidRPr="00EC25C2">
        <w:rPr>
          <w:lang w:val="pt-PT"/>
        </w:rPr>
        <w:t>Energy</w:t>
      </w:r>
      <w:proofErr w:type="spellEnd"/>
      <w:r w:rsidRPr="00EC25C2">
        <w:rPr>
          <w:lang w:val="pt-PT"/>
        </w:rPr>
        <w:t xml:space="preserve"> Score e o Software </w:t>
      </w:r>
      <w:proofErr w:type="spellStart"/>
      <w:r w:rsidRPr="00EC25C2">
        <w:rPr>
          <w:lang w:val="pt-PT"/>
        </w:rPr>
        <w:t>Carbon</w:t>
      </w:r>
      <w:proofErr w:type="spellEnd"/>
      <w:r w:rsidRPr="00EC25C2">
        <w:rPr>
          <w:lang w:val="pt-PT"/>
        </w:rPr>
        <w:t xml:space="preserve"> </w:t>
      </w:r>
      <w:proofErr w:type="spellStart"/>
      <w:r w:rsidRPr="00EC25C2">
        <w:rPr>
          <w:lang w:val="pt-PT"/>
        </w:rPr>
        <w:t>Intensity</w:t>
      </w:r>
      <w:proofErr w:type="spellEnd"/>
      <w:r w:rsidRPr="00EC25C2">
        <w:rPr>
          <w:lang w:val="pt-PT"/>
        </w:rPr>
        <w:t xml:space="preserve"> (SCI) for AI oferecem formas de integrar a sustentabilidade nos protocolos de governação, aquisição e conformidade.</w:t>
      </w:r>
    </w:p>
    <w:p w14:paraId="18A1D5C6" w14:textId="50F201D2" w:rsidR="00F75CFE" w:rsidRPr="00EC25C2" w:rsidRDefault="00F75CFE" w:rsidP="006763FB">
      <w:pPr>
        <w:pStyle w:val="PargrafodaLista"/>
        <w:numPr>
          <w:ilvl w:val="0"/>
          <w:numId w:val="12"/>
        </w:numPr>
        <w:spacing w:line="276" w:lineRule="auto"/>
        <w:jc w:val="both"/>
        <w:rPr>
          <w:lang w:val="pt-PT"/>
        </w:rPr>
      </w:pPr>
      <w:r w:rsidRPr="00EC25C2">
        <w:rPr>
          <w:b/>
          <w:bCs/>
          <w:lang w:val="pt-PT"/>
        </w:rPr>
        <w:t>Abordagem Centrada no Ciclo de Vida:</w:t>
      </w:r>
      <w:r w:rsidRPr="00EC25C2">
        <w:rPr>
          <w:lang w:val="pt-PT"/>
        </w:rPr>
        <w:t xml:space="preserve"> Uma IA sustentável exige uma abordagem </w:t>
      </w:r>
      <w:r w:rsidR="00EC25C2" w:rsidRPr="00EC25C2">
        <w:rPr>
          <w:lang w:val="pt-PT"/>
        </w:rPr>
        <w:t xml:space="preserve">focada </w:t>
      </w:r>
      <w:r w:rsidRPr="00EC25C2">
        <w:rPr>
          <w:lang w:val="pt-PT"/>
        </w:rPr>
        <w:t>no ciclo de vida, desde a extração de matérias-primas e produção de hardware até à implementação dos sistemas e ao seu descarte final. Etapas importantes incluem o prolongamento da vida útil do hardware, a otimização dos sistemas de arrefecimento e a aplicação de princípios da economia circular.</w:t>
      </w:r>
    </w:p>
    <w:p w14:paraId="1392D58A" w14:textId="3C1CABFB" w:rsidR="00F75CFE" w:rsidRPr="00EC25C2" w:rsidRDefault="00F75CFE" w:rsidP="006763FB">
      <w:pPr>
        <w:pStyle w:val="PargrafodaLista"/>
        <w:numPr>
          <w:ilvl w:val="0"/>
          <w:numId w:val="12"/>
        </w:numPr>
        <w:spacing w:line="276" w:lineRule="auto"/>
        <w:jc w:val="both"/>
        <w:rPr>
          <w:lang w:val="pt-PT"/>
        </w:rPr>
      </w:pPr>
      <w:r w:rsidRPr="00EC25C2">
        <w:rPr>
          <w:b/>
          <w:bCs/>
          <w:lang w:val="pt-PT"/>
        </w:rPr>
        <w:t>Responsabilidade Partilhada em Todo o Ecossistema</w:t>
      </w:r>
      <w:r w:rsidRPr="00EC25C2">
        <w:rPr>
          <w:lang w:val="pt-PT"/>
        </w:rPr>
        <w:t xml:space="preserve">: A responsabilidade está amplamente distribuída, </w:t>
      </w:r>
      <w:r w:rsidR="00EC25C2" w:rsidRPr="00EC25C2">
        <w:rPr>
          <w:lang w:val="pt-PT"/>
        </w:rPr>
        <w:t>incluindo</w:t>
      </w:r>
      <w:r w:rsidRPr="00EC25C2">
        <w:rPr>
          <w:lang w:val="pt-PT"/>
        </w:rPr>
        <w:t xml:space="preserve"> fabricantes de hardware, operadores de centros de dados, programadores de software, fornecedores de </w:t>
      </w:r>
      <w:proofErr w:type="spellStart"/>
      <w:r w:rsidRPr="00EC25C2">
        <w:rPr>
          <w:lang w:val="pt-PT"/>
        </w:rPr>
        <w:t>cloud</w:t>
      </w:r>
      <w:proofErr w:type="spellEnd"/>
      <w:r w:rsidRPr="00EC25C2">
        <w:rPr>
          <w:lang w:val="pt-PT"/>
        </w:rPr>
        <w:t>, decisores políticos, investidores e consumidores. A cooperação intersectorial é essencial para uma mudança sistémica.</w:t>
      </w:r>
    </w:p>
    <w:p w14:paraId="7824290C" w14:textId="77777777" w:rsidR="005B7C59" w:rsidRPr="00EC25C2" w:rsidRDefault="005B7C59" w:rsidP="006763FB">
      <w:pPr>
        <w:spacing w:line="276" w:lineRule="auto"/>
        <w:jc w:val="both"/>
        <w:rPr>
          <w:lang w:val="pt-PT"/>
        </w:rPr>
      </w:pPr>
    </w:p>
    <w:p w14:paraId="18836736" w14:textId="202F5AC6" w:rsidR="00F75CFE" w:rsidRPr="00EC25C2" w:rsidRDefault="00F75CFE" w:rsidP="006763FB">
      <w:pPr>
        <w:spacing w:line="276" w:lineRule="auto"/>
        <w:jc w:val="both"/>
        <w:rPr>
          <w:b/>
          <w:bCs/>
          <w:lang w:val="pt-PT"/>
        </w:rPr>
      </w:pPr>
      <w:r w:rsidRPr="00EC25C2">
        <w:rPr>
          <w:b/>
          <w:bCs/>
          <w:lang w:val="pt-PT"/>
        </w:rPr>
        <w:t>Desafios e Melhores Práticas</w:t>
      </w:r>
    </w:p>
    <w:p w14:paraId="54F77892" w14:textId="77777777" w:rsidR="002F12CE" w:rsidRPr="00EC25C2" w:rsidRDefault="002F12CE" w:rsidP="006763FB">
      <w:pPr>
        <w:spacing w:line="276" w:lineRule="auto"/>
        <w:jc w:val="both"/>
        <w:rPr>
          <w:lang w:val="pt-PT"/>
        </w:rPr>
      </w:pPr>
    </w:p>
    <w:p w14:paraId="33B681BE" w14:textId="67469ABC" w:rsidR="00F75CFE" w:rsidRPr="00EC25C2" w:rsidRDefault="00F75CFE" w:rsidP="006763FB">
      <w:pPr>
        <w:spacing w:line="276" w:lineRule="auto"/>
        <w:jc w:val="both"/>
        <w:rPr>
          <w:lang w:val="pt-PT"/>
        </w:rPr>
      </w:pPr>
      <w:r w:rsidRPr="00EC25C2">
        <w:rPr>
          <w:lang w:val="pt-PT"/>
        </w:rPr>
        <w:t xml:space="preserve">Atualmente, avaliações fragmentadas e métricas inconsistentes impedem frequentemente a criação de referências </w:t>
      </w:r>
      <w:r w:rsidR="00EC25C2" w:rsidRPr="00EC25C2">
        <w:rPr>
          <w:lang w:val="pt-PT"/>
        </w:rPr>
        <w:t>com significado</w:t>
      </w:r>
      <w:r w:rsidRPr="00EC25C2">
        <w:rPr>
          <w:lang w:val="pt-PT"/>
        </w:rPr>
        <w:t>. Muitas organizações concentram-se exclusivamente no consumo de energia ou nas emissões, sem considerar o uso de água, o esgotamento de materiais raros e o lixo eletrónico. Estes e outros fatores devem ser abordados de forma abrangente. Mesmo quando são definidos objetivos ambientais, as organizações muitas vezes não dispõem de métodos práticos para aplicar a sustentabilidade em todas as fases do ciclo de vida da IA.</w:t>
      </w:r>
    </w:p>
    <w:p w14:paraId="5543DBBF" w14:textId="77777777" w:rsidR="005B7C59" w:rsidRPr="00EC25C2" w:rsidRDefault="005B7C59" w:rsidP="006763FB">
      <w:pPr>
        <w:spacing w:line="276" w:lineRule="auto"/>
        <w:jc w:val="both"/>
        <w:rPr>
          <w:b/>
          <w:bCs/>
          <w:lang w:val="pt-PT"/>
        </w:rPr>
      </w:pPr>
    </w:p>
    <w:p w14:paraId="2CD688CC" w14:textId="4DAB48A4" w:rsidR="00F75CFE" w:rsidRPr="00EC25C2" w:rsidRDefault="00F75CFE" w:rsidP="006763FB">
      <w:pPr>
        <w:spacing w:line="276" w:lineRule="auto"/>
        <w:jc w:val="both"/>
        <w:rPr>
          <w:lang w:val="pt-PT"/>
        </w:rPr>
      </w:pPr>
      <w:r w:rsidRPr="00EC25C2">
        <w:rPr>
          <w:lang w:val="pt-PT"/>
        </w:rPr>
        <w:t xml:space="preserve">Para responder a estas e outras preocupações, o relatório apresenta várias boas práticas, </w:t>
      </w:r>
      <w:r w:rsidR="00EC25C2" w:rsidRPr="00EC25C2">
        <w:rPr>
          <w:lang w:val="pt-PT"/>
        </w:rPr>
        <w:t>nomeadamente</w:t>
      </w:r>
      <w:r w:rsidRPr="00EC25C2">
        <w:rPr>
          <w:lang w:val="pt-PT"/>
        </w:rPr>
        <w:t>:</w:t>
      </w:r>
      <w:r w:rsidR="000129BD" w:rsidRPr="00EC25C2">
        <w:rPr>
          <w:lang w:val="pt-PT"/>
        </w:rPr>
        <w:br/>
      </w:r>
    </w:p>
    <w:p w14:paraId="644BA681" w14:textId="73E1168E" w:rsidR="00F75CFE" w:rsidRPr="00EC25C2" w:rsidRDefault="00F75CFE" w:rsidP="006763FB">
      <w:pPr>
        <w:pStyle w:val="PargrafodaLista"/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EC25C2">
        <w:rPr>
          <w:lang w:val="pt-PT"/>
        </w:rPr>
        <w:t xml:space="preserve">Aplicar padrões de engenharia de software verde para reduzir o consumo de recursos </w:t>
      </w:r>
    </w:p>
    <w:p w14:paraId="453F7FC6" w14:textId="4EBFB3AF" w:rsidR="00F75CFE" w:rsidRPr="00EC25C2" w:rsidRDefault="00F75CFE" w:rsidP="006763FB">
      <w:pPr>
        <w:pStyle w:val="PargrafodaLista"/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EC25C2">
        <w:rPr>
          <w:lang w:val="pt-PT"/>
        </w:rPr>
        <w:t xml:space="preserve">Executar cargas de trabalho de IA em locais e horários que coincidam com a disponibilidade de energia renovável </w:t>
      </w:r>
    </w:p>
    <w:p w14:paraId="3015B1C3" w14:textId="5408D673" w:rsidR="00F75CFE" w:rsidRPr="00EC25C2" w:rsidRDefault="00F75CFE" w:rsidP="006763FB">
      <w:pPr>
        <w:pStyle w:val="PargrafodaLista"/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EC25C2">
        <w:rPr>
          <w:lang w:val="pt-PT"/>
        </w:rPr>
        <w:t>Recorrer a serviços remotos de GPU e soluções de IA locais (</w:t>
      </w:r>
      <w:proofErr w:type="spellStart"/>
      <w:r w:rsidRPr="00EC25C2">
        <w:rPr>
          <w:lang w:val="pt-PT"/>
        </w:rPr>
        <w:t>on-premises</w:t>
      </w:r>
      <w:proofErr w:type="spellEnd"/>
      <w:r w:rsidRPr="00EC25C2">
        <w:rPr>
          <w:lang w:val="pt-PT"/>
        </w:rPr>
        <w:t xml:space="preserve">) </w:t>
      </w:r>
    </w:p>
    <w:p w14:paraId="77A9C5DD" w14:textId="529F8B2E" w:rsidR="00F75CFE" w:rsidRPr="00EC25C2" w:rsidRDefault="00F75CFE" w:rsidP="006763FB">
      <w:pPr>
        <w:pStyle w:val="PargrafodaLista"/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EC25C2">
        <w:rPr>
          <w:lang w:val="pt-PT"/>
        </w:rPr>
        <w:t>Reduzir o lixo eletrónico, dando prioridade a componentes modulares e atualizáveis, e prolongar a vida útil do hardware através de renovação, reutilização e reciclagem responsável</w:t>
      </w:r>
    </w:p>
    <w:p w14:paraId="6791C731" w14:textId="77777777" w:rsidR="00F75CFE" w:rsidRPr="007F262F" w:rsidRDefault="00F75CFE" w:rsidP="006763FB">
      <w:pPr>
        <w:tabs>
          <w:tab w:val="left" w:pos="1701"/>
        </w:tabs>
        <w:spacing w:line="276" w:lineRule="auto"/>
        <w:jc w:val="both"/>
        <w:rPr>
          <w:rFonts w:cs="Arial"/>
          <w:lang w:val="pt-PT" w:eastAsia="ja-JP"/>
        </w:rPr>
      </w:pPr>
    </w:p>
    <w:p w14:paraId="4BB38D18" w14:textId="77B3EF5A" w:rsidR="00F75CFE" w:rsidRPr="00EC25C2" w:rsidRDefault="00EC25C2" w:rsidP="006763FB">
      <w:pPr>
        <w:tabs>
          <w:tab w:val="left" w:pos="1701"/>
        </w:tabs>
        <w:spacing w:line="276" w:lineRule="auto"/>
        <w:jc w:val="both"/>
        <w:rPr>
          <w:rFonts w:cs="Arial"/>
          <w:lang w:val="pt-PT" w:eastAsia="ja-JP"/>
        </w:rPr>
      </w:pPr>
      <w:r w:rsidRPr="00EC25C2">
        <w:rPr>
          <w:rFonts w:cs="Arial"/>
          <w:lang w:val="pt-PT" w:eastAsia="ja-JP"/>
        </w:rPr>
        <w:t xml:space="preserve">Apesar do </w:t>
      </w:r>
      <w:r w:rsidR="00324E54">
        <w:rPr>
          <w:rFonts w:cs="Arial"/>
          <w:lang w:val="pt-PT" w:eastAsia="ja-JP"/>
        </w:rPr>
        <w:t>caminho</w:t>
      </w:r>
      <w:r w:rsidRPr="00EC25C2">
        <w:rPr>
          <w:rFonts w:cs="Arial"/>
          <w:lang w:val="pt-PT" w:eastAsia="ja-JP"/>
        </w:rPr>
        <w:t xml:space="preserve"> para</w:t>
      </w:r>
      <w:r w:rsidR="00F75CFE" w:rsidRPr="00EC25C2">
        <w:rPr>
          <w:rFonts w:cs="Arial"/>
          <w:lang w:val="pt-PT" w:eastAsia="ja-JP"/>
        </w:rPr>
        <w:t xml:space="preserve"> uma IA sustentável </w:t>
      </w:r>
      <w:r w:rsidRPr="00EC25C2">
        <w:rPr>
          <w:rFonts w:cs="Arial"/>
          <w:lang w:val="pt-PT" w:eastAsia="ja-JP"/>
        </w:rPr>
        <w:t>ser</w:t>
      </w:r>
      <w:r w:rsidR="00F75CFE" w:rsidRPr="00EC25C2">
        <w:rPr>
          <w:rFonts w:cs="Arial"/>
          <w:lang w:val="pt-PT" w:eastAsia="ja-JP"/>
        </w:rPr>
        <w:t xml:space="preserve"> complexo, </w:t>
      </w:r>
      <w:r w:rsidRPr="00EC25C2">
        <w:rPr>
          <w:rFonts w:cs="Arial"/>
          <w:lang w:val="pt-PT" w:eastAsia="ja-JP"/>
        </w:rPr>
        <w:t>um redesenho</w:t>
      </w:r>
      <w:r w:rsidR="00F75CFE" w:rsidRPr="00EC25C2">
        <w:rPr>
          <w:rFonts w:cs="Arial"/>
          <w:lang w:val="pt-PT" w:eastAsia="ja-JP"/>
        </w:rPr>
        <w:t xml:space="preserve"> intencional e complet</w:t>
      </w:r>
      <w:r w:rsidRPr="00EC25C2">
        <w:rPr>
          <w:rFonts w:cs="Arial"/>
          <w:lang w:val="pt-PT" w:eastAsia="ja-JP"/>
        </w:rPr>
        <w:t>o</w:t>
      </w:r>
      <w:r w:rsidR="00F75CFE" w:rsidRPr="00EC25C2">
        <w:rPr>
          <w:rFonts w:cs="Arial"/>
          <w:lang w:val="pt-PT" w:eastAsia="ja-JP"/>
        </w:rPr>
        <w:t xml:space="preserve"> do ciclo de vida da IA pode ajudar a concretizar o potencial positivo desta tecnologia, ao mesmo tempo que protege os sistemas ambientais dos quais dependem todos os seres vivos.</w:t>
      </w:r>
    </w:p>
    <w:p w14:paraId="57C0C273" w14:textId="77777777" w:rsidR="00F75CFE" w:rsidRPr="00EC25C2" w:rsidRDefault="00F75CFE" w:rsidP="006763FB">
      <w:pPr>
        <w:tabs>
          <w:tab w:val="left" w:pos="1701"/>
        </w:tabs>
        <w:spacing w:line="276" w:lineRule="auto"/>
        <w:jc w:val="both"/>
        <w:rPr>
          <w:rFonts w:cs="Arial"/>
          <w:lang w:val="pt-PT" w:eastAsia="ja-JP"/>
        </w:rPr>
      </w:pPr>
    </w:p>
    <w:p w14:paraId="4238BA52" w14:textId="119A3E5B" w:rsidR="00F75CFE" w:rsidRPr="00EC25C2" w:rsidRDefault="00F75CFE" w:rsidP="006763FB">
      <w:pPr>
        <w:tabs>
          <w:tab w:val="left" w:pos="1701"/>
        </w:tabs>
        <w:spacing w:line="276" w:lineRule="auto"/>
        <w:jc w:val="both"/>
        <w:rPr>
          <w:rFonts w:cs="Arial"/>
          <w:lang w:val="pt-PT" w:eastAsia="ja-JP"/>
        </w:rPr>
      </w:pPr>
      <w:r w:rsidRPr="00EC25C2">
        <w:rPr>
          <w:rFonts w:cs="Arial"/>
          <w:lang w:val="pt-PT" w:eastAsia="ja-JP"/>
        </w:rPr>
        <w:lastRenderedPageBreak/>
        <w:t xml:space="preserve">Para ajudar a acelerar a transição para um futuro sustentável, visite o nosso site para </w:t>
      </w:r>
      <w:hyperlink r:id="rId10" w:history="1">
        <w:r w:rsidRPr="00EC25C2">
          <w:rPr>
            <w:rStyle w:val="Hiperligao"/>
            <w:rFonts w:cs="Arial"/>
            <w:color w:val="auto"/>
            <w:lang w:val="pt-PT" w:eastAsia="ja-JP"/>
          </w:rPr>
          <w:t xml:space="preserve">descarregar o </w:t>
        </w:r>
        <w:proofErr w:type="spellStart"/>
        <w:r w:rsidRPr="00EC25C2">
          <w:rPr>
            <w:rStyle w:val="Hiperligao"/>
            <w:rFonts w:cs="Arial"/>
            <w:color w:val="auto"/>
            <w:lang w:val="pt-PT" w:eastAsia="ja-JP"/>
          </w:rPr>
          <w:t>white</w:t>
        </w:r>
        <w:proofErr w:type="spellEnd"/>
        <w:r w:rsidRPr="00EC25C2">
          <w:rPr>
            <w:rStyle w:val="Hiperligao"/>
            <w:rFonts w:cs="Arial"/>
            <w:color w:val="auto"/>
            <w:lang w:val="pt-PT" w:eastAsia="ja-JP"/>
          </w:rPr>
          <w:t xml:space="preserve"> </w:t>
        </w:r>
        <w:proofErr w:type="spellStart"/>
        <w:r w:rsidRPr="00EC25C2">
          <w:rPr>
            <w:rStyle w:val="Hiperligao"/>
            <w:rFonts w:cs="Arial"/>
            <w:color w:val="auto"/>
            <w:lang w:val="pt-PT" w:eastAsia="ja-JP"/>
          </w:rPr>
          <w:t>paper</w:t>
        </w:r>
        <w:proofErr w:type="spellEnd"/>
      </w:hyperlink>
      <w:r w:rsidRPr="00EC25C2">
        <w:rPr>
          <w:rFonts w:cs="Arial"/>
          <w:lang w:val="pt-PT" w:eastAsia="ja-JP"/>
        </w:rPr>
        <w:t xml:space="preserve"> e saber mais sobre os serviços de sustentabilidade da NTT DATA.</w:t>
      </w:r>
    </w:p>
    <w:p w14:paraId="5E755CEC" w14:textId="77777777" w:rsidR="007F262F" w:rsidRDefault="007F262F" w:rsidP="006763FB">
      <w:pPr>
        <w:spacing w:line="276" w:lineRule="auto"/>
        <w:jc w:val="both"/>
        <w:rPr>
          <w:b/>
          <w:bCs/>
          <w:sz w:val="18"/>
          <w:szCs w:val="18"/>
          <w:lang w:val="pt-PT"/>
        </w:rPr>
      </w:pPr>
    </w:p>
    <w:p w14:paraId="179A07CD" w14:textId="77777777" w:rsidR="007F262F" w:rsidRDefault="007F262F" w:rsidP="006763FB">
      <w:pPr>
        <w:spacing w:line="276" w:lineRule="auto"/>
        <w:jc w:val="both"/>
        <w:rPr>
          <w:b/>
          <w:bCs/>
          <w:sz w:val="18"/>
          <w:szCs w:val="18"/>
          <w:lang w:val="pt-PT"/>
        </w:rPr>
      </w:pPr>
    </w:p>
    <w:p w14:paraId="46656D53" w14:textId="577AA85E" w:rsidR="00EC25C2" w:rsidRPr="00EC25C2" w:rsidRDefault="00EC25C2" w:rsidP="006763FB">
      <w:pPr>
        <w:spacing w:line="276" w:lineRule="auto"/>
        <w:jc w:val="both"/>
        <w:rPr>
          <w:b/>
          <w:bCs/>
          <w:sz w:val="18"/>
          <w:szCs w:val="18"/>
          <w:lang w:val="pt-PT"/>
        </w:rPr>
      </w:pPr>
      <w:r w:rsidRPr="00EC25C2">
        <w:rPr>
          <w:b/>
          <w:bCs/>
          <w:sz w:val="18"/>
          <w:szCs w:val="18"/>
          <w:lang w:val="pt-PT"/>
        </w:rPr>
        <w:t>Sobre a NTT DATA </w:t>
      </w:r>
    </w:p>
    <w:p w14:paraId="3C1FDD86" w14:textId="77777777" w:rsidR="00EC25C2" w:rsidRPr="00EC25C2" w:rsidRDefault="00EC25C2" w:rsidP="006763FB">
      <w:pPr>
        <w:spacing w:line="276" w:lineRule="auto"/>
        <w:jc w:val="both"/>
        <w:rPr>
          <w:sz w:val="18"/>
          <w:szCs w:val="18"/>
          <w:lang w:val="pt-PT"/>
        </w:rPr>
      </w:pPr>
      <w:r w:rsidRPr="00EC25C2">
        <w:rPr>
          <w:sz w:val="18"/>
          <w:szCs w:val="18"/>
          <w:lang w:val="pt-PT"/>
        </w:rPr>
        <w:t>A NTT DATA é uma empresa líder em serviços de negócio e tecnologia, com um volume de faturação superior a 30 mil milhões de dólares, que presta serviços a 75% das empresas do Fortune Global 100. Estamos empenhados em acelerar o sucesso dos clientes e em ter um impacto positivo na sociedade através da inovação responsável. </w:t>
      </w:r>
    </w:p>
    <w:p w14:paraId="2D822563" w14:textId="77777777" w:rsidR="00EC25C2" w:rsidRPr="00EC25C2" w:rsidRDefault="00EC25C2" w:rsidP="006763FB">
      <w:pPr>
        <w:spacing w:line="276" w:lineRule="auto"/>
        <w:jc w:val="both"/>
        <w:rPr>
          <w:sz w:val="18"/>
          <w:szCs w:val="18"/>
          <w:lang w:val="pt-PT"/>
        </w:rPr>
      </w:pPr>
      <w:r w:rsidRPr="00EC25C2">
        <w:rPr>
          <w:sz w:val="18"/>
          <w:szCs w:val="18"/>
          <w:lang w:val="pt-PT"/>
        </w:rPr>
        <w:t xml:space="preserve">Somos um dos principais fornecedores mundiais de infraestruturas digitais e inteligência artificial, com capacidades incomparáveis em IA à escala empresarial, </w:t>
      </w:r>
      <w:proofErr w:type="spellStart"/>
      <w:r w:rsidRPr="00EC25C2">
        <w:rPr>
          <w:i/>
          <w:iCs/>
          <w:sz w:val="18"/>
          <w:szCs w:val="18"/>
          <w:lang w:val="pt-PT"/>
        </w:rPr>
        <w:t>cloud</w:t>
      </w:r>
      <w:proofErr w:type="spellEnd"/>
      <w:r w:rsidRPr="00EC25C2">
        <w:rPr>
          <w:i/>
          <w:iCs/>
          <w:sz w:val="18"/>
          <w:szCs w:val="18"/>
          <w:lang w:val="pt-PT"/>
        </w:rPr>
        <w:t>,</w:t>
      </w:r>
      <w:r w:rsidRPr="00EC25C2">
        <w:rPr>
          <w:sz w:val="18"/>
          <w:szCs w:val="18"/>
          <w:lang w:val="pt-PT"/>
        </w:rPr>
        <w:t xml:space="preserve"> segurança, conectividade, centros de dados e serviços de aplicações. As nossas soluções de consultoria e de especialização setorial ajudam organizações e comunidades a avançar com confiança e sustentabilidade rumo ao futuro digital. </w:t>
      </w:r>
    </w:p>
    <w:p w14:paraId="74E11A48" w14:textId="77777777" w:rsidR="00EC25C2" w:rsidRPr="00EC25C2" w:rsidRDefault="00EC25C2" w:rsidP="006763FB">
      <w:pPr>
        <w:spacing w:line="276" w:lineRule="auto"/>
        <w:jc w:val="both"/>
        <w:rPr>
          <w:sz w:val="18"/>
          <w:szCs w:val="18"/>
          <w:lang w:val="pt-PT"/>
        </w:rPr>
      </w:pPr>
      <w:r w:rsidRPr="00EC25C2">
        <w:rPr>
          <w:sz w:val="18"/>
          <w:szCs w:val="18"/>
          <w:lang w:val="pt-PT"/>
        </w:rPr>
        <w:t xml:space="preserve">Como </w:t>
      </w:r>
      <w:r w:rsidRPr="00EC25C2">
        <w:rPr>
          <w:i/>
          <w:iCs/>
          <w:sz w:val="18"/>
          <w:szCs w:val="18"/>
          <w:lang w:val="pt-PT"/>
        </w:rPr>
        <w:t xml:space="preserve">Global Top </w:t>
      </w:r>
      <w:proofErr w:type="spellStart"/>
      <w:r w:rsidRPr="00EC25C2">
        <w:rPr>
          <w:i/>
          <w:iCs/>
          <w:sz w:val="18"/>
          <w:szCs w:val="18"/>
          <w:lang w:val="pt-PT"/>
        </w:rPr>
        <w:t>Employer</w:t>
      </w:r>
      <w:proofErr w:type="spellEnd"/>
      <w:r w:rsidRPr="00EC25C2">
        <w:rPr>
          <w:sz w:val="18"/>
          <w:szCs w:val="18"/>
          <w:lang w:val="pt-PT"/>
        </w:rPr>
        <w:t xml:space="preserve">, contamos com especialistas em mais de 50 países. Oferecemos também aos nossos clientes acesso a um ecossistema robusto de centros de inovação, bem como a parceiros consolidados e </w:t>
      </w:r>
      <w:proofErr w:type="spellStart"/>
      <w:r w:rsidRPr="00EC25C2">
        <w:rPr>
          <w:i/>
          <w:iCs/>
          <w:sz w:val="18"/>
          <w:szCs w:val="18"/>
          <w:lang w:val="pt-PT"/>
        </w:rPr>
        <w:t>startups</w:t>
      </w:r>
      <w:proofErr w:type="spellEnd"/>
      <w:r w:rsidRPr="00EC25C2">
        <w:rPr>
          <w:sz w:val="18"/>
          <w:szCs w:val="18"/>
          <w:lang w:val="pt-PT"/>
        </w:rPr>
        <w:t>. A NTT DATA faz parte do Grupo NTT, que investe mais de 3 mil milhões de dólares por ano em investigação e desenvolvimento. </w:t>
      </w:r>
    </w:p>
    <w:p w14:paraId="62174F2B" w14:textId="77777777" w:rsidR="00C753CA" w:rsidRPr="00EC25C2" w:rsidRDefault="00C753CA" w:rsidP="006763FB">
      <w:pPr>
        <w:spacing w:line="276" w:lineRule="auto"/>
        <w:jc w:val="both"/>
        <w:rPr>
          <w:b/>
          <w:bCs/>
          <w:lang w:val="pt-PT"/>
        </w:rPr>
      </w:pPr>
    </w:p>
    <w:bookmarkEnd w:id="0"/>
    <w:p w14:paraId="05EB9F3C" w14:textId="6556EA78" w:rsidR="00D67191" w:rsidRPr="00EC25C2" w:rsidRDefault="00D67191" w:rsidP="006763FB">
      <w:pPr>
        <w:spacing w:line="276" w:lineRule="auto"/>
        <w:jc w:val="both"/>
        <w:rPr>
          <w:rFonts w:cs="Arial"/>
          <w:lang w:val="pt-PT"/>
        </w:rPr>
      </w:pPr>
    </w:p>
    <w:sectPr w:rsidR="00D67191" w:rsidRPr="00EC25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8E06" w14:textId="77777777" w:rsidR="006C05F7" w:rsidRDefault="006C05F7" w:rsidP="00BD3371">
      <w:pPr>
        <w:spacing w:line="240" w:lineRule="auto"/>
      </w:pPr>
      <w:r>
        <w:separator/>
      </w:r>
    </w:p>
  </w:endnote>
  <w:endnote w:type="continuationSeparator" w:id="0">
    <w:p w14:paraId="1FC362B0" w14:textId="77777777" w:rsidR="006C05F7" w:rsidRDefault="006C05F7" w:rsidP="00BD3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52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A9646" w14:textId="68712286" w:rsidR="003F1F21" w:rsidRDefault="003F1F2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5A68B" w14:textId="77777777" w:rsidR="003F1F21" w:rsidRDefault="003F1F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47FC" w14:textId="77777777" w:rsidR="006C05F7" w:rsidRDefault="006C05F7" w:rsidP="00BD3371">
      <w:pPr>
        <w:spacing w:line="240" w:lineRule="auto"/>
      </w:pPr>
      <w:r>
        <w:separator/>
      </w:r>
    </w:p>
  </w:footnote>
  <w:footnote w:type="continuationSeparator" w:id="0">
    <w:p w14:paraId="6142EE45" w14:textId="77777777" w:rsidR="006C05F7" w:rsidRDefault="006C05F7" w:rsidP="00BD3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E17D" w14:textId="456204A9" w:rsidR="00BD3371" w:rsidRPr="00BD3371" w:rsidRDefault="00BD3371">
    <w:pPr>
      <w:pStyle w:val="Cabealho"/>
      <w:rPr>
        <w:b/>
        <w:bCs/>
      </w:rPr>
    </w:pPr>
    <w:r w:rsidRPr="00BD3371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6B38540A" wp14:editId="4D09CACE">
          <wp:simplePos x="0" y="0"/>
          <wp:positionH relativeFrom="column">
            <wp:posOffset>4305300</wp:posOffset>
          </wp:positionH>
          <wp:positionV relativeFrom="paragraph">
            <wp:posOffset>-106680</wp:posOffset>
          </wp:positionV>
          <wp:extent cx="1645920" cy="451485"/>
          <wp:effectExtent l="0" t="0" r="0" b="0"/>
          <wp:wrapTight wrapText="bothSides">
            <wp:wrapPolygon edited="0">
              <wp:start x="2250" y="1823"/>
              <wp:lineTo x="1500" y="9114"/>
              <wp:lineTo x="1500" y="14582"/>
              <wp:lineTo x="2750" y="19139"/>
              <wp:lineTo x="4750" y="19139"/>
              <wp:lineTo x="19750" y="14582"/>
              <wp:lineTo x="19750" y="5468"/>
              <wp:lineTo x="5000" y="1823"/>
              <wp:lineTo x="2250" y="1823"/>
            </wp:wrapPolygon>
          </wp:wrapTight>
          <wp:docPr id="60154173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4173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566">
      <w:rPr>
        <w:b/>
        <w:bCs/>
        <w:sz w:val="36"/>
        <w:szCs w:val="36"/>
      </w:rPr>
      <w:t>COMUNICADO DE IMPRENSA</w:t>
    </w:r>
    <w:r w:rsidRPr="00BD3371">
      <w:rPr>
        <w:b/>
        <w:bCs/>
        <w:sz w:val="36"/>
        <w:szCs w:val="3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318"/>
    <w:multiLevelType w:val="hybridMultilevel"/>
    <w:tmpl w:val="9F96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45F"/>
    <w:multiLevelType w:val="hybridMultilevel"/>
    <w:tmpl w:val="B8DC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4AF3"/>
    <w:multiLevelType w:val="multilevel"/>
    <w:tmpl w:val="3AC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A464F"/>
    <w:multiLevelType w:val="hybridMultilevel"/>
    <w:tmpl w:val="2A8C9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B6135"/>
    <w:multiLevelType w:val="hybridMultilevel"/>
    <w:tmpl w:val="38603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90D45"/>
    <w:multiLevelType w:val="hybridMultilevel"/>
    <w:tmpl w:val="72129C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1545"/>
    <w:multiLevelType w:val="multilevel"/>
    <w:tmpl w:val="DD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15190"/>
    <w:multiLevelType w:val="hybridMultilevel"/>
    <w:tmpl w:val="A5A8B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2066C"/>
    <w:multiLevelType w:val="hybridMultilevel"/>
    <w:tmpl w:val="67F8F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05A"/>
    <w:multiLevelType w:val="hybridMultilevel"/>
    <w:tmpl w:val="4DE82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6AD0"/>
    <w:multiLevelType w:val="hybridMultilevel"/>
    <w:tmpl w:val="E242A3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DF0"/>
    <w:multiLevelType w:val="hybridMultilevel"/>
    <w:tmpl w:val="7EBC6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963E0"/>
    <w:multiLevelType w:val="hybridMultilevel"/>
    <w:tmpl w:val="A02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34582"/>
    <w:multiLevelType w:val="hybridMultilevel"/>
    <w:tmpl w:val="B032E09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E0D18"/>
    <w:multiLevelType w:val="hybridMultilevel"/>
    <w:tmpl w:val="ADE48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6292D"/>
    <w:multiLevelType w:val="hybridMultilevel"/>
    <w:tmpl w:val="CC4C0B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ED7"/>
    <w:multiLevelType w:val="hybridMultilevel"/>
    <w:tmpl w:val="F38CE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618A6"/>
    <w:multiLevelType w:val="multilevel"/>
    <w:tmpl w:val="DD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6E239A"/>
    <w:multiLevelType w:val="multilevel"/>
    <w:tmpl w:val="7DF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E1499"/>
    <w:multiLevelType w:val="hybridMultilevel"/>
    <w:tmpl w:val="AB36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62D"/>
    <w:multiLevelType w:val="hybridMultilevel"/>
    <w:tmpl w:val="C53C1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049960">
    <w:abstractNumId w:val="12"/>
  </w:num>
  <w:num w:numId="2" w16cid:durableId="149293294">
    <w:abstractNumId w:val="11"/>
  </w:num>
  <w:num w:numId="3" w16cid:durableId="1705209375">
    <w:abstractNumId w:val="16"/>
  </w:num>
  <w:num w:numId="4" w16cid:durableId="1116220626">
    <w:abstractNumId w:val="9"/>
  </w:num>
  <w:num w:numId="5" w16cid:durableId="194512156">
    <w:abstractNumId w:val="7"/>
  </w:num>
  <w:num w:numId="6" w16cid:durableId="884490419">
    <w:abstractNumId w:val="15"/>
  </w:num>
  <w:num w:numId="7" w16cid:durableId="1933001603">
    <w:abstractNumId w:val="8"/>
  </w:num>
  <w:num w:numId="8" w16cid:durableId="1388525577">
    <w:abstractNumId w:val="20"/>
  </w:num>
  <w:num w:numId="9" w16cid:durableId="73820794">
    <w:abstractNumId w:val="4"/>
  </w:num>
  <w:num w:numId="10" w16cid:durableId="1009940951">
    <w:abstractNumId w:val="19"/>
  </w:num>
  <w:num w:numId="11" w16cid:durableId="769079783">
    <w:abstractNumId w:val="1"/>
  </w:num>
  <w:num w:numId="12" w16cid:durableId="1075783628">
    <w:abstractNumId w:val="17"/>
  </w:num>
  <w:num w:numId="13" w16cid:durableId="1478763925">
    <w:abstractNumId w:val="2"/>
  </w:num>
  <w:num w:numId="14" w16cid:durableId="806436857">
    <w:abstractNumId w:val="0"/>
  </w:num>
  <w:num w:numId="15" w16cid:durableId="50421796">
    <w:abstractNumId w:val="18"/>
  </w:num>
  <w:num w:numId="16" w16cid:durableId="815490811">
    <w:abstractNumId w:val="6"/>
  </w:num>
  <w:num w:numId="17" w16cid:durableId="590889748">
    <w:abstractNumId w:val="3"/>
  </w:num>
  <w:num w:numId="18" w16cid:durableId="738986386">
    <w:abstractNumId w:val="14"/>
  </w:num>
  <w:num w:numId="19" w16cid:durableId="941842779">
    <w:abstractNumId w:val="5"/>
  </w:num>
  <w:num w:numId="20" w16cid:durableId="1958678973">
    <w:abstractNumId w:val="10"/>
  </w:num>
  <w:num w:numId="21" w16cid:durableId="1376782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A"/>
    <w:rsid w:val="00001D6A"/>
    <w:rsid w:val="000025B4"/>
    <w:rsid w:val="0001003B"/>
    <w:rsid w:val="00011512"/>
    <w:rsid w:val="000129BD"/>
    <w:rsid w:val="00021CD1"/>
    <w:rsid w:val="000300EA"/>
    <w:rsid w:val="00033C97"/>
    <w:rsid w:val="00056BEA"/>
    <w:rsid w:val="000761D8"/>
    <w:rsid w:val="00077A02"/>
    <w:rsid w:val="00096DAD"/>
    <w:rsid w:val="000A1C54"/>
    <w:rsid w:val="000B3B6D"/>
    <w:rsid w:val="000B605E"/>
    <w:rsid w:val="000C3AED"/>
    <w:rsid w:val="000C623A"/>
    <w:rsid w:val="000C7D1E"/>
    <w:rsid w:val="000E3290"/>
    <w:rsid w:val="00104BFA"/>
    <w:rsid w:val="0011225A"/>
    <w:rsid w:val="00140279"/>
    <w:rsid w:val="00150765"/>
    <w:rsid w:val="0015183E"/>
    <w:rsid w:val="00154998"/>
    <w:rsid w:val="00156453"/>
    <w:rsid w:val="00183700"/>
    <w:rsid w:val="00192C31"/>
    <w:rsid w:val="00195F8E"/>
    <w:rsid w:val="001A185A"/>
    <w:rsid w:val="001A2765"/>
    <w:rsid w:val="001A6B50"/>
    <w:rsid w:val="001B30F9"/>
    <w:rsid w:val="001C1A32"/>
    <w:rsid w:val="001C6861"/>
    <w:rsid w:val="001E071C"/>
    <w:rsid w:val="001E536D"/>
    <w:rsid w:val="001F2900"/>
    <w:rsid w:val="001F2E32"/>
    <w:rsid w:val="001F68C0"/>
    <w:rsid w:val="00201FCA"/>
    <w:rsid w:val="002024B4"/>
    <w:rsid w:val="002057E6"/>
    <w:rsid w:val="0020660B"/>
    <w:rsid w:val="00206B54"/>
    <w:rsid w:val="002108F8"/>
    <w:rsid w:val="0022011A"/>
    <w:rsid w:val="002251F5"/>
    <w:rsid w:val="00227B62"/>
    <w:rsid w:val="00230414"/>
    <w:rsid w:val="002452FA"/>
    <w:rsid w:val="002538EF"/>
    <w:rsid w:val="0025759A"/>
    <w:rsid w:val="0026151A"/>
    <w:rsid w:val="0027485A"/>
    <w:rsid w:val="00277F91"/>
    <w:rsid w:val="00294905"/>
    <w:rsid w:val="0029581E"/>
    <w:rsid w:val="00295A12"/>
    <w:rsid w:val="002A1C45"/>
    <w:rsid w:val="002B5E3C"/>
    <w:rsid w:val="002B7DFF"/>
    <w:rsid w:val="002D6791"/>
    <w:rsid w:val="002E3509"/>
    <w:rsid w:val="002E4A03"/>
    <w:rsid w:val="002E63FE"/>
    <w:rsid w:val="002E648C"/>
    <w:rsid w:val="002E7622"/>
    <w:rsid w:val="002E784A"/>
    <w:rsid w:val="002F12CE"/>
    <w:rsid w:val="002F2B95"/>
    <w:rsid w:val="002F30B5"/>
    <w:rsid w:val="002F4716"/>
    <w:rsid w:val="002F6330"/>
    <w:rsid w:val="00300FB9"/>
    <w:rsid w:val="00302A36"/>
    <w:rsid w:val="0032039E"/>
    <w:rsid w:val="00324E54"/>
    <w:rsid w:val="00342810"/>
    <w:rsid w:val="00343E5C"/>
    <w:rsid w:val="003478DB"/>
    <w:rsid w:val="00370BDD"/>
    <w:rsid w:val="00371C98"/>
    <w:rsid w:val="00374090"/>
    <w:rsid w:val="003811AD"/>
    <w:rsid w:val="00394628"/>
    <w:rsid w:val="003B4F58"/>
    <w:rsid w:val="003B5223"/>
    <w:rsid w:val="003B59A0"/>
    <w:rsid w:val="003B705B"/>
    <w:rsid w:val="003C218C"/>
    <w:rsid w:val="003E735E"/>
    <w:rsid w:val="003E7919"/>
    <w:rsid w:val="003F0DCE"/>
    <w:rsid w:val="003F19A8"/>
    <w:rsid w:val="003F1F21"/>
    <w:rsid w:val="0040632C"/>
    <w:rsid w:val="00415208"/>
    <w:rsid w:val="004173BA"/>
    <w:rsid w:val="004259B4"/>
    <w:rsid w:val="0043337F"/>
    <w:rsid w:val="00437E31"/>
    <w:rsid w:val="00462B75"/>
    <w:rsid w:val="00463FE4"/>
    <w:rsid w:val="00471228"/>
    <w:rsid w:val="00492A7F"/>
    <w:rsid w:val="00496C19"/>
    <w:rsid w:val="004A1179"/>
    <w:rsid w:val="004A1F2F"/>
    <w:rsid w:val="004B073E"/>
    <w:rsid w:val="004B67DF"/>
    <w:rsid w:val="004C4357"/>
    <w:rsid w:val="004D046C"/>
    <w:rsid w:val="004E3EB4"/>
    <w:rsid w:val="004F52B7"/>
    <w:rsid w:val="00503F58"/>
    <w:rsid w:val="00530B58"/>
    <w:rsid w:val="00532B5C"/>
    <w:rsid w:val="00544F93"/>
    <w:rsid w:val="00562824"/>
    <w:rsid w:val="0056419B"/>
    <w:rsid w:val="00567BCF"/>
    <w:rsid w:val="0057059E"/>
    <w:rsid w:val="00570D4B"/>
    <w:rsid w:val="00571810"/>
    <w:rsid w:val="005748A7"/>
    <w:rsid w:val="00582914"/>
    <w:rsid w:val="005909B1"/>
    <w:rsid w:val="005A2B71"/>
    <w:rsid w:val="005A5A7A"/>
    <w:rsid w:val="005B0D85"/>
    <w:rsid w:val="005B4210"/>
    <w:rsid w:val="005B7C59"/>
    <w:rsid w:val="005C096B"/>
    <w:rsid w:val="005D7ADC"/>
    <w:rsid w:val="005E17FA"/>
    <w:rsid w:val="005E2DEE"/>
    <w:rsid w:val="005F1338"/>
    <w:rsid w:val="005F2B1A"/>
    <w:rsid w:val="00607D3C"/>
    <w:rsid w:val="006119A4"/>
    <w:rsid w:val="00614D93"/>
    <w:rsid w:val="006263AF"/>
    <w:rsid w:val="00634A4B"/>
    <w:rsid w:val="00635C56"/>
    <w:rsid w:val="00643336"/>
    <w:rsid w:val="0065371C"/>
    <w:rsid w:val="006636C3"/>
    <w:rsid w:val="00663EB1"/>
    <w:rsid w:val="006735DC"/>
    <w:rsid w:val="006763FB"/>
    <w:rsid w:val="00683BB3"/>
    <w:rsid w:val="006974CE"/>
    <w:rsid w:val="006A0DAD"/>
    <w:rsid w:val="006A3FEA"/>
    <w:rsid w:val="006C05F7"/>
    <w:rsid w:val="006C1E87"/>
    <w:rsid w:val="006C44DE"/>
    <w:rsid w:val="006C7139"/>
    <w:rsid w:val="006D3F0C"/>
    <w:rsid w:val="006D4A2B"/>
    <w:rsid w:val="006E00F2"/>
    <w:rsid w:val="006E57EF"/>
    <w:rsid w:val="006E702E"/>
    <w:rsid w:val="006E7852"/>
    <w:rsid w:val="006E7E19"/>
    <w:rsid w:val="006F03DB"/>
    <w:rsid w:val="006F3BD0"/>
    <w:rsid w:val="00706357"/>
    <w:rsid w:val="00706B6F"/>
    <w:rsid w:val="007074C2"/>
    <w:rsid w:val="007100B3"/>
    <w:rsid w:val="00716625"/>
    <w:rsid w:val="00724BC8"/>
    <w:rsid w:val="0073336E"/>
    <w:rsid w:val="00744A4C"/>
    <w:rsid w:val="0075374C"/>
    <w:rsid w:val="007640EF"/>
    <w:rsid w:val="00770251"/>
    <w:rsid w:val="0077212C"/>
    <w:rsid w:val="007760EE"/>
    <w:rsid w:val="00783F0B"/>
    <w:rsid w:val="007845D4"/>
    <w:rsid w:val="007858E8"/>
    <w:rsid w:val="00790B0C"/>
    <w:rsid w:val="007953A6"/>
    <w:rsid w:val="007978CB"/>
    <w:rsid w:val="007A0BEA"/>
    <w:rsid w:val="007A2FEC"/>
    <w:rsid w:val="007A4814"/>
    <w:rsid w:val="007B4B98"/>
    <w:rsid w:val="007C5C15"/>
    <w:rsid w:val="007D007C"/>
    <w:rsid w:val="007D1117"/>
    <w:rsid w:val="007D3FC7"/>
    <w:rsid w:val="007D471A"/>
    <w:rsid w:val="007E0FEB"/>
    <w:rsid w:val="007F077F"/>
    <w:rsid w:val="007F262F"/>
    <w:rsid w:val="00805536"/>
    <w:rsid w:val="008149B9"/>
    <w:rsid w:val="00815D02"/>
    <w:rsid w:val="00815D84"/>
    <w:rsid w:val="00846EE0"/>
    <w:rsid w:val="00850FB5"/>
    <w:rsid w:val="00863F9D"/>
    <w:rsid w:val="008841B9"/>
    <w:rsid w:val="008931CC"/>
    <w:rsid w:val="008976E9"/>
    <w:rsid w:val="008A3251"/>
    <w:rsid w:val="008D04CA"/>
    <w:rsid w:val="008E4899"/>
    <w:rsid w:val="009067FC"/>
    <w:rsid w:val="0091689E"/>
    <w:rsid w:val="009231C1"/>
    <w:rsid w:val="00931DBC"/>
    <w:rsid w:val="00941B3E"/>
    <w:rsid w:val="009468FD"/>
    <w:rsid w:val="00946ACA"/>
    <w:rsid w:val="009521C3"/>
    <w:rsid w:val="00953C38"/>
    <w:rsid w:val="009817A5"/>
    <w:rsid w:val="009831ED"/>
    <w:rsid w:val="009969B1"/>
    <w:rsid w:val="009A581A"/>
    <w:rsid w:val="009A6FDE"/>
    <w:rsid w:val="009C3F83"/>
    <w:rsid w:val="009D4DEF"/>
    <w:rsid w:val="009F40F0"/>
    <w:rsid w:val="009F4389"/>
    <w:rsid w:val="009F755E"/>
    <w:rsid w:val="00A15592"/>
    <w:rsid w:val="00A2108D"/>
    <w:rsid w:val="00A247EC"/>
    <w:rsid w:val="00A37541"/>
    <w:rsid w:val="00A5715D"/>
    <w:rsid w:val="00A7078D"/>
    <w:rsid w:val="00A74753"/>
    <w:rsid w:val="00A74A89"/>
    <w:rsid w:val="00A7678E"/>
    <w:rsid w:val="00A818F3"/>
    <w:rsid w:val="00A841AA"/>
    <w:rsid w:val="00A87779"/>
    <w:rsid w:val="00A96DB7"/>
    <w:rsid w:val="00AA3528"/>
    <w:rsid w:val="00AA3CA9"/>
    <w:rsid w:val="00AB686B"/>
    <w:rsid w:val="00AD0694"/>
    <w:rsid w:val="00AD2B73"/>
    <w:rsid w:val="00AD622D"/>
    <w:rsid w:val="00AE60E7"/>
    <w:rsid w:val="00AF1098"/>
    <w:rsid w:val="00AF70F9"/>
    <w:rsid w:val="00B06A22"/>
    <w:rsid w:val="00B1502F"/>
    <w:rsid w:val="00B20A94"/>
    <w:rsid w:val="00B2219D"/>
    <w:rsid w:val="00B26D5F"/>
    <w:rsid w:val="00B30258"/>
    <w:rsid w:val="00B53879"/>
    <w:rsid w:val="00B65D93"/>
    <w:rsid w:val="00B66EA4"/>
    <w:rsid w:val="00B67EA6"/>
    <w:rsid w:val="00B71072"/>
    <w:rsid w:val="00B82C59"/>
    <w:rsid w:val="00B84711"/>
    <w:rsid w:val="00B87884"/>
    <w:rsid w:val="00B90C4C"/>
    <w:rsid w:val="00B914F8"/>
    <w:rsid w:val="00B91B08"/>
    <w:rsid w:val="00B9555E"/>
    <w:rsid w:val="00BB47F7"/>
    <w:rsid w:val="00BB5B3A"/>
    <w:rsid w:val="00BC070B"/>
    <w:rsid w:val="00BC48FA"/>
    <w:rsid w:val="00BD3371"/>
    <w:rsid w:val="00C00D6D"/>
    <w:rsid w:val="00C11B9A"/>
    <w:rsid w:val="00C17CA8"/>
    <w:rsid w:val="00C33D6E"/>
    <w:rsid w:val="00C37602"/>
    <w:rsid w:val="00C516C9"/>
    <w:rsid w:val="00C753CA"/>
    <w:rsid w:val="00C75584"/>
    <w:rsid w:val="00C77D46"/>
    <w:rsid w:val="00C84483"/>
    <w:rsid w:val="00C87AAE"/>
    <w:rsid w:val="00C91EF3"/>
    <w:rsid w:val="00C92E96"/>
    <w:rsid w:val="00CB08A9"/>
    <w:rsid w:val="00CC2B8F"/>
    <w:rsid w:val="00CD13C8"/>
    <w:rsid w:val="00CD4CB8"/>
    <w:rsid w:val="00CD5C70"/>
    <w:rsid w:val="00CE58EE"/>
    <w:rsid w:val="00CE70FD"/>
    <w:rsid w:val="00CF09A2"/>
    <w:rsid w:val="00CF2AE1"/>
    <w:rsid w:val="00CF323C"/>
    <w:rsid w:val="00CF49C1"/>
    <w:rsid w:val="00CF5D2E"/>
    <w:rsid w:val="00CF5FDC"/>
    <w:rsid w:val="00D03D8E"/>
    <w:rsid w:val="00D0518C"/>
    <w:rsid w:val="00D1299B"/>
    <w:rsid w:val="00D12B38"/>
    <w:rsid w:val="00D13D7F"/>
    <w:rsid w:val="00D16E01"/>
    <w:rsid w:val="00D2148D"/>
    <w:rsid w:val="00D217DC"/>
    <w:rsid w:val="00D35F01"/>
    <w:rsid w:val="00D446F4"/>
    <w:rsid w:val="00D57ED3"/>
    <w:rsid w:val="00D65229"/>
    <w:rsid w:val="00D67191"/>
    <w:rsid w:val="00D721E4"/>
    <w:rsid w:val="00D76621"/>
    <w:rsid w:val="00D82175"/>
    <w:rsid w:val="00D825FA"/>
    <w:rsid w:val="00D9316E"/>
    <w:rsid w:val="00D959BD"/>
    <w:rsid w:val="00D95B23"/>
    <w:rsid w:val="00DB7170"/>
    <w:rsid w:val="00DC31B8"/>
    <w:rsid w:val="00DC5A60"/>
    <w:rsid w:val="00DD5666"/>
    <w:rsid w:val="00DE16DB"/>
    <w:rsid w:val="00DF0C5D"/>
    <w:rsid w:val="00DF3C79"/>
    <w:rsid w:val="00E06A6E"/>
    <w:rsid w:val="00E10FFC"/>
    <w:rsid w:val="00E175BE"/>
    <w:rsid w:val="00E23AF8"/>
    <w:rsid w:val="00E40882"/>
    <w:rsid w:val="00E43393"/>
    <w:rsid w:val="00E6151D"/>
    <w:rsid w:val="00E62C1A"/>
    <w:rsid w:val="00E677CB"/>
    <w:rsid w:val="00E67859"/>
    <w:rsid w:val="00E7176F"/>
    <w:rsid w:val="00E74335"/>
    <w:rsid w:val="00EA0A7E"/>
    <w:rsid w:val="00EA2986"/>
    <w:rsid w:val="00EA5B22"/>
    <w:rsid w:val="00EA69F5"/>
    <w:rsid w:val="00EB22E0"/>
    <w:rsid w:val="00EB6054"/>
    <w:rsid w:val="00EB6439"/>
    <w:rsid w:val="00EC25C2"/>
    <w:rsid w:val="00EC50E2"/>
    <w:rsid w:val="00EC77F7"/>
    <w:rsid w:val="00ED174F"/>
    <w:rsid w:val="00ED70C5"/>
    <w:rsid w:val="00EE7104"/>
    <w:rsid w:val="00EF1F32"/>
    <w:rsid w:val="00F03C9A"/>
    <w:rsid w:val="00F11516"/>
    <w:rsid w:val="00F14CDE"/>
    <w:rsid w:val="00F25ED1"/>
    <w:rsid w:val="00F27296"/>
    <w:rsid w:val="00F31240"/>
    <w:rsid w:val="00F610CA"/>
    <w:rsid w:val="00F72AE1"/>
    <w:rsid w:val="00F75CFE"/>
    <w:rsid w:val="00F819BE"/>
    <w:rsid w:val="00FA652A"/>
    <w:rsid w:val="00FB353B"/>
    <w:rsid w:val="00FB4750"/>
    <w:rsid w:val="00FC51BE"/>
    <w:rsid w:val="00FD037F"/>
    <w:rsid w:val="00FD1DFE"/>
    <w:rsid w:val="00FD2566"/>
    <w:rsid w:val="00FD6096"/>
    <w:rsid w:val="00FE0F2D"/>
    <w:rsid w:val="00FE24E4"/>
    <w:rsid w:val="00FF1B00"/>
    <w:rsid w:val="00FF429F"/>
    <w:rsid w:val="0C5395E4"/>
    <w:rsid w:val="13E7BDFD"/>
    <w:rsid w:val="23613C88"/>
    <w:rsid w:val="58BDF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FB21B"/>
  <w15:chartTrackingRefBased/>
  <w15:docId w15:val="{9E604438-4C9A-4B99-8DA9-31BF6C0A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FA"/>
    <w:pPr>
      <w:spacing w:after="0" w:line="264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ter"/>
    <w:uiPriority w:val="9"/>
    <w:qFormat/>
    <w:rsid w:val="0041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73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73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73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73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73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73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73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7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73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7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73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7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7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73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7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73BA"/>
    <w:rPr>
      <w:rFonts w:ascii="Arial" w:hAnsi="Arial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3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73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73BA"/>
    <w:rPr>
      <w:rFonts w:ascii="Arial" w:hAnsi="Arial"/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73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D3371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3371"/>
    <w:rPr>
      <w:rFonts w:ascii="Arial" w:hAnsi="Arial"/>
    </w:rPr>
  </w:style>
  <w:style w:type="paragraph" w:styleId="Rodap">
    <w:name w:val="footer"/>
    <w:basedOn w:val="Normal"/>
    <w:link w:val="RodapCarter"/>
    <w:uiPriority w:val="99"/>
    <w:unhideWhenUsed/>
    <w:rsid w:val="00BD3371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3371"/>
    <w:rPr>
      <w:rFonts w:ascii="Arial" w:hAnsi="Arial"/>
    </w:rPr>
  </w:style>
  <w:style w:type="character" w:styleId="Hiperligao">
    <w:name w:val="Hyperlink"/>
    <w:basedOn w:val="Tipodeletrapredefinidodopargrafo"/>
    <w:uiPriority w:val="99"/>
    <w:unhideWhenUsed/>
    <w:rsid w:val="000129B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129B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415208"/>
    <w:pPr>
      <w:spacing w:after="0" w:line="240" w:lineRule="auto"/>
    </w:pPr>
    <w:tblPr/>
  </w:style>
  <w:style w:type="paragraph" w:styleId="Reviso">
    <w:name w:val="Revision"/>
    <w:hidden/>
    <w:uiPriority w:val="99"/>
    <w:semiHidden/>
    <w:rsid w:val="006A3FEA"/>
    <w:pPr>
      <w:spacing w:after="0" w:line="240" w:lineRule="auto"/>
    </w:pPr>
    <w:rPr>
      <w:rFonts w:ascii="Arial" w:hAnsi="Arial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11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A11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A117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11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1179"/>
    <w:rPr>
      <w:rFonts w:ascii="Arial" w:hAnsi="Arial"/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B475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C755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t.nttdata.com/insights/whitepapers/sustainable-ai-greener-tomorro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6D4CD7-1957-4A8C-9A90-4DA1AAD5311C}">
  <we:reference id="fdc14bef-455d-4f25-90c3-681230bba84d" version="1.1.0.0" store="EXCatalog" storeType="EXCatalog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18e0d707c0ba357e29e31e43a4dde76f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059853b986ef8654b5efb6d8d4d11d29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8F613-D10B-48B7-9797-E2DB9B4C7F6D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d4967f-e124-43f3-a68f-dac69c34bad6"/>
    <ds:schemaRef ds:uri="c17badae-82f5-44c6-a5ed-7d84be8fc95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52001E-45F1-4653-902E-A89681B49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6BF46-D8A4-4AFA-A512-42F364466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5570</Characters>
  <Application>Microsoft Office Word</Application>
  <DocSecurity>0</DocSecurity>
  <Lines>46</Lines>
  <Paragraphs>13</Paragraphs>
  <ScaleCrop>false</ScaleCrop>
  <Company>NTT DATA Services</Company>
  <LinksUpToDate>false</LinksUpToDate>
  <CharactersWithSpaces>6588</CharactersWithSpaces>
  <SharedDoc>false</SharedDoc>
  <HLinks>
    <vt:vector size="6" baseType="variant">
      <vt:variant>
        <vt:i4>2949229</vt:i4>
      </vt:variant>
      <vt:variant>
        <vt:i4>0</vt:i4>
      </vt:variant>
      <vt:variant>
        <vt:i4>0</vt:i4>
      </vt:variant>
      <vt:variant>
        <vt:i4>5</vt:i4>
      </vt:variant>
      <vt:variant>
        <vt:lpwstr>https://pt.nttdata.com/insights/whitepapers/sustainable-ai-greener-tomorrow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Smith</dc:creator>
  <cp:keywords/>
  <dc:description/>
  <cp:lastModifiedBy>Hugo Costa</cp:lastModifiedBy>
  <cp:revision>5</cp:revision>
  <dcterms:created xsi:type="dcterms:W3CDTF">2025-10-30T14:07:00Z</dcterms:created>
  <dcterms:modified xsi:type="dcterms:W3CDTF">2025-11-03T10:34:00Z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