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02">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Informacja prasowa</w:t>
        <w:tab/>
        <w:tab/>
        <w:tab/>
        <w:tab/>
        <w:tab/>
        <w:tab/>
        <w:tab/>
        <w:tab/>
        <w:tab/>
        <w:t xml:space="preserve">            31.10.2025 r.</w:t>
      </w:r>
    </w:p>
    <w:p w:rsidR="00000000" w:rsidDel="00000000" w:rsidP="00000000" w:rsidRDefault="00000000" w:rsidRPr="00000000" w14:paraId="00000003">
      <w:pPr>
        <w:spacing w:line="276" w:lineRule="auto"/>
        <w:jc w:val="both"/>
        <w:rPr>
          <w:rFonts w:ascii="Calibri" w:cs="Calibri" w:eastAsia="Calibri" w:hAnsi="Calibri"/>
          <w:b w:val="1"/>
        </w:rPr>
      </w:pPr>
      <w:r w:rsidDel="00000000" w:rsidR="00000000" w:rsidRPr="00000000">
        <w:rPr>
          <w:rFonts w:ascii="Calibri" w:cs="Calibri" w:eastAsia="Calibri" w:hAnsi="Calibri"/>
          <w:b w:val="1"/>
          <w:sz w:val="22"/>
          <w:szCs w:val="22"/>
          <w:rtl w:val="0"/>
        </w:rPr>
        <w:tab/>
      </w:r>
      <w:r w:rsidDel="00000000" w:rsidR="00000000" w:rsidRPr="00000000">
        <w:rPr>
          <w:rtl w:val="0"/>
        </w:rPr>
      </w:r>
    </w:p>
    <w:p w:rsidR="00000000" w:rsidDel="00000000" w:rsidP="00000000" w:rsidRDefault="00000000" w:rsidRPr="00000000" w14:paraId="00000004">
      <w:pPr>
        <w:spacing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Między dzieciństwem a dorosłością: trudna granica w leczeniu onkologicznym</w:t>
      </w:r>
    </w:p>
    <w:p w:rsidR="00000000" w:rsidDel="00000000" w:rsidP="00000000" w:rsidRDefault="00000000" w:rsidRPr="00000000" w14:paraId="00000005">
      <w:pPr>
        <w:spacing w:line="276"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6">
      <w:pPr>
        <w:spacing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Dla większości nastolatków osiemnastka to symbol wolności i dorosłości. Dla młodych pacjentów onkologicznych – niepewny moment. W jednej chwili opuszczają świat dziecięcego oddziału, w którym czuli się bezpiecznie, by trafić do dorosłej onkologii – miejsca o innych zasadach, rytmie i języku. Czy system ochrony zdrowia potrafi przeprowadzić ich przez tę granicę tak, by nie zostali w niej sami?</w:t>
      </w:r>
    </w:p>
    <w:p w:rsidR="00000000" w:rsidDel="00000000" w:rsidP="00000000" w:rsidRDefault="00000000" w:rsidRPr="00000000" w14:paraId="00000007">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Przejście z opieki pediatrycznej do świata dorosłej onkologii to coś znacznie więcej niż zmiana lekarza. Wraz z osiągnięciem pełnoletności młody człowiek formalnie staje się dorosły, ale jego potrzeby wcale nie zmieniają się z dnia na dzień.</w:t>
      </w:r>
    </w:p>
    <w:p w:rsidR="00000000" w:rsidDel="00000000" w:rsidP="00000000" w:rsidRDefault="00000000" w:rsidRPr="00000000" w14:paraId="00000009">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Badanie przeprowadzone w 17 ośrodkach onkologii dziecięcej w Polsce wykazało, że w 9 z tych ośrodków terapia kończy się wraz z osiągnięciem 18. roku życia, natomiast kontynuowana jest tylko w 8 ośrodkach – i to tylko w 4 z nich po 21. roku życia</w:t>
      </w:r>
      <w:r w:rsidDel="00000000" w:rsidR="00000000" w:rsidRPr="00000000">
        <w:rPr>
          <w:rFonts w:ascii="Calibri" w:cs="Calibri" w:eastAsia="Calibri" w:hAnsi="Calibri"/>
          <w:sz w:val="22"/>
          <w:szCs w:val="22"/>
          <w:vertAlign w:val="superscript"/>
        </w:rPr>
        <w:footnoteReference w:customMarkFollows="0" w:id="0"/>
      </w:r>
      <w:r w:rsidDel="00000000" w:rsidR="00000000" w:rsidRPr="00000000">
        <w:rPr>
          <w:rFonts w:ascii="Calibri" w:cs="Calibri" w:eastAsia="Calibri" w:hAnsi="Calibri"/>
          <w:sz w:val="22"/>
          <w:szCs w:val="22"/>
          <w:rtl w:val="0"/>
        </w:rPr>
        <w:t xml:space="preserve">. Jednym z wyjątków jest Klinika Onkologii i Chirurgii Onkologicznej Dzieci i Młodzieży Instytutu Matki i Dziecka, gdzie prowadzona jest pełna diagnostyka i kompleksowe leczenie nowotworów u dzieci, młodzieży i młodych dorosłych – od okresu płodowego do 25. roku życia z całego kraju.</w:t>
      </w:r>
    </w:p>
    <w:p w:rsidR="00000000" w:rsidDel="00000000" w:rsidP="00000000" w:rsidRDefault="00000000" w:rsidRPr="00000000" w14:paraId="0000000B">
      <w:pPr>
        <w:spacing w:line="276"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C">
      <w:pPr>
        <w:spacing w:line="276" w:lineRule="auto"/>
        <w:jc w:val="both"/>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sz w:val="22"/>
          <w:szCs w:val="22"/>
          <w:rtl w:val="0"/>
        </w:rPr>
        <w:t xml:space="preserve">Moment przejścia do systemu dla dorosłych to dla młodych pacjentów ogromne wyzwanie – nie tylko medyczne, ale też emocjonalne. To zmiana całej filozofii leczenia </w:t>
      </w:r>
      <w:r w:rsidDel="00000000" w:rsidR="00000000" w:rsidRPr="00000000">
        <w:rPr>
          <w:rFonts w:ascii="Calibri" w:cs="Calibri" w:eastAsia="Calibri" w:hAnsi="Calibri"/>
          <w:sz w:val="22"/>
          <w:szCs w:val="22"/>
          <w:rtl w:val="0"/>
        </w:rPr>
        <w:t xml:space="preserve">– mówi prof. dr hab. n. med. Anna Raciborska, kierownik Kliniki Onkologii IMiD – </w:t>
      </w:r>
      <w:r w:rsidDel="00000000" w:rsidR="00000000" w:rsidRPr="00000000">
        <w:rPr>
          <w:rFonts w:ascii="Calibri" w:cs="Calibri" w:eastAsia="Calibri" w:hAnsi="Calibri"/>
          <w:i w:val="1"/>
          <w:sz w:val="22"/>
          <w:szCs w:val="22"/>
          <w:rtl w:val="0"/>
        </w:rPr>
        <w:t xml:space="preserve">Pediatrzy myślą holistycznie – widzą nie tylko pacjenta, ale też jego rodzinę. Co naturalne rodzina jest nieodłączną częścią procesu decyzyjnego. Tymczasem system dla dorosłych jest bardziej fragmentaryczny, skoncentrowany często na konkretnych rozpoznaniach. Pacjent nierzadko sam musi podejmować decyzje. Dla młodego pacjenta, który dopiero uczy się samodzielności, to trudne doświadczenie, wymagające czasu i wsparcia.</w:t>
      </w:r>
    </w:p>
    <w:p w:rsidR="00000000" w:rsidDel="00000000" w:rsidP="00000000" w:rsidRDefault="00000000" w:rsidRPr="00000000" w14:paraId="0000000D">
      <w:pPr>
        <w:spacing w:after="80" w:before="280"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System, który nie nadąża za dojrzewaniem</w:t>
      </w:r>
    </w:p>
    <w:p w:rsidR="00000000" w:rsidDel="00000000" w:rsidP="00000000" w:rsidRDefault="00000000" w:rsidRPr="00000000" w14:paraId="0000000E">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Formalnie wszystko wydaje się proste – pacjent kończy 18 lat, trafia do oddziału dla dorosłych. W praktyce to moment, w którym system często zawodzi. Nie ma standardowych ścieżek przekazywania dokumentacji, pełnej wymiany informacji czy mechanizmów, które zapewniałyby płynne przejście z jednej opieki do drugiej.</w:t>
      </w:r>
    </w:p>
    <w:p w:rsidR="00000000" w:rsidDel="00000000" w:rsidP="00000000" w:rsidRDefault="00000000" w:rsidRPr="00000000" w14:paraId="0000000F">
      <w:pPr>
        <w:spacing w:after="240" w:before="240" w:line="276" w:lineRule="auto"/>
        <w:jc w:val="both"/>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sz w:val="22"/>
          <w:szCs w:val="22"/>
          <w:rtl w:val="0"/>
        </w:rPr>
        <w:t xml:space="preserve">To, czy wiedza medyczna i dokumentacja są przekazywane w sposób płynny, ma ogromne znaczenie dla dalszych decyzji terapeutycznych</w:t>
      </w:r>
      <w:r w:rsidDel="00000000" w:rsidR="00000000" w:rsidRPr="00000000">
        <w:rPr>
          <w:rFonts w:ascii="Calibri" w:cs="Calibri" w:eastAsia="Calibri" w:hAnsi="Calibri"/>
          <w:sz w:val="22"/>
          <w:szCs w:val="22"/>
          <w:rtl w:val="0"/>
        </w:rPr>
        <w:t xml:space="preserve"> – podkreśla prof. Raciborska. – </w:t>
      </w:r>
      <w:r w:rsidDel="00000000" w:rsidR="00000000" w:rsidRPr="00000000">
        <w:rPr>
          <w:rFonts w:ascii="Calibri" w:cs="Calibri" w:eastAsia="Calibri" w:hAnsi="Calibri"/>
          <w:i w:val="1"/>
          <w:sz w:val="22"/>
          <w:szCs w:val="22"/>
          <w:rtl w:val="0"/>
        </w:rPr>
        <w:t xml:space="preserve">Brak ciągłości może mieć konsekwencje nie tylko dla bieżącego leczenia, ale też dla analiz długofalowych – dotyczących powikłań, wtórnych nowotworów czy skutków ubocznych terapii.</w:t>
      </w:r>
    </w:p>
    <w:p w:rsidR="00000000" w:rsidDel="00000000" w:rsidP="00000000" w:rsidRDefault="00000000" w:rsidRPr="00000000" w14:paraId="00000010">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 niektórych krajach Europy wdrażane są rozwiązania typu transitional care – programy, które pomagają młodym dorosłym pacjentom bezpiecznie przejść z opieki pediatrycznej do dorosłej. W Polsce potrzeba stworzenia takich struktur dopiero zaczyna być dostrzegana.</w:t>
      </w:r>
    </w:p>
    <w:p w:rsidR="00000000" w:rsidDel="00000000" w:rsidP="00000000" w:rsidRDefault="00000000" w:rsidRPr="00000000" w14:paraId="00000011">
      <w:pPr>
        <w:spacing w:after="80" w:before="280"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Czy 18-latek naprawdę jest dorosły?</w:t>
      </w:r>
    </w:p>
    <w:p w:rsidR="00000000" w:rsidDel="00000000" w:rsidP="00000000" w:rsidRDefault="00000000" w:rsidRPr="00000000" w14:paraId="00000012">
      <w:pPr>
        <w:spacing w:after="240" w:before="240" w:line="276" w:lineRule="auto"/>
        <w:jc w:val="both"/>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Równie istotny jest aspekt psychologiczny. – </w:t>
      </w:r>
      <w:r w:rsidDel="00000000" w:rsidR="00000000" w:rsidRPr="00000000">
        <w:rPr>
          <w:rFonts w:ascii="Calibri" w:cs="Calibri" w:eastAsia="Calibri" w:hAnsi="Calibri"/>
          <w:i w:val="1"/>
          <w:sz w:val="22"/>
          <w:szCs w:val="22"/>
          <w:rtl w:val="0"/>
        </w:rPr>
        <w:t xml:space="preserve">Pacjent, który kończy 18 lat, nie zawsze jest gotowy, by samodzielnie podejmować decyzje o swoim leczeniu</w:t>
      </w:r>
      <w:r w:rsidDel="00000000" w:rsidR="00000000" w:rsidRPr="00000000">
        <w:rPr>
          <w:rFonts w:ascii="Calibri" w:cs="Calibri" w:eastAsia="Calibri" w:hAnsi="Calibri"/>
          <w:sz w:val="22"/>
          <w:szCs w:val="22"/>
          <w:rtl w:val="0"/>
        </w:rPr>
        <w:t xml:space="preserve"> – mówi prof. Raciborska z Kliniki Onkologii IMiD – </w:t>
      </w:r>
      <w:r w:rsidDel="00000000" w:rsidR="00000000" w:rsidRPr="00000000">
        <w:rPr>
          <w:rFonts w:ascii="Calibri" w:cs="Calibri" w:eastAsia="Calibri" w:hAnsi="Calibri"/>
          <w:i w:val="1"/>
          <w:sz w:val="22"/>
          <w:szCs w:val="22"/>
          <w:rtl w:val="0"/>
        </w:rPr>
        <w:t xml:space="preserve">Wyobraźmy sobie ucznia liceum, który dzień po urodzinach ma sam podpisywać zgody na zabiegi czy chemioterapię. To dziecko, które dopiero uczy się odpowiedzialności. System powinien to uwzględniać.</w:t>
      </w:r>
    </w:p>
    <w:p w:rsidR="00000000" w:rsidDel="00000000" w:rsidP="00000000" w:rsidRDefault="00000000" w:rsidRPr="00000000" w14:paraId="00000013">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 dorosłej onkologii rodzic często zostaje symbolicznie „odsunięty” – lekarz pyta pacjenta, czy mama lub tata mogą zostać w gabinecie. Tymczasem w onkologii wieku rozwojowego to właśnie rodzice są nieodłączną częścią procesu leczenia.</w:t>
      </w:r>
    </w:p>
    <w:p w:rsidR="00000000" w:rsidDel="00000000" w:rsidP="00000000" w:rsidRDefault="00000000" w:rsidRPr="00000000" w14:paraId="00000014">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w:t>
      </w:r>
      <w:r w:rsidDel="00000000" w:rsidR="00000000" w:rsidRPr="00000000">
        <w:rPr>
          <w:rFonts w:ascii="Calibri" w:cs="Calibri" w:eastAsia="Calibri" w:hAnsi="Calibri"/>
          <w:i w:val="1"/>
          <w:sz w:val="22"/>
          <w:szCs w:val="22"/>
          <w:rtl w:val="0"/>
        </w:rPr>
        <w:t xml:space="preserve">Nie możemy udawać, że młody człowiek z dnia na dzień staje się dorosły tylko dlatego, że przekroczył magiczną granicę wieku. Takie podejście grozi tym, że pacjent nam po prostu zniknie z systemu </w:t>
      </w:r>
      <w:r w:rsidDel="00000000" w:rsidR="00000000" w:rsidRPr="00000000">
        <w:rPr>
          <w:rFonts w:ascii="Calibri" w:cs="Calibri" w:eastAsia="Calibri" w:hAnsi="Calibri"/>
          <w:sz w:val="22"/>
          <w:szCs w:val="22"/>
          <w:rtl w:val="0"/>
        </w:rPr>
        <w:t xml:space="preserve">– ostrzega prof. Raciborska.</w:t>
      </w:r>
    </w:p>
    <w:p w:rsidR="00000000" w:rsidDel="00000000" w:rsidP="00000000" w:rsidRDefault="00000000" w:rsidRPr="00000000" w14:paraId="00000015">
      <w:pPr>
        <w:spacing w:after="80" w:before="280"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Pacjent nie może zostać sam</w:t>
      </w:r>
    </w:p>
    <w:p w:rsidR="00000000" w:rsidDel="00000000" w:rsidP="00000000" w:rsidRDefault="00000000" w:rsidRPr="00000000" w14:paraId="00000016">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Granica między dzieciństwem a dorosłością w onkologii to nie tylko kwestia wieku – to moment, w którym decyduje się, czy młody człowiek zostanie w systemie opieki zdrowotnej, czy z niego wypadnie. Skala problemu jest większa, niż mogłoby się wydawać. Co roku w Polsce diagnozuje się około 1100-1200 nowych przypadków nowotworów złośliwych u dzieci i młodzieży do 18. roku życia. Dla części z nich po zakończeniu leczenia brakuje jednak ciągłości opieki – problem ten nie dotyczy wyłącznie Polski. Badania wskazują, że nawet co trzeci lub więcej młodych dorosłych pacjentów onkologicznych nie wraca na regularne kontrole po zakończonej terapii — w jednym z amerykańskich ośrodków takiej wizyty nie odbyła niemal połowa badanych</w:t>
      </w:r>
      <w:r w:rsidDel="00000000" w:rsidR="00000000" w:rsidRPr="00000000">
        <w:rPr>
          <w:rFonts w:ascii="Calibri" w:cs="Calibri" w:eastAsia="Calibri" w:hAnsi="Calibri"/>
          <w:sz w:val="22"/>
          <w:szCs w:val="22"/>
          <w:vertAlign w:val="superscript"/>
        </w:rPr>
        <w:footnoteReference w:customMarkFollows="0" w:id="1"/>
      </w:r>
      <w:r w:rsidDel="00000000" w:rsidR="00000000" w:rsidRPr="00000000">
        <w:rPr>
          <w:rFonts w:ascii="Calibri" w:cs="Calibri" w:eastAsia="Calibri" w:hAnsi="Calibri"/>
          <w:sz w:val="22"/>
          <w:szCs w:val="22"/>
          <w:rtl w:val="0"/>
        </w:rPr>
        <w:t xml:space="preserve">. Jakie mogą być tego przyczyny? Brak informacji, brak kontaktu z ośrodkiem, ale też brak poczucia, że są „czyimś” pacjentem.</w:t>
      </w:r>
    </w:p>
    <w:p w:rsidR="00000000" w:rsidDel="00000000" w:rsidP="00000000" w:rsidRDefault="00000000" w:rsidRPr="00000000" w14:paraId="00000017">
      <w:pPr>
        <w:spacing w:after="240" w:before="240" w:line="276" w:lineRule="auto"/>
        <w:jc w:val="both"/>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Profesor Raciborska podkreśla, że w tym procesie kluczowa jest edukacja – nie tylko medyczna, ale też społeczna. – </w:t>
      </w:r>
      <w:r w:rsidDel="00000000" w:rsidR="00000000" w:rsidRPr="00000000">
        <w:rPr>
          <w:rFonts w:ascii="Calibri" w:cs="Calibri" w:eastAsia="Calibri" w:hAnsi="Calibri"/>
          <w:i w:val="1"/>
          <w:sz w:val="22"/>
          <w:szCs w:val="22"/>
          <w:rtl w:val="0"/>
        </w:rPr>
        <w:t xml:space="preserve">Musimy uczyć pacjentów odpowiedzialności za własne zdrowie, ale też tworzyć system, który im w tym pomoże. To nie może być przepaść między jednym a drugim etapem.</w:t>
      </w:r>
    </w:p>
    <w:p w:rsidR="00000000" w:rsidDel="00000000" w:rsidP="00000000" w:rsidRDefault="00000000" w:rsidRPr="00000000" w14:paraId="00000018">
      <w:pPr>
        <w:spacing w:after="80" w:before="280"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Edukacja i wsparcie – inwestycja w przyszłość</w:t>
      </w:r>
    </w:p>
    <w:p w:rsidR="00000000" w:rsidDel="00000000" w:rsidP="00000000" w:rsidRDefault="00000000" w:rsidRPr="00000000" w14:paraId="00000019">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 pediatrycznej onkologii równie ważne jak leczenie są aspekty pozamedyczne – edukacja, rehabilitacja i opieka psychologiczna.</w:t>
      </w:r>
    </w:p>
    <w:p w:rsidR="00000000" w:rsidDel="00000000" w:rsidP="00000000" w:rsidRDefault="00000000" w:rsidRPr="00000000" w14:paraId="0000001A">
      <w:pPr>
        <w:spacing w:after="240" w:before="240" w:line="276" w:lineRule="auto"/>
        <w:jc w:val="both"/>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 – </w:t>
      </w:r>
      <w:r w:rsidDel="00000000" w:rsidR="00000000" w:rsidRPr="00000000">
        <w:rPr>
          <w:rFonts w:ascii="Calibri" w:cs="Calibri" w:eastAsia="Calibri" w:hAnsi="Calibri"/>
          <w:i w:val="1"/>
          <w:sz w:val="22"/>
          <w:szCs w:val="22"/>
          <w:rtl w:val="0"/>
        </w:rPr>
        <w:t xml:space="preserve">Nie możemy wycinać dzieci z systemu edukacji tylko dlatego, że chorują – zaznacza prof. Raciborska. – Systemy opieki zdrowotnej i edukacyjnej powinny być ze sobą kompatybilne. Potrzebna jest współpraca na wielu poziomach, by pacjent po leczeniu mógł</w:t>
      </w:r>
      <w:r w:rsidDel="00000000" w:rsidR="00000000" w:rsidRPr="00000000">
        <w:rPr>
          <w:rtl w:val="0"/>
        </w:rPr>
        <w:t xml:space="preserve"> </w:t>
      </w:r>
      <w:r w:rsidDel="00000000" w:rsidR="00000000" w:rsidRPr="00000000">
        <w:rPr>
          <w:rFonts w:ascii="Calibri" w:cs="Calibri" w:eastAsia="Calibri" w:hAnsi="Calibri"/>
          <w:i w:val="1"/>
          <w:sz w:val="22"/>
          <w:szCs w:val="22"/>
          <w:rtl w:val="0"/>
        </w:rPr>
        <w:t xml:space="preserve">wrócić do życia społecznego i emocjonalnego.</w:t>
      </w:r>
    </w:p>
    <w:p w:rsidR="00000000" w:rsidDel="00000000" w:rsidP="00000000" w:rsidRDefault="00000000" w:rsidRPr="00000000" w14:paraId="0000001B">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Profesor przywołuje przykłady młodych ludzi, którzy po zakończeniu terapii onkologicznej wracają do szkoły, zdają maturę, a często studiują medycynę czy psychologię, by pomagać innym. – </w:t>
      </w:r>
      <w:r w:rsidDel="00000000" w:rsidR="00000000" w:rsidRPr="00000000">
        <w:rPr>
          <w:rFonts w:ascii="Calibri" w:cs="Calibri" w:eastAsia="Calibri" w:hAnsi="Calibri"/>
          <w:i w:val="1"/>
          <w:sz w:val="22"/>
          <w:szCs w:val="22"/>
          <w:rtl w:val="0"/>
        </w:rPr>
        <w:t xml:space="preserve">T</w:t>
      </w:r>
      <w:r w:rsidDel="00000000" w:rsidR="00000000" w:rsidRPr="00000000">
        <w:rPr>
          <w:rFonts w:ascii="Calibri" w:cs="Calibri" w:eastAsia="Calibri" w:hAnsi="Calibri"/>
          <w:sz w:val="22"/>
          <w:szCs w:val="22"/>
          <w:rtl w:val="0"/>
        </w:rPr>
        <w:t xml:space="preserve">o pokazuje, że kompleksowa opieka ma sens. Ale musi obejmować cały proces – od diagnozy po dorosłość.</w:t>
      </w:r>
    </w:p>
    <w:p w:rsidR="00000000" w:rsidDel="00000000" w:rsidP="00000000" w:rsidRDefault="00000000" w:rsidRPr="00000000" w14:paraId="0000001C">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Dla wielu młodych pacjentów równie istotne jak kontynuacja nauki jest odnalezienie się w nowej rzeczywistości związanej z dojrzewaniem i zmianą systemu opieki.</w:t>
      </w:r>
    </w:p>
    <w:p w:rsidR="00000000" w:rsidDel="00000000" w:rsidP="00000000" w:rsidRDefault="00000000" w:rsidRPr="00000000" w14:paraId="0000001D">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i w:val="1"/>
          <w:sz w:val="22"/>
          <w:szCs w:val="22"/>
          <w:rtl w:val="0"/>
        </w:rPr>
        <w:t xml:space="preserve">Przejście z pediatrii do onkologii dla dorosłych to dla młodego człowieka moment, w którym krzyżują się lęk przed utratą znanego środowiska, konieczność wejścia w nowy system i jednoczesna presja samodzielności. Wsparcie psychologiczne, edukacja w zakresie samodzielnego funkcjonowania w systemie medycznym i społeczność rówieśnicza pacjentów są tutaj kluczow</w:t>
      </w:r>
      <w:r w:rsidDel="00000000" w:rsidR="00000000" w:rsidRPr="00000000">
        <w:rPr>
          <w:rFonts w:ascii="Calibri" w:cs="Calibri" w:eastAsia="Calibri" w:hAnsi="Calibri"/>
          <w:sz w:val="22"/>
          <w:szCs w:val="22"/>
          <w:rtl w:val="0"/>
        </w:rPr>
        <w:t xml:space="preserve">e – dodaje mgr Joanna Pruban, psychoonkolog z Kliniki Onkologii IMiD.</w:t>
      </w:r>
    </w:p>
    <w:p w:rsidR="00000000" w:rsidDel="00000000" w:rsidP="00000000" w:rsidRDefault="00000000" w:rsidRPr="00000000" w14:paraId="0000001E">
      <w:pPr>
        <w:spacing w:after="80" w:before="280"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Potrzebny most między światami</w:t>
      </w:r>
    </w:p>
    <w:p w:rsidR="00000000" w:rsidDel="00000000" w:rsidP="00000000" w:rsidRDefault="00000000" w:rsidRPr="00000000" w14:paraId="0000001F">
      <w:pPr>
        <w:spacing w:after="240" w:before="24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Eksperci są zgodni – Polska potrzebuje rozwiązań systemowych dla tzw. „młodych dorosłych” pacjentów onkologicznych. Współpraca między pediatrami i onkologami dorosłych, wspólne rejestry, koordynatorzy opieki – to kierunki, które już dziś funkcjonują w innych krajach. Wprowadzenie modelu transitional care w Polsce mogłoby zapewnić młodym pacjentom bezpieczniejsze i bardziej zindywidualizowane wejście w dorosłość. </w:t>
      </w:r>
    </w:p>
    <w:p w:rsidR="00000000" w:rsidDel="00000000" w:rsidP="00000000" w:rsidRDefault="00000000" w:rsidRPr="00000000" w14:paraId="00000020">
      <w:pPr>
        <w:spacing w:after="240" w:before="240" w:line="276" w:lineRule="auto"/>
        <w:jc w:val="both"/>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sz w:val="22"/>
          <w:szCs w:val="22"/>
          <w:rtl w:val="0"/>
        </w:rPr>
        <w:t xml:space="preserve">Powinniśmy myśleć o systemie przejściowym, który nie odcina młodego pacjenta od dotychczasowego środowiska, ale pomaga mu wchodzić w dorosłość</w:t>
      </w:r>
      <w:r w:rsidDel="00000000" w:rsidR="00000000" w:rsidRPr="00000000">
        <w:rPr>
          <w:rFonts w:ascii="Calibri" w:cs="Calibri" w:eastAsia="Calibri" w:hAnsi="Calibri"/>
          <w:sz w:val="22"/>
          <w:szCs w:val="22"/>
          <w:rtl w:val="0"/>
        </w:rPr>
        <w:t xml:space="preserve"> – podsumowuje prof. Raciborska. – </w:t>
      </w:r>
      <w:r w:rsidDel="00000000" w:rsidR="00000000" w:rsidRPr="00000000">
        <w:rPr>
          <w:rFonts w:ascii="Calibri" w:cs="Calibri" w:eastAsia="Calibri" w:hAnsi="Calibri"/>
          <w:i w:val="1"/>
          <w:sz w:val="22"/>
          <w:szCs w:val="22"/>
          <w:rtl w:val="0"/>
        </w:rPr>
        <w:t xml:space="preserve">Bo w onkologii stawką zawsze jest życie. A my nie możemy pozwolić, by ktoś w tym przejściu je stracił.</w:t>
      </w:r>
    </w:p>
    <w:p w:rsidR="00000000" w:rsidDel="00000000" w:rsidP="00000000" w:rsidRDefault="00000000" w:rsidRPr="00000000" w14:paraId="00000021">
      <w:pPr>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spacing w:after="160" w:line="276"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highlight w:val="white"/>
          <w:rtl w:val="0"/>
        </w:rPr>
        <w:t xml:space="preserve">Klinika Onkologii i Chirurgii Dzieci i Młodzieży Instytutu Matki i Dziecka (IMiD)</w:t>
        <w:br w:type="textWrapping"/>
      </w:r>
      <w:r w:rsidDel="00000000" w:rsidR="00000000" w:rsidRPr="00000000">
        <w:rPr>
          <w:rFonts w:ascii="Calibri" w:cs="Calibri" w:eastAsia="Calibri" w:hAnsi="Calibri"/>
          <w:sz w:val="18"/>
          <w:szCs w:val="18"/>
          <w:rtl w:val="0"/>
        </w:rPr>
        <w:t xml:space="preserve">Najstarsza w Polsce, wysokospecjalistyczna Klinika onkologiczna dla dzieci i młodzieży zlokalizowana w Warszawie. Interdyscyplinarny, doświadczony zespół Kliniki prowadzi pełną diagnostykę i kompleksowe leczenie nowotworów u dzieci od okresu płodowego do 25. roku życia z całego kraju. Specjalizuje się w zakresie leczenia guzów litych poza ośrodkowym układem nerwowym oraz histiocytoz. Klinika jest ośrodkiem referencyjnym w leczeniu oszczędzającym, umożliwiającym uratowanie kończyny choremu dziecku. Do 2024 r. wykonano ponad 1000 zabiegów wszczepiania endoprotez u dzieci, także tych wydłużanych mechanicznie lub w wyniku działania pola elektromagnetycznego. Najmłodszy pacjent, u którego wykonano taki zabieg miał 8 miesięcy. Zespół Kliniki prowadzi także działalność naukową – m.in. niekomercyjne badania kliniczne dot. leczenia guzów litych u dzieci. Więcej informacji na temat działalności kliniki znajduje się na stronie internetowej: </w:t>
      </w:r>
      <w:hyperlink r:id="rId8">
        <w:r w:rsidDel="00000000" w:rsidR="00000000" w:rsidRPr="00000000">
          <w:rPr>
            <w:rFonts w:ascii="Calibri" w:cs="Calibri" w:eastAsia="Calibri" w:hAnsi="Calibri"/>
            <w:color w:val="0000ff"/>
            <w:sz w:val="18"/>
            <w:szCs w:val="18"/>
            <w:u w:val="single"/>
            <w:rtl w:val="0"/>
          </w:rPr>
          <w:t xml:space="preserve">https://imid.med.pl/pl/klinika-onkologii</w:t>
        </w:r>
      </w:hyperlink>
      <w:r w:rsidDel="00000000" w:rsidR="00000000" w:rsidRPr="00000000">
        <w:rPr>
          <w:rtl w:val="0"/>
        </w:rPr>
      </w:r>
    </w:p>
    <w:p w:rsidR="00000000" w:rsidDel="00000000" w:rsidP="00000000" w:rsidRDefault="00000000" w:rsidRPr="00000000" w14:paraId="00000023">
      <w:pPr>
        <w:spacing w:after="160" w:line="276"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Prof. dr hab. n. med. Anna Raciborska</w:t>
        <w:br w:type="textWrapping"/>
      </w:r>
      <w:r w:rsidDel="00000000" w:rsidR="00000000" w:rsidRPr="00000000">
        <w:rPr>
          <w:rFonts w:ascii="Calibri" w:cs="Calibri" w:eastAsia="Calibri" w:hAnsi="Calibri"/>
          <w:sz w:val="18"/>
          <w:szCs w:val="18"/>
          <w:rtl w:val="0"/>
        </w:rPr>
        <w:t xml:space="preserve">Specjalistka pediatrii, onkologii i hematologii dziecięcej. Jest absolwentką II Wydziału Lekarskiego Akademii Medycznej w Warszawie (obecnie Warszawski Uniwersytet Medyczny), a także absolwentką wydziału Rehabilitacji Ruchowej Akademii Wychowania Fizycznego w Warszawie. Laureatka #ShEO Awards 2024 w kategorii „Nadzieja w medycynie” oraz nagrody Wizjonerzy – Reformatorzy Zdrowia 2025 przyznawanej przez WPROST i NewsMed w kategorii Omnia Pro Infirmis: Wszystko dla Chorych. Od 2003 jest związana z Instytutem Matki i Dziecka w Warszawie, gdzie od 2017 pełni funkcję kierownika Kliniki Onkologii i Chirurgii Onkologicznej, a także członka Rady Naukowej IMiD. Jednym z głównych celów jej pracy zawodowej jest poprawa wyników leczenia pierwotnych nowotworów kości oraz chorób z kręgu histiocytoz. Anna Raciborska jest otwartą i łamiącą stereotypy lekarką, a onkologia dziecięca jest jej pasją. W swojej pracy łączy doświadczenie dynamicznej i rzeczowej specjalistki z empatią kobiety i matki.  </w:t>
      </w:r>
    </w:p>
    <w:p w:rsidR="00000000" w:rsidDel="00000000" w:rsidP="00000000" w:rsidRDefault="00000000" w:rsidRPr="00000000" w14:paraId="00000024">
      <w:pPr>
        <w:spacing w:after="280" w:before="280" w:line="276" w:lineRule="auto"/>
        <w:jc w:val="both"/>
        <w:rPr>
          <w:rFonts w:ascii="Calibri" w:cs="Calibri" w:eastAsia="Calibri" w:hAnsi="Calibri"/>
          <w:sz w:val="22"/>
          <w:szCs w:val="22"/>
        </w:rPr>
      </w:pPr>
      <w:r w:rsidDel="00000000" w:rsidR="00000000" w:rsidRPr="00000000">
        <w:rPr>
          <w:rFonts w:ascii="Calibri" w:cs="Calibri" w:eastAsia="Calibri" w:hAnsi="Calibri"/>
          <w:b w:val="1"/>
          <w:sz w:val="18"/>
          <w:szCs w:val="18"/>
          <w:rtl w:val="0"/>
        </w:rPr>
        <w:t xml:space="preserve">Mgr Joanna Pruban </w:t>
        <w:br w:type="textWrapping"/>
      </w:r>
      <w:r w:rsidDel="00000000" w:rsidR="00000000" w:rsidRPr="00000000">
        <w:rPr>
          <w:rFonts w:ascii="Calibri" w:cs="Calibri" w:eastAsia="Calibri" w:hAnsi="Calibri"/>
          <w:sz w:val="18"/>
          <w:szCs w:val="18"/>
          <w:rtl w:val="0"/>
        </w:rPr>
        <w:t xml:space="preserve">Absolwentka wydziału psychologii Uniwersytetu SWPS w Warszawie oraz wydziału pedagogiki UKSW w Warszawie. Ukończyła studia podyplomowe na Uniwersytecie Warszawskim z zakresu treningu kreatywności oraz arteterapii dla dzieci i dorosłych, a także kierunek Psychoonkologia na Uniwersytecie SWPS, zaś kierunek Neuropsychologia na WSKZ. Posiada 22-letnie doświadczenie w pracy w Klinice Onkologii i Chirurgii Onkologicznej Dzieci i Młodzieży Instytutu Matki i Dziecka, gdzie od 2014 r. prowadzi również Poradnię Psychoonkologiczną. W ramach praktyki zawodowej przeprowadza konsultacje oraz terapie psychologiczne, pracuje indywidualnie z dziećmi, młodzieżą i dorosłymi. Jest wykładowcą i prowadzącą ćwiczenia dla studentów z psychologii rozwojowej, organizuje warsztaty oraz szkolenia dla różnych grup zawodowych</w:t>
      </w:r>
      <w:r w:rsidDel="00000000" w:rsidR="00000000" w:rsidRPr="00000000">
        <w:rPr>
          <w:rFonts w:ascii="Calibri" w:cs="Calibri" w:eastAsia="Calibri" w:hAnsi="Calibri"/>
          <w:sz w:val="20"/>
          <w:szCs w:val="20"/>
          <w:rtl w:val="0"/>
        </w:rPr>
        <w:t xml:space="preserve">. Autorka artykułów naukowych i poglądowych, uczestniczka oraz prelegent licznych konferencji medycznych, zaangażowana w działalność popularyzującą wiedzę z zakresu psychoonkologii.</w:t>
      </w:r>
      <w:r w:rsidDel="00000000" w:rsidR="00000000" w:rsidRPr="00000000">
        <w:rPr>
          <w:rFonts w:ascii="Calibri" w:cs="Calibri" w:eastAsia="Calibri" w:hAnsi="Calibri"/>
          <w:i w:val="1"/>
          <w:sz w:val="20"/>
          <w:szCs w:val="20"/>
          <w:highlight w:val="white"/>
          <w:rtl w:val="0"/>
        </w:rPr>
        <w:t xml:space="preserve"> </w:t>
      </w:r>
      <w:r w:rsidDel="00000000" w:rsidR="00000000" w:rsidRPr="00000000">
        <w:rPr>
          <w:rFonts w:ascii="Calibri" w:cs="Calibri" w:eastAsia="Calibri" w:hAnsi="Calibri"/>
          <w:i w:val="1"/>
          <w:sz w:val="20"/>
          <w:szCs w:val="20"/>
          <w:rtl w:val="0"/>
        </w:rPr>
        <w:t xml:space="preserve"> </w:t>
      </w:r>
      <w:r w:rsidDel="00000000" w:rsidR="00000000" w:rsidRPr="00000000">
        <w:rPr>
          <w:rtl w:val="0"/>
        </w:rPr>
      </w:r>
    </w:p>
    <w:p w:rsidR="00000000" w:rsidDel="00000000" w:rsidP="00000000" w:rsidRDefault="00000000" w:rsidRPr="00000000" w14:paraId="00000025">
      <w:pPr>
        <w:spacing w:line="276" w:lineRule="auto"/>
        <w:jc w:val="both"/>
        <w:rPr>
          <w:rFonts w:ascii="Calibri" w:cs="Calibri" w:eastAsia="Calibri" w:hAnsi="Calibri"/>
          <w:sz w:val="16"/>
          <w:szCs w:val="16"/>
        </w:rPr>
      </w:pPr>
      <w:r w:rsidDel="00000000" w:rsidR="00000000" w:rsidRPr="00000000">
        <w:rPr>
          <w:rFonts w:ascii="Calibri" w:cs="Calibri" w:eastAsia="Calibri" w:hAnsi="Calibri"/>
          <w:sz w:val="18"/>
          <w:szCs w:val="18"/>
          <w:rtl w:val="0"/>
        </w:rPr>
        <w:t xml:space="preserve">Kontakt dla mediów:</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2479675</wp:posOffset>
                </wp:positionH>
                <wp:positionV relativeFrom="paragraph">
                  <wp:posOffset>144580</wp:posOffset>
                </wp:positionV>
                <wp:extent cx="2506533" cy="700300"/>
                <wp:effectExtent b="0" l="0" r="0" t="0"/>
                <wp:wrapNone/>
                <wp:docPr id="1995799565" name=""/>
                <a:graphic>
                  <a:graphicData uri="http://schemas.microsoft.com/office/word/2010/wordprocessingShape">
                    <wps:wsp>
                      <wps:cNvSpPr/>
                      <wps:cNvPr id="3" name="Shape 3"/>
                      <wps:spPr>
                        <a:xfrm>
                          <a:off x="3941063" y="3399000"/>
                          <a:ext cx="2809875" cy="762000"/>
                        </a:xfrm>
                        <a:prstGeom prst="rect">
                          <a:avLst/>
                        </a:prstGeom>
                        <a:solidFill>
                          <a:schemeClr val="lt1"/>
                        </a:solidFill>
                        <a:ln cap="flat" cmpd="sng" w="12700">
                          <a:solidFill>
                            <a:srgbClr val="BFBFBF"/>
                          </a:solidFill>
                          <a:prstDash val="solid"/>
                          <a:miter lim="800000"/>
                          <a:headEnd len="sm" w="sm" type="none"/>
                          <a:tailEnd len="sm" w="sm" type="none"/>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Ewelina Jaskuła</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Tel. +48 665 339 877</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E-mail: </w:t>
                            </w:r>
                            <w:r w:rsidDel="00000000" w:rsidR="00000000" w:rsidRPr="00000000">
                              <w:rPr>
                                <w:rFonts w:ascii="Calibri" w:cs="Calibri" w:eastAsia="Calibri" w:hAnsi="Calibri"/>
                                <w:b w:val="0"/>
                                <w:i w:val="0"/>
                                <w:smallCaps w:val="0"/>
                                <w:strike w:val="0"/>
                                <w:color w:val="0000ff"/>
                                <w:sz w:val="18"/>
                                <w:u w:val="single"/>
                                <w:vertAlign w:val="baseline"/>
                              </w:rPr>
                              <w:t xml:space="preserve">ewelina.jaskula@goodonepr.pl</w:t>
                            </w:r>
                            <w:r w:rsidDel="00000000" w:rsidR="00000000" w:rsidRPr="00000000">
                              <w:rPr>
                                <w:rFonts w:ascii="Calibri" w:cs="Calibri" w:eastAsia="Calibri" w:hAnsi="Calibri"/>
                                <w:b w:val="0"/>
                                <w:i w:val="0"/>
                                <w:smallCaps w:val="0"/>
                                <w:strike w:val="0"/>
                                <w:color w:val="000000"/>
                                <w:sz w:val="18"/>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2479675</wp:posOffset>
                </wp:positionH>
                <wp:positionV relativeFrom="paragraph">
                  <wp:posOffset>144580</wp:posOffset>
                </wp:positionV>
                <wp:extent cx="2506533" cy="700300"/>
                <wp:effectExtent b="0" l="0" r="0" t="0"/>
                <wp:wrapNone/>
                <wp:docPr id="1995799565"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2506533" cy="700300"/>
                        </a:xfrm>
                        <a:prstGeom prst="rect"/>
                        <a:ln/>
                      </pic:spPr>
                    </pic:pic>
                  </a:graphicData>
                </a:graphic>
              </wp:anchor>
            </w:drawing>
          </mc:Fallback>
        </mc:AlternateContent>
      </w:r>
    </w:p>
    <w:p w:rsidR="00000000" w:rsidDel="00000000" w:rsidP="00000000" w:rsidRDefault="00000000" w:rsidRPr="00000000" w14:paraId="00000026">
      <w:pPr>
        <w:spacing w:line="276" w:lineRule="auto"/>
        <w:rPr>
          <w:rFonts w:ascii="Calibri" w:cs="Calibri" w:eastAsia="Calibri" w:hAnsi="Calibri"/>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-19042</wp:posOffset>
                </wp:positionH>
                <wp:positionV relativeFrom="paragraph">
                  <wp:posOffset>-19043</wp:posOffset>
                </wp:positionV>
                <wp:extent cx="2509198" cy="697125"/>
                <wp:effectExtent b="0" l="0" r="0" t="0"/>
                <wp:wrapNone/>
                <wp:docPr id="1995799564" name=""/>
                <a:graphic>
                  <a:graphicData uri="http://schemas.microsoft.com/office/word/2010/wordprocessingShape">
                    <wps:wsp>
                      <wps:cNvSpPr/>
                      <wps:cNvPr id="2" name="Shape 2"/>
                      <wps:spPr>
                        <a:xfrm>
                          <a:off x="3941063" y="3399000"/>
                          <a:ext cx="2809875" cy="762000"/>
                        </a:xfrm>
                        <a:prstGeom prst="rect">
                          <a:avLst/>
                        </a:prstGeom>
                        <a:solidFill>
                          <a:schemeClr val="lt1"/>
                        </a:solidFill>
                        <a:ln cap="flat" cmpd="sng" w="9525">
                          <a:solidFill>
                            <a:srgbClr val="BFBFBF"/>
                          </a:solidFill>
                          <a:prstDash val="solid"/>
                          <a:round/>
                          <a:headEnd len="sm" w="sm" type="none"/>
                          <a:tailEnd len="sm" w="sm" type="none"/>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Aleksandra Sykulska</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Tel. + 48 796 990 064</w:t>
                            </w:r>
                          </w:p>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E-mail: </w:t>
                            </w:r>
                            <w:r w:rsidDel="00000000" w:rsidR="00000000" w:rsidRPr="00000000">
                              <w:rPr>
                                <w:rFonts w:ascii="Calibri" w:cs="Calibri" w:eastAsia="Calibri" w:hAnsi="Calibri"/>
                                <w:b w:val="0"/>
                                <w:i w:val="0"/>
                                <w:smallCaps w:val="0"/>
                                <w:strike w:val="0"/>
                                <w:color w:val="0000ff"/>
                                <w:sz w:val="18"/>
                                <w:u w:val="single"/>
                                <w:vertAlign w:val="baseline"/>
                              </w:rPr>
                              <w:t xml:space="preserve">aleksandra.sykulska@goodonepr.pl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ff"/>
                                <w:sz w:val="18"/>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-19042</wp:posOffset>
                </wp:positionH>
                <wp:positionV relativeFrom="paragraph">
                  <wp:posOffset>-19043</wp:posOffset>
                </wp:positionV>
                <wp:extent cx="2509198" cy="697125"/>
                <wp:effectExtent b="0" l="0" r="0" t="0"/>
                <wp:wrapNone/>
                <wp:docPr id="1995799564"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2509198" cy="697125"/>
                        </a:xfrm>
                        <a:prstGeom prst="rect"/>
                        <a:ln/>
                      </pic:spPr>
                    </pic:pic>
                  </a:graphicData>
                </a:graphic>
              </wp:anchor>
            </w:drawing>
          </mc:Fallback>
        </mc:AlternateContent>
      </w:r>
    </w:p>
    <w:p w:rsidR="00000000" w:rsidDel="00000000" w:rsidP="00000000" w:rsidRDefault="00000000" w:rsidRPr="00000000" w14:paraId="00000027">
      <w:pPr>
        <w:tabs>
          <w:tab w:val="left" w:leader="none" w:pos="2400"/>
        </w:tabs>
        <w:spacing w:line="276" w:lineRule="auto"/>
        <w:rPr>
          <w:rFonts w:ascii="Calibri" w:cs="Calibri" w:eastAsia="Calibri" w:hAnsi="Calibri"/>
          <w:sz w:val="22"/>
          <w:szCs w:val="22"/>
        </w:rPr>
      </w:pPr>
      <w:r w:rsidDel="00000000" w:rsidR="00000000" w:rsidRPr="00000000">
        <w:rPr>
          <w:rtl w:val="0"/>
        </w:rPr>
      </w:r>
    </w:p>
    <w:sectPr>
      <w:headerReference r:id="rId10" w:type="default"/>
      <w:footerReference r:id="rId11" w:type="default"/>
      <w:pgSz w:h="16839" w:w="11907" w:orient="portrait"/>
      <w:pgMar w:bottom="1417" w:top="567" w:left="851" w:right="1134" w:header="454"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wentieth 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536"/>
        <w:tab w:val="right" w:leader="none" w:pos="9072"/>
      </w:tabs>
      <w:rPr>
        <w:rFonts w:ascii="Twentieth Century" w:cs="Twentieth Century" w:eastAsia="Twentieth Century" w:hAnsi="Twentieth Century"/>
        <w:color w:val="0c1b75"/>
        <w:sz w:val="18"/>
        <w:szCs w:val="18"/>
      </w:rPr>
    </w:pPr>
    <w:r w:rsidDel="00000000" w:rsidR="00000000" w:rsidRPr="00000000">
      <w:rPr>
        <w:rFonts w:ascii="Twentieth Century" w:cs="Twentieth Century" w:eastAsia="Twentieth Century" w:hAnsi="Twentieth Century"/>
        <w:color w:val="0c1b75"/>
        <w:sz w:val="18"/>
        <w:szCs w:val="18"/>
        <w:rtl w:val="0"/>
      </w:rPr>
      <w:t xml:space="preserve">____________________________________________________________________________________________________</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536"/>
        <w:tab w:val="right" w:leader="none" w:pos="9072"/>
      </w:tabs>
      <w:spacing w:line="276" w:lineRule="auto"/>
      <w:rPr>
        <w:rFonts w:ascii="Arial" w:cs="Arial" w:eastAsia="Arial" w:hAnsi="Arial"/>
        <w:color w:val="0c1b75"/>
        <w:sz w:val="10"/>
        <w:szCs w:val="1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536"/>
        <w:tab w:val="right" w:leader="none" w:pos="9072"/>
      </w:tabs>
      <w:spacing w:line="276" w:lineRule="auto"/>
      <w:rPr>
        <w:rFonts w:ascii="Arial" w:cs="Arial" w:eastAsia="Arial" w:hAnsi="Arial"/>
        <w:color w:val="0c1b75"/>
        <w:sz w:val="18"/>
        <w:szCs w:val="18"/>
      </w:rPr>
    </w:pPr>
    <w:r w:rsidDel="00000000" w:rsidR="00000000" w:rsidRPr="00000000">
      <w:rPr>
        <w:rFonts w:ascii="Arial" w:cs="Arial" w:eastAsia="Arial" w:hAnsi="Arial"/>
        <w:color w:val="0c1b75"/>
        <w:sz w:val="18"/>
        <w:szCs w:val="18"/>
        <w:rtl w:val="0"/>
      </w:rPr>
      <w:t xml:space="preserve">Klinika Onkologii i Chirurgii Onkologicznej Dzieci i Młodzieży</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536"/>
        <w:tab w:val="right" w:leader="none" w:pos="9072"/>
      </w:tabs>
      <w:spacing w:line="276" w:lineRule="auto"/>
      <w:rPr>
        <w:rFonts w:ascii="Arial" w:cs="Arial" w:eastAsia="Arial" w:hAnsi="Arial"/>
        <w:color w:val="0c1b75"/>
        <w:sz w:val="18"/>
        <w:szCs w:val="18"/>
      </w:rPr>
    </w:pPr>
    <w:r w:rsidDel="00000000" w:rsidR="00000000" w:rsidRPr="00000000">
      <w:rPr>
        <w:rFonts w:ascii="Arial" w:cs="Arial" w:eastAsia="Arial" w:hAnsi="Arial"/>
        <w:color w:val="0c1b75"/>
        <w:sz w:val="18"/>
        <w:szCs w:val="18"/>
        <w:rtl w:val="0"/>
      </w:rPr>
      <w:t xml:space="preserve">ul. Kasprzaka 17a, 01-211 Warszawa</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536"/>
        <w:tab w:val="right" w:leader="none" w:pos="9072"/>
      </w:tabs>
      <w:spacing w:line="276" w:lineRule="auto"/>
      <w:rPr>
        <w:rFonts w:ascii="Arial" w:cs="Arial" w:eastAsia="Arial" w:hAnsi="Arial"/>
        <w:color w:val="0c1b75"/>
        <w:sz w:val="18"/>
        <w:szCs w:val="18"/>
      </w:rPr>
    </w:pPr>
    <w:r w:rsidDel="00000000" w:rsidR="00000000" w:rsidRPr="00000000">
      <w:rPr>
        <w:rFonts w:ascii="Arial" w:cs="Arial" w:eastAsia="Arial" w:hAnsi="Arial"/>
        <w:color w:val="0c1b75"/>
        <w:sz w:val="18"/>
        <w:szCs w:val="18"/>
        <w:rtl w:val="0"/>
      </w:rPr>
      <w:t xml:space="preserve">tel.: 22 32 77 205; wew.: 114, 124, 350</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536"/>
        <w:tab w:val="right" w:leader="none" w:pos="9072"/>
      </w:tabs>
      <w:spacing w:line="276" w:lineRule="auto"/>
      <w:rPr>
        <w:rFonts w:ascii="Arial" w:cs="Arial" w:eastAsia="Arial" w:hAnsi="Arial"/>
        <w:color w:val="0c1b75"/>
        <w:sz w:val="18"/>
        <w:szCs w:val="18"/>
      </w:rPr>
    </w:pPr>
    <w:r w:rsidDel="00000000" w:rsidR="00000000" w:rsidRPr="00000000">
      <w:rPr>
        <w:rFonts w:ascii="Arial" w:cs="Arial" w:eastAsia="Arial" w:hAnsi="Arial"/>
        <w:color w:val="0c1b75"/>
        <w:sz w:val="18"/>
        <w:szCs w:val="18"/>
        <w:rtl w:val="0"/>
      </w:rPr>
      <w:t xml:space="preserve">e- mail: klinika.onkologii@imid.med.pl </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536"/>
        <w:tab w:val="right" w:leader="none" w:pos="9072"/>
      </w:tabs>
      <w:spacing w:line="276" w:lineRule="auto"/>
      <w:rPr>
        <w:rFonts w:ascii="Arial" w:cs="Arial" w:eastAsia="Arial" w:hAnsi="Arial"/>
        <w:color w:val="0c1b75"/>
        <w:sz w:val="18"/>
        <w:szCs w:val="18"/>
      </w:rPr>
    </w:pPr>
    <w:r w:rsidDel="00000000" w:rsidR="00000000" w:rsidRPr="00000000">
      <w:rPr>
        <w:rFonts w:ascii="Arial" w:cs="Arial" w:eastAsia="Arial" w:hAnsi="Arial"/>
        <w:color w:val="0c1b75"/>
        <w:sz w:val="18"/>
        <w:szCs w:val="18"/>
        <w:rtl w:val="0"/>
      </w:rPr>
      <w:t xml:space="preserve">www.imid.med.pl</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8">
      <w:pPr>
        <w:rPr>
          <w:rFonts w:ascii="Calibri" w:cs="Calibri" w:eastAsia="Calibri" w:hAnsi="Calibri"/>
          <w:sz w:val="20"/>
          <w:szCs w:val="20"/>
        </w:rPr>
      </w:pPr>
      <w:r w:rsidDel="00000000" w:rsidR="00000000" w:rsidRPr="00000000">
        <w:rPr>
          <w:rStyle w:val="FootnoteReference"/>
          <w:vertAlign w:val="superscript"/>
        </w:rPr>
        <w:footnoteRef/>
      </w:r>
      <w:hyperlink r:id="rId1">
        <w:r w:rsidDel="00000000" w:rsidR="00000000" w:rsidRPr="00000000">
          <w:rPr>
            <w:rFonts w:ascii="Calibri" w:cs="Calibri" w:eastAsia="Calibri" w:hAnsi="Calibri"/>
            <w:color w:val="1155cc"/>
            <w:sz w:val="20"/>
            <w:szCs w:val="20"/>
            <w:u w:val="single"/>
            <w:rtl w:val="0"/>
          </w:rPr>
          <w:t xml:space="preserve">Termedia</w:t>
        </w:r>
      </w:hyperlink>
      <w:r w:rsidDel="00000000" w:rsidR="00000000" w:rsidRPr="00000000">
        <w:rPr>
          <w:rtl w:val="0"/>
        </w:rPr>
      </w:r>
    </w:p>
  </w:footnote>
  <w:footnote w:id="1">
    <w:p w:rsidR="00000000" w:rsidDel="00000000" w:rsidP="00000000" w:rsidRDefault="00000000" w:rsidRPr="00000000" w14:paraId="00000029">
      <w:pPr>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w:t>
      </w:r>
      <w:hyperlink r:id="rId2">
        <w:r w:rsidDel="00000000" w:rsidR="00000000" w:rsidRPr="00000000">
          <w:rPr>
            <w:rFonts w:ascii="Calibri" w:cs="Calibri" w:eastAsia="Calibri" w:hAnsi="Calibri"/>
            <w:color w:val="1155cc"/>
            <w:sz w:val="20"/>
            <w:szCs w:val="20"/>
            <w:u w:val="single"/>
            <w:rtl w:val="0"/>
          </w:rPr>
          <w:t xml:space="preserve">Ecancer</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ind w:left="-1134" w:right="284" w:firstLine="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1278890</wp:posOffset>
          </wp:positionH>
          <wp:positionV relativeFrom="paragraph">
            <wp:posOffset>-231118</wp:posOffset>
          </wp:positionV>
          <wp:extent cx="2005965" cy="648335"/>
          <wp:effectExtent b="0" l="0" r="0" t="0"/>
          <wp:wrapNone/>
          <wp:docPr id="199579956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05965" cy="64833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194307</wp:posOffset>
          </wp:positionH>
          <wp:positionV relativeFrom="paragraph">
            <wp:posOffset>-288282</wp:posOffset>
          </wp:positionV>
          <wp:extent cx="804545" cy="998855"/>
          <wp:effectExtent b="0" l="0" r="0" t="0"/>
          <wp:wrapNone/>
          <wp:docPr descr="C:\Users\katmaleszewska\Downloads\Kopia logo_instytut_matki_i_dziecka.jpg" id="1995799567" name="image2.png"/>
          <a:graphic>
            <a:graphicData uri="http://schemas.openxmlformats.org/drawingml/2006/picture">
              <pic:pic>
                <pic:nvPicPr>
                  <pic:cNvPr descr="C:\Users\katmaleszewska\Downloads\Kopia logo_instytut_matki_i_dziecka.jpg" id="0" name="image2.png"/>
                  <pic:cNvPicPr preferRelativeResize="0"/>
                </pic:nvPicPr>
                <pic:blipFill>
                  <a:blip r:embed="rId2"/>
                  <a:srcRect b="0" l="0" r="0" t="0"/>
                  <a:stretch>
                    <a:fillRect/>
                  </a:stretch>
                </pic:blipFill>
                <pic:spPr>
                  <a:xfrm>
                    <a:off x="0" y="0"/>
                    <a:ext cx="804545" cy="998855"/>
                  </a:xfrm>
                  <a:prstGeom prst="rect"/>
                  <a:ln/>
                </pic:spPr>
              </pic:pic>
            </a:graphicData>
          </a:graphic>
        </wp:anchor>
      </w:drawing>
    </w:r>
  </w:p>
  <w:p w:rsidR="00000000" w:rsidDel="00000000" w:rsidP="00000000" w:rsidRDefault="00000000" w:rsidRPr="00000000" w14:paraId="0000002B">
    <w:pPr>
      <w:ind w:left="284" w:hanging="142"/>
      <w:rPr>
        <w:color w:val="0c1b75"/>
        <w:sz w:val="22"/>
        <w:szCs w:val="22"/>
      </w:rPr>
    </w:pPr>
    <w:r w:rsidDel="00000000" w:rsidR="00000000" w:rsidRPr="00000000">
      <w:rPr>
        <w:rtl w:val="0"/>
      </w:rPr>
    </w:r>
  </w:p>
  <w:p w:rsidR="00000000" w:rsidDel="00000000" w:rsidP="00000000" w:rsidRDefault="00000000" w:rsidRPr="00000000" w14:paraId="0000002C">
    <w:pPr>
      <w:ind w:left="284" w:hanging="142"/>
      <w:rPr>
        <w:color w:val="0c1b75"/>
        <w:sz w:val="22"/>
        <w:szCs w:val="22"/>
      </w:rPr>
    </w:pPr>
    <w:r w:rsidDel="00000000" w:rsidR="00000000" w:rsidRPr="00000000">
      <w:rPr>
        <w:rtl w:val="0"/>
      </w:rPr>
    </w:r>
  </w:p>
  <w:p w:rsidR="00000000" w:rsidDel="00000000" w:rsidP="00000000" w:rsidRDefault="00000000" w:rsidRPr="00000000" w14:paraId="0000002D">
    <w:pPr>
      <w:ind w:left="2160" w:firstLine="60"/>
      <w:rPr>
        <w:color w:val="0c1b75"/>
      </w:rPr>
    </w:pPr>
    <w:r w:rsidDel="00000000" w:rsidR="00000000" w:rsidRPr="00000000">
      <w:rPr>
        <w:b w:val="1"/>
        <w:color w:val="0c1b75"/>
        <w:rtl w:val="0"/>
      </w:rPr>
      <w:t xml:space="preserve">Klinika Onkologii i Chirurgii Onkologicznej Dzieci i Młodzieży</w:t>
    </w:r>
    <w:r w:rsidDel="00000000" w:rsidR="00000000" w:rsidRPr="00000000">
      <w:rPr>
        <w:color w:val="0c1b75"/>
        <w:sz w:val="22"/>
        <w:szCs w:val="22"/>
        <w:rtl w:val="0"/>
      </w:rPr>
      <w:tab/>
      <w:tab/>
      <w:tab/>
      <w:t xml:space="preserve">                  </w:t>
      <w:tab/>
      <w:tab/>
      <w:t xml:space="preserve"> ___________________________________________________________________</w:t>
    </w:r>
    <w:r w:rsidDel="00000000" w:rsidR="00000000" w:rsidRPr="00000000">
      <w:rPr>
        <w:rtl w:val="0"/>
      </w:rPr>
    </w:r>
  </w:p>
  <w:p w:rsidR="00000000" w:rsidDel="00000000" w:rsidP="00000000" w:rsidRDefault="00000000" w:rsidRPr="00000000" w14:paraId="0000002E">
    <w:pPr>
      <w:keepNext w:val="1"/>
      <w:pBdr>
        <w:top w:space="0" w:sz="0" w:val="nil"/>
        <w:left w:space="0" w:sz="0" w:val="nil"/>
        <w:bottom w:space="0" w:sz="0" w:val="nil"/>
        <w:right w:space="0" w:sz="0" w:val="nil"/>
        <w:between w:space="0" w:sz="0" w:val="nil"/>
      </w:pBdr>
      <w:ind w:left="709" w:firstLine="709"/>
      <w:rPr>
        <w:rFonts w:ascii="Arial" w:cs="Arial" w:eastAsia="Arial" w:hAnsi="Arial"/>
        <w:b w:val="1"/>
        <w:color w:val="0c1b75"/>
        <w:sz w:val="20"/>
        <w:szCs w:val="20"/>
      </w:rPr>
    </w:pPr>
    <w:r w:rsidDel="00000000" w:rsidR="00000000" w:rsidRPr="00000000">
      <w:rPr>
        <w:rFonts w:ascii="Twentieth Century" w:cs="Twentieth Century" w:eastAsia="Twentieth Century" w:hAnsi="Twentieth Century"/>
        <w:b w:val="1"/>
        <w:color w:val="0c1b75"/>
        <w:sz w:val="18"/>
        <w:szCs w:val="18"/>
        <w:rtl w:val="0"/>
      </w:rPr>
      <w:t xml:space="preserve">             </w:t>
      <w:tab/>
      <w:t xml:space="preserve">  </w:t>
    </w:r>
    <w:r w:rsidDel="00000000" w:rsidR="00000000" w:rsidRPr="00000000">
      <w:rPr>
        <w:rFonts w:ascii="Arial" w:cs="Arial" w:eastAsia="Arial" w:hAnsi="Arial"/>
        <w:b w:val="1"/>
        <w:color w:val="0c1b75"/>
        <w:sz w:val="20"/>
        <w:szCs w:val="20"/>
        <w:rtl w:val="0"/>
      </w:rPr>
      <w:t xml:space="preserve">Institute of Mother and Child</w:t>
    </w:r>
  </w:p>
  <w:p w:rsidR="00000000" w:rsidDel="00000000" w:rsidP="00000000" w:rsidRDefault="00000000" w:rsidRPr="00000000" w14:paraId="0000002F">
    <w:pPr>
      <w:keepNext w:val="1"/>
      <w:pBdr>
        <w:top w:space="0" w:sz="0" w:val="nil"/>
        <w:left w:space="0" w:sz="0" w:val="nil"/>
        <w:bottom w:space="0" w:sz="0" w:val="nil"/>
        <w:right w:space="0" w:sz="0" w:val="nil"/>
        <w:between w:space="0" w:sz="0" w:val="nil"/>
      </w:pBdr>
      <w:ind w:left="284" w:hanging="142"/>
      <w:rPr>
        <w:rFonts w:ascii="Twentieth Century" w:cs="Twentieth Century" w:eastAsia="Twentieth Century" w:hAnsi="Twentieth Century"/>
        <w:b w:val="1"/>
        <w:color w:val="0c1b75"/>
        <w:sz w:val="14"/>
        <w:szCs w:val="1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709" w:firstLine="709"/>
    </w:pPr>
    <w:rPr>
      <w:rFonts w:ascii="Twentieth Century" w:cs="Twentieth Century" w:eastAsia="Twentieth Century" w:hAnsi="Twentieth Century"/>
      <w:b w:val="1"/>
      <w:sz w:val="20"/>
      <w:szCs w:val="20"/>
    </w:rPr>
  </w:style>
  <w:style w:type="paragraph" w:styleId="Heading2">
    <w:name w:val="heading 2"/>
    <w:basedOn w:val="Normal"/>
    <w:next w:val="Normal"/>
    <w:pPr>
      <w:keepNext w:val="1"/>
      <w:spacing w:after="60" w:before="240" w:lineRule="auto"/>
    </w:pPr>
    <w:rPr>
      <w:rFonts w:ascii="Calibri" w:cs="Calibri" w:eastAsia="Calibri" w:hAnsi="Calibri"/>
      <w:b w:val="1"/>
      <w:i w:val="1"/>
      <w:sz w:val="28"/>
      <w:szCs w:val="28"/>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before="40" w:lineRule="auto"/>
    </w:pPr>
    <w:rPr>
      <w:rFonts w:ascii="Calibri" w:cs="Calibri" w:eastAsia="Calibri" w:hAnsi="Calibri"/>
      <w:color w:val="2e75b5"/>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Normal"/>
    <w:tblPr>
      <w:tblCellMar>
        <w:top w:w="0.0" w:type="dxa"/>
        <w:left w:w="0.0" w:type="dxa"/>
        <w:bottom w:w="0.0" w:type="dxa"/>
        <w:right w:w="0.0" w:type="dxa"/>
      </w:tblCellMar>
    </w:tblPr>
  </w:style>
  <w:style w:type="table" w:styleId="TableNormal4" w:customStyle="1">
    <w:name w:val="TableNormal"/>
    <w:tblPr>
      <w:tblCellMar>
        <w:top w:w="0.0" w:type="dxa"/>
        <w:left w:w="0.0" w:type="dxa"/>
        <w:bottom w:w="0.0" w:type="dxa"/>
        <w:right w:w="0.0" w:type="dxa"/>
      </w:tblCellMar>
    </w:tblPr>
  </w:style>
  <w:style w:type="table" w:styleId="TableNormal5" w:customStyle="1">
    <w:name w:val="TableNormal"/>
    <w:tblPr>
      <w:tblCellMar>
        <w:top w:w="0.0" w:type="dxa"/>
        <w:left w:w="0.0" w:type="dxa"/>
        <w:bottom w:w="0.0" w:type="dxa"/>
        <w:right w:w="0.0" w:type="dxa"/>
      </w:tblCellMar>
    </w:tblPr>
  </w:style>
  <w:style w:type="table" w:styleId="TableNormal6" w:customStyle="1">
    <w:name w:val="Table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TableNormald" w:customStyle="1">
    <w:name w:val="Table Normal"/>
    <w:tblPr>
      <w:tblCellMar>
        <w:top w:w="0.0" w:type="dxa"/>
        <w:left w:w="0.0" w:type="dxa"/>
        <w:bottom w:w="0.0" w:type="dxa"/>
        <w:right w:w="0.0" w:type="dxa"/>
      </w:tblCellMar>
    </w:tblPr>
  </w:style>
  <w:style w:type="paragraph" w:styleId="Poprawka">
    <w:name w:val="Revision"/>
    <w:hidden w:val="1"/>
    <w:uiPriority w:val="99"/>
    <w:semiHidden w:val="1"/>
    <w:rsid w:val="00A84354"/>
  </w:style>
  <w:style w:type="paragraph" w:styleId="Nagwek">
    <w:name w:val="header"/>
    <w:link w:val="NagwekZnak"/>
    <w:uiPriority w:val="99"/>
    <w:unhideWhenUsed w:val="1"/>
    <w:rsid w:val="000A5710"/>
    <w:pPr>
      <w:tabs>
        <w:tab w:val="center" w:pos="4536"/>
        <w:tab w:val="right" w:pos="9072"/>
      </w:tabs>
    </w:pPr>
  </w:style>
  <w:style w:type="character" w:styleId="NagwekZnak" w:customStyle="1">
    <w:name w:val="Nagłówek Znak"/>
    <w:basedOn w:val="Domylnaczcionkaakapitu"/>
    <w:link w:val="Nagwek"/>
    <w:uiPriority w:val="99"/>
    <w:rsid w:val="000A5710"/>
  </w:style>
  <w:style w:type="paragraph" w:styleId="Stopka">
    <w:name w:val="footer"/>
    <w:link w:val="StopkaZnak"/>
    <w:uiPriority w:val="99"/>
    <w:unhideWhenUsed w:val="1"/>
    <w:rsid w:val="000A5710"/>
    <w:pPr>
      <w:tabs>
        <w:tab w:val="center" w:pos="4536"/>
        <w:tab w:val="right" w:pos="9072"/>
      </w:tabs>
    </w:pPr>
  </w:style>
  <w:style w:type="character" w:styleId="StopkaZnak" w:customStyle="1">
    <w:name w:val="Stopka Znak"/>
    <w:basedOn w:val="Domylnaczcionkaakapitu"/>
    <w:link w:val="Stopka"/>
    <w:uiPriority w:val="99"/>
    <w:rsid w:val="000A5710"/>
  </w:style>
  <w:style w:type="paragraph" w:styleId="Tekstprzypisudolnego">
    <w:name w:val="footnote text"/>
    <w:link w:val="TekstprzypisudolnegoZnak"/>
    <w:uiPriority w:val="99"/>
    <w:semiHidden w:val="1"/>
    <w:unhideWhenUsed w:val="1"/>
    <w:rsid w:val="00464055"/>
    <w:rPr>
      <w:sz w:val="20"/>
      <w:szCs w:val="20"/>
    </w:rPr>
  </w:style>
  <w:style w:type="character" w:styleId="TekstprzypisudolnegoZnak" w:customStyle="1">
    <w:name w:val="Tekst przypisu dolnego Znak"/>
    <w:basedOn w:val="Domylnaczcionkaakapitu"/>
    <w:link w:val="Tekstprzypisudolnego"/>
    <w:uiPriority w:val="99"/>
    <w:semiHidden w:val="1"/>
    <w:rsid w:val="00464055"/>
    <w:rPr>
      <w:sz w:val="20"/>
      <w:szCs w:val="20"/>
    </w:rPr>
  </w:style>
  <w:style w:type="character" w:styleId="Odwoanieprzypisudolnego">
    <w:name w:val="footnote reference"/>
    <w:basedOn w:val="Domylnaczcionkaakapitu"/>
    <w:uiPriority w:val="99"/>
    <w:semiHidden w:val="1"/>
    <w:unhideWhenUsed w:val="1"/>
    <w:rsid w:val="00464055"/>
    <w:rPr>
      <w:vertAlign w:val="superscript"/>
    </w:rPr>
  </w:style>
  <w:style w:type="character" w:styleId="Hipercze">
    <w:name w:val="Hyperlink"/>
    <w:basedOn w:val="Domylnaczcionkaakapitu"/>
    <w:uiPriority w:val="99"/>
    <w:unhideWhenUsed w:val="1"/>
    <w:rsid w:val="00B65FEF"/>
    <w:rPr>
      <w:color w:val="0000ff" w:themeColor="hyperlink"/>
      <w:u w:val="single"/>
    </w:rPr>
  </w:style>
  <w:style w:type="character" w:styleId="Nierozpoznanawzmianka">
    <w:name w:val="Unresolved Mention"/>
    <w:basedOn w:val="Domylnaczcionkaakapitu"/>
    <w:uiPriority w:val="99"/>
    <w:semiHidden w:val="1"/>
    <w:unhideWhenUsed w:val="1"/>
    <w:rsid w:val="00B65FEF"/>
    <w:rPr>
      <w:color w:val="605e5c"/>
      <w:shd w:color="auto" w:fill="e1dfdd" w:val="clear"/>
    </w:rPr>
  </w:style>
  <w:style w:type="paragraph" w:styleId="NormalnyWeb">
    <w:name w:val="Normal (Web)"/>
    <w:uiPriority w:val="99"/>
    <w:unhideWhenUsed w:val="1"/>
    <w:rsid w:val="003C1E11"/>
    <w:pPr>
      <w:spacing w:after="100" w:afterAutospacing="1" w:before="100" w:beforeAutospacing="1"/>
    </w:pPr>
  </w:style>
  <w:style w:type="paragraph" w:styleId="Tekstprzypisukocowego">
    <w:name w:val="endnote text"/>
    <w:link w:val="TekstprzypisukocowegoZnak"/>
    <w:uiPriority w:val="99"/>
    <w:semiHidden w:val="1"/>
    <w:unhideWhenUsed w:val="1"/>
    <w:rsid w:val="001846E6"/>
    <w:rPr>
      <w:sz w:val="20"/>
      <w:szCs w:val="20"/>
    </w:rPr>
  </w:style>
  <w:style w:type="character" w:styleId="TekstprzypisukocowegoZnak" w:customStyle="1">
    <w:name w:val="Tekst przypisu końcowego Znak"/>
    <w:basedOn w:val="Domylnaczcionkaakapitu"/>
    <w:link w:val="Tekstprzypisukocowego"/>
    <w:uiPriority w:val="99"/>
    <w:semiHidden w:val="1"/>
    <w:rsid w:val="001846E6"/>
    <w:rPr>
      <w:sz w:val="20"/>
      <w:szCs w:val="20"/>
    </w:rPr>
  </w:style>
  <w:style w:type="character" w:styleId="Odwoanieprzypisukocowego">
    <w:name w:val="endnote reference"/>
    <w:basedOn w:val="Domylnaczcionkaakapitu"/>
    <w:uiPriority w:val="99"/>
    <w:semiHidden w:val="1"/>
    <w:unhideWhenUsed w:val="1"/>
    <w:rsid w:val="001846E6"/>
    <w:rPr>
      <w:vertAlign w:val="superscript"/>
    </w:rPr>
  </w:style>
  <w:style w:type="character" w:styleId="Odwoaniedokomentarza">
    <w:name w:val="annotation reference"/>
    <w:basedOn w:val="Domylnaczcionkaakapitu"/>
    <w:uiPriority w:val="99"/>
    <w:semiHidden w:val="1"/>
    <w:unhideWhenUsed w:val="1"/>
    <w:rsid w:val="00350A84"/>
    <w:rPr>
      <w:sz w:val="16"/>
      <w:szCs w:val="16"/>
    </w:rPr>
  </w:style>
  <w:style w:type="paragraph" w:styleId="Tekstkomentarza">
    <w:name w:val="annotation text"/>
    <w:link w:val="TekstkomentarzaZnak"/>
    <w:uiPriority w:val="99"/>
    <w:unhideWhenUsed w:val="1"/>
    <w:rsid w:val="00350A84"/>
    <w:rPr>
      <w:sz w:val="20"/>
      <w:szCs w:val="20"/>
    </w:rPr>
  </w:style>
  <w:style w:type="character" w:styleId="TekstkomentarzaZnak" w:customStyle="1">
    <w:name w:val="Tekst komentarza Znak"/>
    <w:basedOn w:val="Domylnaczcionkaakapitu"/>
    <w:link w:val="Tekstkomentarza"/>
    <w:uiPriority w:val="99"/>
    <w:rsid w:val="00350A84"/>
    <w:rPr>
      <w:sz w:val="20"/>
      <w:szCs w:val="20"/>
    </w:rPr>
  </w:style>
  <w:style w:type="paragraph" w:styleId="Tematkomentarza">
    <w:name w:val="annotation subject"/>
    <w:basedOn w:val="Tekstkomentarza"/>
    <w:next w:val="Tekstkomentarza"/>
    <w:link w:val="TematkomentarzaZnak"/>
    <w:uiPriority w:val="99"/>
    <w:semiHidden w:val="1"/>
    <w:unhideWhenUsed w:val="1"/>
    <w:rsid w:val="00350A84"/>
    <w:rPr>
      <w:b w:val="1"/>
      <w:bCs w:val="1"/>
    </w:rPr>
  </w:style>
  <w:style w:type="character" w:styleId="TematkomentarzaZnak" w:customStyle="1">
    <w:name w:val="Temat komentarza Znak"/>
    <w:basedOn w:val="TekstkomentarzaZnak"/>
    <w:link w:val="Tematkomentarza"/>
    <w:uiPriority w:val="99"/>
    <w:semiHidden w:val="1"/>
    <w:rsid w:val="00350A84"/>
    <w:rPr>
      <w:b w:val="1"/>
      <w:bCs w:val="1"/>
      <w:sz w:val="20"/>
      <w:szCs w:val="20"/>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4.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imid.med.pl/pl/klinika-onkologi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termedia.pl/Transition-of-childhood-cancer-survivors-from-pediatric-to-adult-care-system%2C127%2C32036%2C0%2C1.html" TargetMode="External"/><Relationship Id="rId2" Type="http://schemas.openxmlformats.org/officeDocument/2006/relationships/hyperlink" Target="https://ecancer.org/en/news/13330-many-young-adult-cancer-survivors-do-not-seek-follow-up-care-after-treatment-en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BqFkIA0lsa4LW0P5T18kijQBTA==">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2025-06-13T08:46:00Z</dcterms:created>
  <dc:creator>m.bielkiewicz</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64a0815590f4a06f3fb21658450aa4525912781c2e5176d8739f84dbe9118a8f</vt:lpwstr>
  </property>
</Properties>
</file>