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495E5F" w14:textId="7A11AF66" w:rsidR="00D00E8D" w:rsidRPr="00D00E8D" w:rsidRDefault="00D00E8D" w:rsidP="00D00E8D">
      <w:pPr>
        <w:spacing w:before="100" w:beforeAutospacing="1" w:after="100" w:afterAutospacing="1" w:line="240" w:lineRule="auto"/>
        <w:jc w:val="right"/>
        <w:outlineLvl w:val="1"/>
        <w:rPr>
          <w:rFonts w:ascii="Aptos" w:eastAsia="Times New Roman" w:hAnsi="Aptos" w:cs="Times New Roman"/>
          <w:kern w:val="0"/>
          <w:sz w:val="22"/>
          <w:szCs w:val="22"/>
          <w:lang w:eastAsia="en-GB"/>
          <w14:ligatures w14:val="none"/>
        </w:rPr>
      </w:pPr>
      <w:r>
        <w:rPr>
          <w:rFonts w:ascii="Aptos" w:eastAsia="Times New Roman" w:hAnsi="Aptos" w:cs="Times New Roman"/>
          <w:b/>
          <w:bCs/>
          <w:kern w:val="0"/>
          <w:sz w:val="22"/>
          <w:szCs w:val="22"/>
          <w:lang w:eastAsia="en-GB"/>
          <w14:ligatures w14:val="none"/>
        </w:rPr>
        <w:tab/>
      </w:r>
      <w:r>
        <w:rPr>
          <w:rFonts w:ascii="Aptos" w:eastAsia="Times New Roman" w:hAnsi="Aptos" w:cs="Times New Roman"/>
          <w:b/>
          <w:bCs/>
          <w:kern w:val="0"/>
          <w:sz w:val="22"/>
          <w:szCs w:val="22"/>
          <w:lang w:eastAsia="en-GB"/>
          <w14:ligatures w14:val="none"/>
        </w:rPr>
        <w:tab/>
      </w:r>
      <w:r>
        <w:rPr>
          <w:rFonts w:ascii="Aptos" w:eastAsia="Times New Roman" w:hAnsi="Aptos" w:cs="Times New Roman"/>
          <w:b/>
          <w:bCs/>
          <w:kern w:val="0"/>
          <w:sz w:val="22"/>
          <w:szCs w:val="22"/>
          <w:lang w:eastAsia="en-GB"/>
          <w14:ligatures w14:val="none"/>
        </w:rPr>
        <w:tab/>
      </w:r>
      <w:r>
        <w:rPr>
          <w:rFonts w:ascii="Aptos" w:eastAsia="Times New Roman" w:hAnsi="Aptos" w:cs="Times New Roman"/>
          <w:b/>
          <w:bCs/>
          <w:kern w:val="0"/>
          <w:sz w:val="22"/>
          <w:szCs w:val="22"/>
          <w:lang w:eastAsia="en-GB"/>
          <w14:ligatures w14:val="none"/>
        </w:rPr>
        <w:tab/>
      </w:r>
      <w:r>
        <w:rPr>
          <w:rFonts w:ascii="Aptos" w:eastAsia="Times New Roman" w:hAnsi="Aptos" w:cs="Times New Roman"/>
          <w:b/>
          <w:bCs/>
          <w:kern w:val="0"/>
          <w:sz w:val="22"/>
          <w:szCs w:val="22"/>
          <w:lang w:eastAsia="en-GB"/>
          <w14:ligatures w14:val="none"/>
        </w:rPr>
        <w:tab/>
      </w:r>
      <w:r w:rsidRPr="00D03DE3">
        <w:rPr>
          <w:rFonts w:ascii="Aptos" w:eastAsia="Times New Roman" w:hAnsi="Aptos" w:cs="Times New Roman"/>
          <w:kern w:val="0"/>
          <w:sz w:val="22"/>
          <w:szCs w:val="22"/>
          <w:lang w:eastAsia="en-GB"/>
          <w14:ligatures w14:val="none"/>
        </w:rPr>
        <w:t xml:space="preserve">Katowice, </w:t>
      </w:r>
      <w:r w:rsidR="00762917">
        <w:rPr>
          <w:rFonts w:ascii="Aptos" w:eastAsia="Times New Roman" w:hAnsi="Aptos" w:cs="Times New Roman"/>
          <w:kern w:val="0"/>
          <w:sz w:val="22"/>
          <w:szCs w:val="22"/>
          <w:lang w:eastAsia="en-GB"/>
          <w14:ligatures w14:val="none"/>
        </w:rPr>
        <w:t>30</w:t>
      </w:r>
      <w:r w:rsidRPr="00D03DE3">
        <w:rPr>
          <w:rFonts w:ascii="Aptos" w:eastAsia="Times New Roman" w:hAnsi="Aptos" w:cs="Times New Roman"/>
          <w:kern w:val="0"/>
          <w:sz w:val="22"/>
          <w:szCs w:val="22"/>
          <w:lang w:eastAsia="en-GB"/>
          <w14:ligatures w14:val="none"/>
        </w:rPr>
        <w:t>.10.2025</w:t>
      </w:r>
    </w:p>
    <w:p w14:paraId="0FCBB139" w14:textId="79E6B3A4" w:rsidR="00D00E8D" w:rsidRPr="00D03DE3" w:rsidRDefault="5AB64F5B" w:rsidP="7B8AC0F9">
      <w:pPr>
        <w:spacing w:beforeAutospacing="1" w:afterAutospacing="1" w:line="240" w:lineRule="auto"/>
        <w:jc w:val="both"/>
        <w:rPr>
          <w:rFonts w:ascii="Aptos" w:eastAsia="Times New Roman" w:hAnsi="Aptos" w:cs="Times New Roman"/>
          <w:b/>
          <w:bCs/>
          <w:sz w:val="32"/>
          <w:szCs w:val="32"/>
          <w:lang w:eastAsia="en-GB"/>
        </w:rPr>
      </w:pPr>
      <w:r w:rsidRPr="00D03DE3">
        <w:rPr>
          <w:rFonts w:ascii="Aptos" w:eastAsia="Times New Roman" w:hAnsi="Aptos" w:cs="Times New Roman"/>
          <w:b/>
          <w:bCs/>
          <w:sz w:val="32"/>
          <w:szCs w:val="32"/>
          <w:lang w:eastAsia="en-GB"/>
        </w:rPr>
        <w:t>Coraz więcej Polaków wybiera mieszkania wykończone pod klucz.</w:t>
      </w:r>
      <w:r w:rsidR="00327D25">
        <w:rPr>
          <w:rFonts w:ascii="Aptos" w:eastAsia="Times New Roman" w:hAnsi="Aptos" w:cs="Times New Roman"/>
          <w:b/>
          <w:bCs/>
          <w:sz w:val="32"/>
          <w:szCs w:val="32"/>
          <w:lang w:eastAsia="en-GB"/>
        </w:rPr>
        <w:t xml:space="preserve"> </w:t>
      </w:r>
      <w:r w:rsidRPr="00D03DE3">
        <w:rPr>
          <w:rFonts w:ascii="Aptos" w:eastAsia="Times New Roman" w:hAnsi="Aptos" w:cs="Times New Roman"/>
          <w:b/>
          <w:bCs/>
          <w:sz w:val="32"/>
          <w:szCs w:val="32"/>
          <w:lang w:eastAsia="en-GB"/>
        </w:rPr>
        <w:t>Deweloperzy odpowiadają ofertą gotowych lokali premium</w:t>
      </w:r>
    </w:p>
    <w:p w14:paraId="34333AC3" w14:textId="6FDF7309" w:rsidR="77EED510" w:rsidRPr="00465AAC" w:rsidRDefault="7BD0D06F" w:rsidP="7B8AC0F9">
      <w:pPr>
        <w:spacing w:before="240" w:after="240" w:line="240" w:lineRule="auto"/>
        <w:jc w:val="both"/>
        <w:rPr>
          <w:rFonts w:ascii="Aptos" w:eastAsia="Aptos" w:hAnsi="Aptos" w:cs="Aptos"/>
          <w:b/>
          <w:bCs/>
          <w:sz w:val="22"/>
          <w:szCs w:val="22"/>
        </w:rPr>
      </w:pPr>
      <w:r w:rsidRPr="7B8AC0F9">
        <w:rPr>
          <w:rFonts w:ascii="Aptos" w:eastAsia="Aptos" w:hAnsi="Aptos" w:cs="Aptos"/>
          <w:b/>
          <w:bCs/>
          <w:sz w:val="22"/>
          <w:szCs w:val="22"/>
        </w:rPr>
        <w:t>Jak pokazuje analiza portalu TabelaOfert</w:t>
      </w:r>
      <w:r w:rsidR="00C807B5">
        <w:rPr>
          <w:rFonts w:ascii="Aptos" w:eastAsia="Aptos" w:hAnsi="Aptos" w:cs="Aptos"/>
          <w:b/>
          <w:bCs/>
          <w:sz w:val="22"/>
          <w:szCs w:val="22"/>
        </w:rPr>
        <w:t>.pl</w:t>
      </w:r>
      <w:r w:rsidRPr="7B8AC0F9">
        <w:rPr>
          <w:rFonts w:ascii="Aptos" w:eastAsia="Aptos" w:hAnsi="Aptos" w:cs="Aptos"/>
          <w:b/>
          <w:bCs/>
          <w:sz w:val="22"/>
          <w:szCs w:val="22"/>
        </w:rPr>
        <w:t xml:space="preserve">, udział lokali </w:t>
      </w:r>
      <w:r w:rsidR="00351EDB">
        <w:rPr>
          <w:rFonts w:ascii="Aptos" w:eastAsia="Aptos" w:hAnsi="Aptos" w:cs="Aptos"/>
          <w:b/>
          <w:bCs/>
          <w:sz w:val="22"/>
          <w:szCs w:val="22"/>
        </w:rPr>
        <w:t xml:space="preserve">gotowych do wprowadzenia się </w:t>
      </w:r>
      <w:r w:rsidRPr="7B8AC0F9">
        <w:rPr>
          <w:rFonts w:ascii="Aptos" w:eastAsia="Aptos" w:hAnsi="Aptos" w:cs="Aptos"/>
          <w:b/>
          <w:bCs/>
          <w:sz w:val="22"/>
          <w:szCs w:val="22"/>
        </w:rPr>
        <w:t xml:space="preserve">w ofertach deweloperów systematycznie rośnie – szczególnie w największych aglomeracjach. Z raportu Otodom i ThinkCo „Kierunek: mieszkanie 2030” wynika, że aż 65 proc. nabywców w </w:t>
      </w:r>
      <w:r w:rsidRPr="00465AAC">
        <w:rPr>
          <w:rFonts w:ascii="Aptos" w:eastAsia="Aptos" w:hAnsi="Aptos" w:cs="Aptos"/>
          <w:b/>
          <w:bCs/>
          <w:sz w:val="22"/>
          <w:szCs w:val="22"/>
        </w:rPr>
        <w:t>dużych miastach rozważa zakup lokalu wykończonego pod klucz, a dla 41 proc. jest to jedno z kluczowych kryteriów wyboru. Wzrost popularności gotowych mieszkań napędzają m.in. trudności ze znalezieniem ekip remontowych i coraz szybsze tempo życia w dużych miastach.</w:t>
      </w:r>
    </w:p>
    <w:p w14:paraId="11BC69DE" w14:textId="77777777" w:rsidR="00465AAC" w:rsidRPr="00465AAC" w:rsidRDefault="00465AAC" w:rsidP="00465AAC">
      <w:pPr>
        <w:spacing w:before="100" w:beforeAutospacing="1" w:after="100" w:afterAutospacing="1" w:line="240" w:lineRule="auto"/>
        <w:jc w:val="both"/>
        <w:rPr>
          <w:rFonts w:ascii="Aptos" w:eastAsia="Times New Roman" w:hAnsi="Aptos" w:cs="Times New Roman"/>
          <w:kern w:val="0"/>
          <w:sz w:val="22"/>
          <w:szCs w:val="22"/>
          <w:lang w:eastAsia="en-GB"/>
          <w14:ligatures w14:val="none"/>
        </w:rPr>
      </w:pPr>
      <w:r w:rsidRPr="00465AAC">
        <w:rPr>
          <w:rFonts w:ascii="Aptos" w:eastAsia="Times New Roman" w:hAnsi="Aptos" w:cs="Times New Roman"/>
          <w:b/>
          <w:bCs/>
          <w:kern w:val="0"/>
          <w:sz w:val="22"/>
          <w:szCs w:val="22"/>
          <w:lang w:eastAsia="en-GB"/>
          <w14:ligatures w14:val="none"/>
        </w:rPr>
        <w:t>Wzrost zainteresowania w dużych miastach</w:t>
      </w:r>
    </w:p>
    <w:p w14:paraId="0436303C" w14:textId="17A0EC8E" w:rsidR="00465AAC" w:rsidRPr="00465AAC" w:rsidRDefault="00465AAC" w:rsidP="00465AAC">
      <w:pPr>
        <w:spacing w:before="100" w:beforeAutospacing="1" w:after="100" w:afterAutospacing="1" w:line="240" w:lineRule="auto"/>
        <w:jc w:val="both"/>
        <w:rPr>
          <w:rFonts w:ascii="Aptos" w:eastAsia="Times New Roman" w:hAnsi="Aptos" w:cs="Times New Roman"/>
          <w:sz w:val="22"/>
          <w:szCs w:val="22"/>
          <w:lang w:eastAsia="en-GB"/>
        </w:rPr>
      </w:pPr>
      <w:r w:rsidRPr="00465AAC">
        <w:rPr>
          <w:rFonts w:ascii="Aptos" w:eastAsia="Times New Roman" w:hAnsi="Aptos" w:cs="Times New Roman"/>
          <w:sz w:val="22"/>
          <w:szCs w:val="22"/>
          <w:lang w:eastAsia="en-GB"/>
        </w:rPr>
        <w:t>Jak wynika z danych</w:t>
      </w:r>
      <w:r w:rsidR="00C807B5">
        <w:rPr>
          <w:rFonts w:ascii="Aptos" w:eastAsia="Times New Roman" w:hAnsi="Aptos" w:cs="Times New Roman"/>
          <w:sz w:val="22"/>
          <w:szCs w:val="22"/>
          <w:lang w:eastAsia="en-GB"/>
        </w:rPr>
        <w:t xml:space="preserve"> portalu</w:t>
      </w:r>
      <w:r w:rsidRPr="00465AAC">
        <w:rPr>
          <w:rFonts w:ascii="Aptos" w:eastAsia="Times New Roman" w:hAnsi="Aptos" w:cs="Times New Roman"/>
          <w:sz w:val="22"/>
          <w:szCs w:val="22"/>
          <w:lang w:eastAsia="en-GB"/>
        </w:rPr>
        <w:t xml:space="preserve"> TabelaOfert</w:t>
      </w:r>
      <w:r w:rsidR="00C807B5">
        <w:rPr>
          <w:rFonts w:ascii="Aptos" w:eastAsia="Times New Roman" w:hAnsi="Aptos" w:cs="Times New Roman"/>
          <w:sz w:val="22"/>
          <w:szCs w:val="22"/>
          <w:lang w:eastAsia="en-GB"/>
        </w:rPr>
        <w:t>.pl</w:t>
      </w:r>
      <w:r w:rsidRPr="00465AAC">
        <w:rPr>
          <w:rFonts w:ascii="Aptos" w:eastAsia="Times New Roman" w:hAnsi="Aptos" w:cs="Times New Roman"/>
          <w:sz w:val="22"/>
          <w:szCs w:val="22"/>
          <w:lang w:eastAsia="en-GB"/>
        </w:rPr>
        <w:t>, choć większość ofert na rynku pierwotnym wciąż stanowią lokale w stanie deweloperskim, udział mieszkań wykończonych stale rośnie. Największe zmiany widać w aglomeracjach – Warszawie, Krakowie i na Górnym Śląsku. Wydłużone terminy realizacji oraz trudności ze znalezieniem sprawdzonych ekip remontowych to tylko niektóre czynniki sprzyjające popularyzacji gotowych rozwiązań.</w:t>
      </w:r>
    </w:p>
    <w:p w14:paraId="2DE52552" w14:textId="70951A1D" w:rsidR="00465AAC" w:rsidRPr="00465AAC" w:rsidRDefault="00465AAC" w:rsidP="00465AAC">
      <w:pPr>
        <w:spacing w:before="100" w:beforeAutospacing="1" w:after="100" w:afterAutospacing="1" w:line="240" w:lineRule="auto"/>
        <w:jc w:val="both"/>
        <w:rPr>
          <w:rFonts w:ascii="Aptos" w:eastAsia="Times New Roman" w:hAnsi="Aptos" w:cs="Times New Roman"/>
          <w:sz w:val="22"/>
          <w:szCs w:val="22"/>
          <w:lang w:eastAsia="en-GB"/>
        </w:rPr>
      </w:pPr>
      <w:r w:rsidRPr="00465AAC">
        <w:rPr>
          <w:rFonts w:ascii="Aptos" w:eastAsia="Times New Roman" w:hAnsi="Aptos" w:cs="Times New Roman"/>
          <w:i/>
          <w:iCs/>
          <w:sz w:val="22"/>
          <w:szCs w:val="22"/>
          <w:lang w:eastAsia="en-GB"/>
        </w:rPr>
        <w:t>–</w:t>
      </w:r>
      <w:r w:rsidRPr="00465AAC">
        <w:rPr>
          <w:rFonts w:ascii="Calibri" w:eastAsia="Calibri" w:hAnsi="Calibri" w:cs="Calibri"/>
          <w:i/>
          <w:iCs/>
          <w:color w:val="000000" w:themeColor="text1"/>
          <w:sz w:val="22"/>
          <w:szCs w:val="22"/>
        </w:rPr>
        <w:t xml:space="preserve"> Coraz więcej klientów, zwłaszcza w dużych miastach, poszukuje rozwiązań wygodnych i bezproblemowych – chcą wprowadzić się od razu po odbiorze kluczy, bez konieczności organizowania prac wykończeniowych, które są czasochłonne i kosztowne. Deweloperzy testują różne modele – od kompleksowych pakietów wykończeniowych po gotowe mieszkania w pełni urządzone, które mają przyciągnąć kupujących oczekujących „produktu końcowego”. W perspektywie kilku najbliższych lat można spodziewać się, że udział mieszkań „pod klucz” będzie powoli rósł, szczególnie w projektach kierowanych do osób młodszych, zapracowanych lub inwestorów szukających gotowego produktu inwestycyjnego, który od razu można wynająć</w:t>
      </w:r>
      <w:r w:rsidRPr="00465AAC">
        <w:rPr>
          <w:rFonts w:ascii="Aptos" w:eastAsia="Times New Roman" w:hAnsi="Aptos" w:cs="Times New Roman"/>
          <w:sz w:val="22"/>
          <w:szCs w:val="22"/>
          <w:lang w:eastAsia="en-GB"/>
        </w:rPr>
        <w:t xml:space="preserve"> – mówi </w:t>
      </w:r>
      <w:r w:rsidRPr="00465AAC">
        <w:rPr>
          <w:rFonts w:ascii="Aptos" w:eastAsia="Times New Roman" w:hAnsi="Aptos" w:cs="Times New Roman"/>
          <w:b/>
          <w:bCs/>
          <w:sz w:val="22"/>
          <w:szCs w:val="22"/>
          <w:lang w:eastAsia="en-GB"/>
        </w:rPr>
        <w:t>Ewa Pa</w:t>
      </w:r>
      <w:r w:rsidR="00C807B5">
        <w:rPr>
          <w:rFonts w:ascii="Aptos" w:eastAsia="Times New Roman" w:hAnsi="Aptos" w:cs="Times New Roman"/>
          <w:b/>
          <w:bCs/>
          <w:sz w:val="22"/>
          <w:szCs w:val="22"/>
          <w:lang w:eastAsia="en-GB"/>
        </w:rPr>
        <w:t>l</w:t>
      </w:r>
      <w:r w:rsidRPr="00465AAC">
        <w:rPr>
          <w:rFonts w:ascii="Aptos" w:eastAsia="Times New Roman" w:hAnsi="Aptos" w:cs="Times New Roman"/>
          <w:b/>
          <w:bCs/>
          <w:sz w:val="22"/>
          <w:szCs w:val="22"/>
          <w:lang w:eastAsia="en-GB"/>
        </w:rPr>
        <w:t>us z TabelaOfert.pl</w:t>
      </w:r>
      <w:r w:rsidRPr="00465AAC">
        <w:rPr>
          <w:rFonts w:ascii="Aptos" w:eastAsia="Times New Roman" w:hAnsi="Aptos" w:cs="Times New Roman"/>
          <w:sz w:val="22"/>
          <w:szCs w:val="22"/>
          <w:lang w:eastAsia="en-GB"/>
        </w:rPr>
        <w:t>.</w:t>
      </w:r>
    </w:p>
    <w:p w14:paraId="0386A21E" w14:textId="77777777" w:rsidR="00D03DE3" w:rsidRPr="00465AAC" w:rsidRDefault="7E9FD13E" w:rsidP="7B8AC0F9">
      <w:pPr>
        <w:spacing w:before="100" w:beforeAutospacing="1" w:after="100" w:afterAutospacing="1" w:line="240" w:lineRule="auto"/>
        <w:jc w:val="both"/>
        <w:rPr>
          <w:rFonts w:ascii="Aptos" w:eastAsia="Times New Roman" w:hAnsi="Aptos" w:cs="Times New Roman"/>
          <w:b/>
          <w:bCs/>
          <w:sz w:val="22"/>
          <w:szCs w:val="22"/>
          <w:lang w:eastAsia="en-GB"/>
        </w:rPr>
      </w:pPr>
      <w:r w:rsidRPr="00465AAC">
        <w:rPr>
          <w:rFonts w:ascii="Aptos" w:eastAsia="Times New Roman" w:hAnsi="Aptos" w:cs="Times New Roman"/>
          <w:b/>
          <w:bCs/>
          <w:sz w:val="22"/>
          <w:szCs w:val="22"/>
          <w:lang w:eastAsia="en-GB"/>
        </w:rPr>
        <w:t>Typowy stand</w:t>
      </w:r>
      <w:r w:rsidR="6CBB0030" w:rsidRPr="00465AAC">
        <w:rPr>
          <w:rFonts w:ascii="Aptos" w:eastAsia="Times New Roman" w:hAnsi="Aptos" w:cs="Times New Roman"/>
          <w:b/>
          <w:bCs/>
          <w:sz w:val="22"/>
          <w:szCs w:val="22"/>
          <w:lang w:eastAsia="en-GB"/>
        </w:rPr>
        <w:t>ard</w:t>
      </w:r>
      <w:r w:rsidRPr="00465AAC">
        <w:rPr>
          <w:rFonts w:ascii="Aptos" w:eastAsia="Times New Roman" w:hAnsi="Aptos" w:cs="Times New Roman"/>
          <w:b/>
          <w:bCs/>
          <w:sz w:val="22"/>
          <w:szCs w:val="22"/>
          <w:lang w:eastAsia="en-GB"/>
        </w:rPr>
        <w:t xml:space="preserve"> pod klucz czy projekt premium</w:t>
      </w:r>
    </w:p>
    <w:p w14:paraId="1ACCA5FF" w14:textId="467028F0" w:rsidR="00D00E8D" w:rsidRPr="00FF2B09" w:rsidRDefault="7E9FD13E" w:rsidP="7B8AC0F9">
      <w:pPr>
        <w:spacing w:before="100" w:beforeAutospacing="1" w:after="100" w:afterAutospacing="1" w:line="240" w:lineRule="auto"/>
        <w:jc w:val="both"/>
        <w:rPr>
          <w:rFonts w:ascii="Aptos" w:eastAsia="Aptos" w:hAnsi="Aptos" w:cs="Aptos"/>
          <w:sz w:val="22"/>
          <w:szCs w:val="22"/>
        </w:rPr>
      </w:pPr>
      <w:r w:rsidRPr="00465AAC">
        <w:rPr>
          <w:rFonts w:ascii="Aptos" w:eastAsia="Aptos" w:hAnsi="Aptos" w:cs="Aptos"/>
          <w:sz w:val="22"/>
          <w:szCs w:val="22"/>
        </w:rPr>
        <w:t>Standard wykończenia pod klucz obejmuje zwykle wszystkie prace niezbędne do zamieszkania: ułożenie podłóg, malowanie ścian, montaż drzwi wewnętrznych, zabudowę</w:t>
      </w:r>
      <w:r w:rsidRPr="00FF2B09">
        <w:rPr>
          <w:rFonts w:ascii="Aptos" w:eastAsia="Aptos" w:hAnsi="Aptos" w:cs="Aptos"/>
          <w:sz w:val="22"/>
          <w:szCs w:val="22"/>
        </w:rPr>
        <w:t xml:space="preserve"> kuchni i łazienki, biały montaż oraz oświetlenie. Nie </w:t>
      </w:r>
      <w:r w:rsidR="00575F2D" w:rsidRPr="00FF2B09">
        <w:rPr>
          <w:rFonts w:ascii="Aptos" w:eastAsia="Aptos" w:hAnsi="Aptos" w:cs="Aptos"/>
          <w:sz w:val="22"/>
          <w:szCs w:val="22"/>
        </w:rPr>
        <w:t>uwzględnia</w:t>
      </w:r>
      <w:r w:rsidRPr="00FF2B09">
        <w:rPr>
          <w:rFonts w:ascii="Aptos" w:eastAsia="Aptos" w:hAnsi="Aptos" w:cs="Aptos"/>
          <w:sz w:val="22"/>
          <w:szCs w:val="22"/>
        </w:rPr>
        <w:t xml:space="preserve"> natomiast mebli ruchomych ani dodatków. Coraz częściej jednak deweloperzy proponują klientom rozwiązania bardziej kompleksowe – mieszkania w pełni urządzone, wyposażone i udekorowane</w:t>
      </w:r>
      <w:r w:rsidR="00575F2D" w:rsidRPr="00FF2B09">
        <w:rPr>
          <w:rFonts w:ascii="Aptos" w:eastAsia="Aptos" w:hAnsi="Aptos" w:cs="Aptos"/>
          <w:sz w:val="22"/>
          <w:szCs w:val="22"/>
        </w:rPr>
        <w:t>.</w:t>
      </w:r>
    </w:p>
    <w:p w14:paraId="6F6D6388" w14:textId="70DDE95F" w:rsidR="009D3FA5" w:rsidRPr="00FF2B09" w:rsidRDefault="00B15D45" w:rsidP="00B15D45">
      <w:pPr>
        <w:spacing w:before="100" w:beforeAutospacing="1" w:after="100" w:afterAutospacing="1" w:line="240" w:lineRule="auto"/>
        <w:jc w:val="both"/>
        <w:rPr>
          <w:rFonts w:ascii="Aptos" w:eastAsia="Times New Roman" w:hAnsi="Aptos" w:cs="Times New Roman"/>
          <w:sz w:val="22"/>
          <w:szCs w:val="22"/>
          <w:lang w:eastAsia="en-GB"/>
        </w:rPr>
      </w:pPr>
      <w:r w:rsidRPr="00FF2B09">
        <w:rPr>
          <w:rFonts w:ascii="Aptos" w:eastAsia="Times New Roman" w:hAnsi="Aptos" w:cs="Times New Roman"/>
          <w:sz w:val="22"/>
          <w:szCs w:val="22"/>
          <w:lang w:eastAsia="en-GB"/>
        </w:rPr>
        <w:t>Jednym z przykładów rosnącego znaczenia projektowania wnętrz w inwestycjach deweloperskich jest Pierwsza Dzielnica w Katowicach.</w:t>
      </w:r>
      <w:r w:rsidR="00D0205D" w:rsidRPr="00FF2B09">
        <w:rPr>
          <w:rFonts w:ascii="Aptos" w:eastAsia="Times New Roman" w:hAnsi="Aptos" w:cs="Times New Roman"/>
          <w:sz w:val="22"/>
          <w:szCs w:val="22"/>
          <w:lang w:eastAsia="en-GB"/>
        </w:rPr>
        <w:t xml:space="preserve"> W</w:t>
      </w:r>
      <w:r w:rsidR="00C612C4" w:rsidRPr="00FF2B09">
        <w:rPr>
          <w:rFonts w:ascii="Aptos" w:eastAsia="Times New Roman" w:hAnsi="Aptos" w:cs="Times New Roman"/>
          <w:sz w:val="22"/>
          <w:szCs w:val="22"/>
          <w:lang w:eastAsia="en-GB"/>
        </w:rPr>
        <w:t xml:space="preserve"> jej</w:t>
      </w:r>
      <w:r w:rsidR="00D0205D" w:rsidRPr="00FF2B09">
        <w:rPr>
          <w:rFonts w:ascii="Aptos" w:eastAsia="Times New Roman" w:hAnsi="Aptos" w:cs="Times New Roman"/>
          <w:sz w:val="22"/>
          <w:szCs w:val="22"/>
          <w:lang w:eastAsia="en-GB"/>
        </w:rPr>
        <w:t xml:space="preserve"> ramach</w:t>
      </w:r>
      <w:r w:rsidRPr="00FF2B09">
        <w:rPr>
          <w:rFonts w:ascii="Aptos" w:eastAsia="Times New Roman" w:hAnsi="Aptos" w:cs="Times New Roman"/>
          <w:sz w:val="22"/>
          <w:szCs w:val="22"/>
          <w:lang w:eastAsia="en-GB"/>
        </w:rPr>
        <w:t xml:space="preserve"> TDJ Estate współpracuje z renomowaną pracownią Cechownia nad dwoma mieszkaniami pokazowymi, które mają prezentować różne interpretacje miejskiego stylu życia i pokazać, jak dopracowana aranżacja wpływa na odbiór przestrzeni.</w:t>
      </w:r>
    </w:p>
    <w:p w14:paraId="22ADDB46" w14:textId="26CC6449" w:rsidR="00B15D45" w:rsidRPr="00FF2B09" w:rsidRDefault="00B15D45" w:rsidP="00B15D45">
      <w:pPr>
        <w:spacing w:before="100" w:beforeAutospacing="1" w:after="100" w:afterAutospacing="1" w:line="240" w:lineRule="auto"/>
        <w:jc w:val="both"/>
        <w:rPr>
          <w:rFonts w:ascii="Aptos" w:eastAsia="Times New Roman" w:hAnsi="Aptos" w:cs="Times New Roman"/>
          <w:sz w:val="22"/>
          <w:szCs w:val="22"/>
          <w:lang w:eastAsia="en-GB"/>
        </w:rPr>
      </w:pPr>
      <w:r w:rsidRPr="00FF2B09">
        <w:rPr>
          <w:rFonts w:ascii="Aptos" w:eastAsia="Times New Roman" w:hAnsi="Aptos" w:cs="Times New Roman"/>
          <w:sz w:val="22"/>
          <w:szCs w:val="22"/>
          <w:lang w:eastAsia="en-GB"/>
        </w:rPr>
        <w:lastRenderedPageBreak/>
        <w:t xml:space="preserve">To nie pierwsza tego typu inicjatywa realizowana w Pierwszej Dzielnicy. </w:t>
      </w:r>
      <w:r w:rsidR="00125466" w:rsidRPr="00FF2B09">
        <w:rPr>
          <w:rFonts w:ascii="Aptos" w:eastAsia="Times New Roman" w:hAnsi="Aptos" w:cs="Times New Roman"/>
          <w:sz w:val="22"/>
          <w:szCs w:val="22"/>
          <w:lang w:eastAsia="en-GB"/>
        </w:rPr>
        <w:t>D</w:t>
      </w:r>
      <w:r w:rsidRPr="00FF2B09">
        <w:rPr>
          <w:rFonts w:ascii="Aptos" w:eastAsia="Times New Roman" w:hAnsi="Aptos" w:cs="Times New Roman"/>
          <w:sz w:val="22"/>
          <w:szCs w:val="22"/>
          <w:lang w:eastAsia="en-GB"/>
        </w:rPr>
        <w:t>eweloper współpracował</w:t>
      </w:r>
      <w:r w:rsidR="00125466" w:rsidRPr="00FF2B09">
        <w:rPr>
          <w:rFonts w:ascii="Aptos" w:eastAsia="Times New Roman" w:hAnsi="Aptos" w:cs="Times New Roman"/>
          <w:sz w:val="22"/>
          <w:szCs w:val="22"/>
          <w:lang w:eastAsia="en-GB"/>
        </w:rPr>
        <w:t xml:space="preserve"> wcześniej również</w:t>
      </w:r>
      <w:r w:rsidRPr="00FF2B09">
        <w:rPr>
          <w:rFonts w:ascii="Aptos" w:eastAsia="Times New Roman" w:hAnsi="Aptos" w:cs="Times New Roman"/>
          <w:sz w:val="22"/>
          <w:szCs w:val="22"/>
          <w:lang w:eastAsia="en-GB"/>
        </w:rPr>
        <w:t xml:space="preserve"> z uznanymi biurami projektowymi</w:t>
      </w:r>
      <w:r w:rsidR="00444515" w:rsidRPr="00FF2B09">
        <w:rPr>
          <w:rFonts w:ascii="Aptos" w:eastAsia="Times New Roman" w:hAnsi="Aptos" w:cs="Times New Roman"/>
          <w:sz w:val="22"/>
          <w:szCs w:val="22"/>
          <w:lang w:eastAsia="en-GB"/>
        </w:rPr>
        <w:t xml:space="preserve"> –</w:t>
      </w:r>
      <w:r w:rsidR="009A60B3" w:rsidRPr="00FF2B09">
        <w:rPr>
          <w:rFonts w:ascii="Aptos" w:eastAsia="Times New Roman" w:hAnsi="Aptos" w:cs="Times New Roman"/>
          <w:sz w:val="22"/>
          <w:szCs w:val="22"/>
          <w:lang w:eastAsia="en-GB"/>
        </w:rPr>
        <w:t xml:space="preserve"> m.in.</w:t>
      </w:r>
      <w:r w:rsidR="00444515" w:rsidRPr="00FF2B09">
        <w:rPr>
          <w:rFonts w:ascii="Aptos" w:eastAsia="Times New Roman" w:hAnsi="Aptos" w:cs="Times New Roman"/>
          <w:sz w:val="22"/>
          <w:szCs w:val="22"/>
          <w:lang w:eastAsia="en-GB"/>
        </w:rPr>
        <w:t xml:space="preserve"> </w:t>
      </w:r>
      <w:r w:rsidRPr="00FF2B09">
        <w:rPr>
          <w:rFonts w:ascii="Aptos" w:eastAsia="Aptos" w:hAnsi="Aptos" w:cs="Aptos"/>
          <w:sz w:val="22"/>
          <w:szCs w:val="22"/>
        </w:rPr>
        <w:t xml:space="preserve">TTAT, Musk Kolektyw </w:t>
      </w:r>
      <w:r w:rsidR="009A60B3" w:rsidRPr="00FF2B09">
        <w:rPr>
          <w:rFonts w:ascii="Aptos" w:eastAsia="Aptos" w:hAnsi="Aptos" w:cs="Aptos"/>
          <w:sz w:val="22"/>
          <w:szCs w:val="22"/>
        </w:rPr>
        <w:t>i</w:t>
      </w:r>
      <w:r w:rsidRPr="00FF2B09">
        <w:rPr>
          <w:rFonts w:ascii="Aptos" w:eastAsia="Aptos" w:hAnsi="Aptos" w:cs="Aptos"/>
          <w:sz w:val="22"/>
          <w:szCs w:val="22"/>
        </w:rPr>
        <w:t xml:space="preserve"> MONOstudio</w:t>
      </w:r>
      <w:r w:rsidR="00444515" w:rsidRPr="00FF2B09">
        <w:rPr>
          <w:rFonts w:ascii="Aptos" w:eastAsia="Aptos" w:hAnsi="Aptos" w:cs="Aptos"/>
          <w:sz w:val="22"/>
          <w:szCs w:val="22"/>
        </w:rPr>
        <w:t xml:space="preserve"> – </w:t>
      </w:r>
      <w:r w:rsidRPr="00FF2B09">
        <w:rPr>
          <w:rFonts w:ascii="Aptos" w:eastAsia="Times New Roman" w:hAnsi="Aptos" w:cs="Times New Roman"/>
          <w:sz w:val="22"/>
          <w:szCs w:val="22"/>
          <w:lang w:eastAsia="en-GB"/>
        </w:rPr>
        <w:t xml:space="preserve">przy tworzeniu mieszkań pokazowych, które spotkały się z dużym zainteresowaniem </w:t>
      </w:r>
      <w:r w:rsidR="00125466" w:rsidRPr="00FF2B09">
        <w:rPr>
          <w:rFonts w:ascii="Aptos" w:eastAsia="Times New Roman" w:hAnsi="Aptos" w:cs="Times New Roman"/>
          <w:sz w:val="22"/>
          <w:szCs w:val="22"/>
          <w:lang w:eastAsia="en-GB"/>
        </w:rPr>
        <w:t>potencjalnych nabywców.</w:t>
      </w:r>
    </w:p>
    <w:p w14:paraId="14ED8BD2" w14:textId="06B8D74F" w:rsidR="00D00E8D" w:rsidRPr="00FF2B09" w:rsidRDefault="00B15D45" w:rsidP="00444515">
      <w:pPr>
        <w:spacing w:before="100" w:beforeAutospacing="1" w:after="100" w:afterAutospacing="1" w:line="240" w:lineRule="auto"/>
        <w:jc w:val="both"/>
        <w:rPr>
          <w:rFonts w:ascii="Aptos" w:eastAsia="Times New Roman" w:hAnsi="Aptos" w:cs="Times New Roman"/>
          <w:i/>
          <w:iCs/>
          <w:sz w:val="22"/>
          <w:szCs w:val="22"/>
          <w:lang w:eastAsia="en-GB"/>
        </w:rPr>
      </w:pPr>
      <w:r w:rsidRPr="00FF2B09">
        <w:rPr>
          <w:rFonts w:ascii="Aptos" w:eastAsia="Times New Roman" w:hAnsi="Aptos" w:cs="Times New Roman"/>
          <w:sz w:val="22"/>
          <w:szCs w:val="22"/>
          <w:lang w:eastAsia="en-GB"/>
        </w:rPr>
        <w:t xml:space="preserve">– </w:t>
      </w:r>
      <w:r w:rsidRPr="00FF2B09">
        <w:rPr>
          <w:rFonts w:ascii="Aptos" w:eastAsia="Times New Roman" w:hAnsi="Aptos" w:cs="Times New Roman"/>
          <w:i/>
          <w:iCs/>
          <w:sz w:val="22"/>
          <w:szCs w:val="22"/>
          <w:lang w:eastAsia="en-GB"/>
        </w:rPr>
        <w:t>Projekt realizowany wspólnie z Cechownią to kontynuacja podejścia, w którym duży nacisk kładziemy na estetykę i dopasowanie wnętrz do charakteru inwestycji</w:t>
      </w:r>
      <w:r w:rsidRPr="00FF2B09">
        <w:rPr>
          <w:rFonts w:ascii="Aptos" w:eastAsia="Times New Roman" w:hAnsi="Aptos" w:cs="Times New Roman"/>
          <w:sz w:val="22"/>
          <w:szCs w:val="22"/>
          <w:lang w:eastAsia="en-GB"/>
        </w:rPr>
        <w:t xml:space="preserve"> – mówi </w:t>
      </w:r>
      <w:r w:rsidRPr="00FF2B09">
        <w:rPr>
          <w:rFonts w:ascii="Aptos" w:eastAsia="Times New Roman" w:hAnsi="Aptos" w:cs="Times New Roman"/>
          <w:b/>
          <w:bCs/>
          <w:sz w:val="22"/>
          <w:szCs w:val="22"/>
          <w:lang w:eastAsia="en-GB"/>
        </w:rPr>
        <w:t>Jakub Kwiecień, Manager ds. Sprzedaży w inwestycji Pierwsza Dzielnica</w:t>
      </w:r>
      <w:r w:rsidRPr="00FF2B09">
        <w:rPr>
          <w:rFonts w:ascii="Aptos" w:eastAsia="Times New Roman" w:hAnsi="Aptos" w:cs="Times New Roman"/>
          <w:sz w:val="22"/>
          <w:szCs w:val="22"/>
          <w:lang w:eastAsia="en-GB"/>
        </w:rPr>
        <w:t xml:space="preserve">. – </w:t>
      </w:r>
      <w:r w:rsidRPr="00FF2B09">
        <w:rPr>
          <w:rFonts w:ascii="Aptos" w:eastAsia="Times New Roman" w:hAnsi="Aptos" w:cs="Times New Roman"/>
          <w:i/>
          <w:iCs/>
          <w:sz w:val="22"/>
          <w:szCs w:val="22"/>
          <w:lang w:eastAsia="en-GB"/>
        </w:rPr>
        <w:t>Chcemy pokazać, że mieszkanie może być czymś więcej niż tylko dobrze zaprojektowaną przestrzenią użytkową. To przykład, jak wysoki standard, przemyślane materiały i dbałość o detal tworzą spójną całość, która wpisuje się w charakter inwestycji premium. Takie realizacje inspirują i pokazują, że jakość wykonania może iść w parze z ponadczasową estetyką.</w:t>
      </w:r>
    </w:p>
    <w:p w14:paraId="781DF7B2" w14:textId="77777777" w:rsidR="00265778" w:rsidRPr="00FF2B09" w:rsidRDefault="00354061" w:rsidP="00354061">
      <w:pPr>
        <w:spacing w:before="100" w:beforeAutospacing="1" w:after="100" w:afterAutospacing="1" w:line="240" w:lineRule="auto"/>
        <w:jc w:val="both"/>
        <w:rPr>
          <w:rFonts w:ascii="Aptos" w:eastAsia="Aptos" w:hAnsi="Aptos" w:cs="Aptos"/>
          <w:sz w:val="22"/>
          <w:szCs w:val="22"/>
        </w:rPr>
      </w:pPr>
      <w:r w:rsidRPr="00FF2B09">
        <w:rPr>
          <w:rFonts w:ascii="Aptos" w:eastAsia="Aptos" w:hAnsi="Aptos" w:cs="Aptos"/>
          <w:sz w:val="22"/>
          <w:szCs w:val="22"/>
        </w:rPr>
        <w:t>Koncepcja mieszkań pokazowych coraz częściej łączy się z rosnącym zainteresowaniem kompleksową obsługą procesu wykończenia. Coraz więcej deweloperów wprowadza rozwiązania w modelu „one stop shop”, które umożliwiają nabywcom płynne przejście od zakupu lokalu do jego urządzenia, bez konieczności samodzielnego koordynowania ekip czy dostaw materiałów.</w:t>
      </w:r>
    </w:p>
    <w:p w14:paraId="25975677" w14:textId="114AF2BB" w:rsidR="0091104D" w:rsidRPr="00FF2B09" w:rsidRDefault="00354061" w:rsidP="00354061">
      <w:pPr>
        <w:spacing w:before="100" w:beforeAutospacing="1" w:after="100" w:afterAutospacing="1" w:line="240" w:lineRule="auto"/>
        <w:jc w:val="both"/>
        <w:rPr>
          <w:rFonts w:ascii="Aptos" w:eastAsia="Aptos" w:hAnsi="Aptos" w:cs="Aptos"/>
          <w:i/>
          <w:iCs/>
          <w:sz w:val="22"/>
          <w:szCs w:val="22"/>
        </w:rPr>
      </w:pPr>
      <w:r w:rsidRPr="00FF2B09">
        <w:rPr>
          <w:rFonts w:ascii="Aptos" w:eastAsia="Aptos" w:hAnsi="Aptos" w:cs="Aptos"/>
          <w:sz w:val="22"/>
          <w:szCs w:val="22"/>
        </w:rPr>
        <w:t>To odpowiedź na potrzeby klientów poszukujących wygody i przewidywalności, ale też na realne trudności rynku – brak fachowców i wysokie koszty organizacji prac.</w:t>
      </w:r>
      <w:r w:rsidR="00265778" w:rsidRPr="00FF2B09">
        <w:rPr>
          <w:rFonts w:ascii="Aptos" w:eastAsia="Aptos" w:hAnsi="Aptos" w:cs="Aptos"/>
          <w:sz w:val="22"/>
          <w:szCs w:val="22"/>
        </w:rPr>
        <w:t xml:space="preserve"> </w:t>
      </w:r>
      <w:r w:rsidRPr="00FF2B09">
        <w:rPr>
          <w:rFonts w:ascii="Aptos" w:eastAsia="Aptos" w:hAnsi="Aptos" w:cs="Aptos"/>
          <w:sz w:val="22"/>
          <w:szCs w:val="22"/>
        </w:rPr>
        <w:t>W praktyce oznacza to, że kupujący mogą skorzystać z pomocy rekomendowanych pracowni projektowych i firm wykończeniowych, które przygotowują aranżacje dopasowane do konkretnej inwestycji. Dzięki temu możliwe jest zachowanie spójnego standardu i estetyki wnętrz, przy jednoczesnym zachowaniu elastyczności w wyborze rozwiązań.</w:t>
      </w:r>
    </w:p>
    <w:p w14:paraId="7DE87463" w14:textId="7E35CDA3" w:rsidR="00D00E8D" w:rsidRPr="00FF2B09" w:rsidRDefault="712E4CAA" w:rsidP="7B8AC0F9">
      <w:pPr>
        <w:spacing w:before="240" w:after="240" w:line="240" w:lineRule="auto"/>
        <w:jc w:val="both"/>
        <w:rPr>
          <w:rFonts w:ascii="Aptos" w:eastAsia="Aptos" w:hAnsi="Aptos" w:cs="Aptos"/>
          <w:b/>
          <w:bCs/>
          <w:sz w:val="22"/>
          <w:szCs w:val="22"/>
        </w:rPr>
      </w:pPr>
      <w:r w:rsidRPr="00FF2B09">
        <w:rPr>
          <w:rFonts w:ascii="Aptos" w:eastAsia="Aptos" w:hAnsi="Aptos" w:cs="Aptos"/>
          <w:b/>
          <w:bCs/>
          <w:sz w:val="22"/>
          <w:szCs w:val="22"/>
        </w:rPr>
        <w:t>Profesjonalny projekt coraz bardziej w cenie</w:t>
      </w:r>
    </w:p>
    <w:p w14:paraId="7CA212E8" w14:textId="740FE144" w:rsidR="00D00E8D" w:rsidRPr="00FF2B09" w:rsidRDefault="712E4CAA" w:rsidP="7B8AC0F9">
      <w:pPr>
        <w:spacing w:before="240" w:after="240" w:line="240" w:lineRule="auto"/>
        <w:jc w:val="both"/>
        <w:rPr>
          <w:rFonts w:ascii="Aptos" w:eastAsia="Aptos" w:hAnsi="Aptos" w:cs="Aptos"/>
          <w:sz w:val="22"/>
          <w:szCs w:val="22"/>
        </w:rPr>
      </w:pPr>
      <w:r w:rsidRPr="00FF2B09">
        <w:rPr>
          <w:rFonts w:ascii="Aptos" w:eastAsia="Aptos" w:hAnsi="Aptos" w:cs="Aptos"/>
          <w:sz w:val="22"/>
          <w:szCs w:val="22"/>
        </w:rPr>
        <w:t>Ro</w:t>
      </w:r>
      <w:r w:rsidR="002D553F" w:rsidRPr="00FF2B09">
        <w:rPr>
          <w:rFonts w:ascii="Aptos" w:eastAsia="Aptos" w:hAnsi="Aptos" w:cs="Aptos"/>
          <w:sz w:val="22"/>
          <w:szCs w:val="22"/>
        </w:rPr>
        <w:t>s</w:t>
      </w:r>
      <w:r w:rsidRPr="00FF2B09">
        <w:rPr>
          <w:rFonts w:ascii="Aptos" w:eastAsia="Aptos" w:hAnsi="Aptos" w:cs="Aptos"/>
          <w:sz w:val="22"/>
          <w:szCs w:val="22"/>
        </w:rPr>
        <w:t>nąca popularność mieszkań gotowych do zamieszkania wpływa także na sposób pracy architektów wnętrz. Deweloperzy coraz częściej angażują ich już na etapie planowania inwestycji, aby stworzyć projekty dopracowane nie tylko pod względem estetyki, ale też funkcjonalności.</w:t>
      </w:r>
    </w:p>
    <w:p w14:paraId="56E4EF3B" w14:textId="70271339" w:rsidR="00D00E8D" w:rsidRPr="00FF2B09" w:rsidRDefault="712E4CAA" w:rsidP="7B8AC0F9">
      <w:pPr>
        <w:spacing w:before="240" w:after="240" w:line="240" w:lineRule="auto"/>
        <w:jc w:val="both"/>
        <w:rPr>
          <w:rFonts w:ascii="Aptos" w:eastAsia="Aptos" w:hAnsi="Aptos" w:cs="Aptos"/>
          <w:i/>
          <w:iCs/>
          <w:sz w:val="22"/>
          <w:szCs w:val="22"/>
        </w:rPr>
      </w:pPr>
      <w:r w:rsidRPr="00FF2B09">
        <w:rPr>
          <w:rFonts w:ascii="Aptos" w:eastAsia="Aptos" w:hAnsi="Aptos" w:cs="Aptos"/>
          <w:sz w:val="22"/>
          <w:szCs w:val="22"/>
        </w:rPr>
        <w:t xml:space="preserve">– </w:t>
      </w:r>
      <w:r w:rsidR="57B8200A" w:rsidRPr="00FF2B09">
        <w:rPr>
          <w:rFonts w:ascii="Calibri" w:eastAsia="Calibri" w:hAnsi="Calibri" w:cs="Calibri"/>
          <w:i/>
          <w:iCs/>
          <w:color w:val="000000" w:themeColor="text1"/>
          <w:sz w:val="22"/>
          <w:szCs w:val="22"/>
        </w:rPr>
        <w:t>Jako projektanci z prawie 20</w:t>
      </w:r>
      <w:r w:rsidR="00932B96" w:rsidRPr="00FF2B09">
        <w:rPr>
          <w:rFonts w:ascii="Calibri" w:eastAsia="Calibri" w:hAnsi="Calibri" w:cs="Calibri"/>
          <w:i/>
          <w:iCs/>
          <w:color w:val="000000" w:themeColor="text1"/>
          <w:sz w:val="22"/>
          <w:szCs w:val="22"/>
        </w:rPr>
        <w:t>-</w:t>
      </w:r>
      <w:r w:rsidR="57B8200A" w:rsidRPr="00FF2B09">
        <w:rPr>
          <w:rFonts w:ascii="Calibri" w:eastAsia="Calibri" w:hAnsi="Calibri" w:cs="Calibri"/>
          <w:i/>
          <w:iCs/>
          <w:color w:val="000000" w:themeColor="text1"/>
          <w:sz w:val="22"/>
          <w:szCs w:val="22"/>
        </w:rPr>
        <w:t>letnim doświadczeniem, obserwujemy zmianę podejścia klientów na przestrzeni lat. Dawniej projekt wnętrza zamawiany był przez wąską grupę klientów</w:t>
      </w:r>
      <w:r w:rsidR="00575F2D" w:rsidRPr="00FF2B09">
        <w:rPr>
          <w:rFonts w:ascii="Calibri" w:eastAsia="Calibri" w:hAnsi="Calibri" w:cs="Calibri"/>
          <w:i/>
          <w:iCs/>
          <w:color w:val="000000" w:themeColor="text1"/>
          <w:sz w:val="22"/>
          <w:szCs w:val="22"/>
        </w:rPr>
        <w:t xml:space="preserve">, a </w:t>
      </w:r>
      <w:r w:rsidR="57B8200A" w:rsidRPr="00FF2B09">
        <w:rPr>
          <w:rFonts w:ascii="Calibri" w:eastAsia="Calibri" w:hAnsi="Calibri" w:cs="Calibri"/>
          <w:i/>
          <w:iCs/>
          <w:color w:val="000000" w:themeColor="text1"/>
          <w:sz w:val="22"/>
          <w:szCs w:val="22"/>
        </w:rPr>
        <w:t>klienci częściej urządzali swoje nieruchomości tzw. sposobem gospodarczym</w:t>
      </w:r>
      <w:r w:rsidR="00575F2D" w:rsidRPr="00FF2B09">
        <w:rPr>
          <w:rFonts w:ascii="Calibri" w:eastAsia="Calibri" w:hAnsi="Calibri" w:cs="Calibri"/>
          <w:i/>
          <w:iCs/>
          <w:color w:val="000000" w:themeColor="text1"/>
          <w:sz w:val="22"/>
          <w:szCs w:val="22"/>
        </w:rPr>
        <w:t>. D</w:t>
      </w:r>
      <w:r w:rsidR="57B8200A" w:rsidRPr="00FF2B09">
        <w:rPr>
          <w:rFonts w:ascii="Calibri" w:eastAsia="Calibri" w:hAnsi="Calibri" w:cs="Calibri"/>
          <w:i/>
          <w:iCs/>
          <w:color w:val="000000" w:themeColor="text1"/>
          <w:sz w:val="22"/>
          <w:szCs w:val="22"/>
        </w:rPr>
        <w:t>ziś dużo wygodniejsze jest powierzenie remontu jednej ekipie lub zespołowi specjalistów: architektom, handlowcom, logistom, ekipie wykończeniowej w ramach jednej usługi „pod klucz”. Niewątpliwą zaletą tego typu usługi jest często jedna umowa lub umowy powiązane ze sobą. Klienci chronieni są gwarancją i rękojmią. Przy usłudze „pod klucz” warto skorzystać z usługi nadzoru projektanta wnętrz, który może kontrolować postępy realizacji, weryfikować zgodność projektu z rzeczywistością, ale przede wszystkim reagować na bieżąco na powstające komplikacje podczas budowy</w:t>
      </w:r>
      <w:r w:rsidRPr="00FF2B09">
        <w:rPr>
          <w:rFonts w:ascii="Aptos" w:eastAsia="Aptos" w:hAnsi="Aptos" w:cs="Aptos"/>
          <w:i/>
          <w:iCs/>
          <w:sz w:val="22"/>
          <w:szCs w:val="22"/>
        </w:rPr>
        <w:t xml:space="preserve"> – </w:t>
      </w:r>
      <w:r w:rsidRPr="00FF2B09">
        <w:rPr>
          <w:rFonts w:ascii="Aptos" w:eastAsia="Aptos" w:hAnsi="Aptos" w:cs="Aptos"/>
          <w:sz w:val="22"/>
          <w:szCs w:val="22"/>
        </w:rPr>
        <w:t xml:space="preserve">mówi </w:t>
      </w:r>
      <w:r w:rsidRPr="00FF2B09">
        <w:rPr>
          <w:rFonts w:ascii="Aptos" w:eastAsia="Aptos" w:hAnsi="Aptos" w:cs="Aptos"/>
          <w:b/>
          <w:bCs/>
          <w:sz w:val="22"/>
          <w:szCs w:val="22"/>
        </w:rPr>
        <w:t>Weronika Barańska-Miękina</w:t>
      </w:r>
      <w:r w:rsidRPr="00FF2B09">
        <w:rPr>
          <w:rFonts w:ascii="Aptos" w:eastAsia="Aptos" w:hAnsi="Aptos" w:cs="Aptos"/>
          <w:sz w:val="22"/>
          <w:szCs w:val="22"/>
        </w:rPr>
        <w:t xml:space="preserve">, </w:t>
      </w:r>
      <w:r w:rsidRPr="00FF2B09">
        <w:rPr>
          <w:rFonts w:ascii="Aptos" w:eastAsia="Aptos" w:hAnsi="Aptos" w:cs="Aptos"/>
          <w:b/>
          <w:bCs/>
          <w:sz w:val="22"/>
          <w:szCs w:val="22"/>
        </w:rPr>
        <w:t>MONOstudio</w:t>
      </w:r>
      <w:r w:rsidRPr="00FF2B09">
        <w:rPr>
          <w:rFonts w:ascii="Aptos" w:eastAsia="Aptos" w:hAnsi="Aptos" w:cs="Aptos"/>
          <w:sz w:val="22"/>
          <w:szCs w:val="22"/>
        </w:rPr>
        <w:t>.</w:t>
      </w:r>
    </w:p>
    <w:p w14:paraId="3891E404" w14:textId="4EA12970" w:rsidR="77EED510" w:rsidRPr="00575F2D" w:rsidRDefault="00AC57DA" w:rsidP="00575F2D">
      <w:pPr>
        <w:spacing w:before="240" w:after="240" w:line="240" w:lineRule="auto"/>
        <w:jc w:val="both"/>
        <w:rPr>
          <w:rFonts w:ascii="Aptos" w:eastAsia="Aptos" w:hAnsi="Aptos" w:cs="Aptos"/>
          <w:sz w:val="22"/>
          <w:szCs w:val="22"/>
        </w:rPr>
      </w:pPr>
      <w:r w:rsidRPr="00FF2B09">
        <w:rPr>
          <w:rFonts w:ascii="Aptos" w:eastAsia="Aptos" w:hAnsi="Aptos" w:cs="Aptos"/>
          <w:sz w:val="22"/>
          <w:szCs w:val="22"/>
        </w:rPr>
        <w:t>Rynek mieszkaniowy w Polsce dojrzewa i coraz mocniej skupia się na jakości. Deweloperzy stawiają na współpracę z najlepszymi pracowniami projektowymi, dzięki czemu nowe inwestycje oferują nie tylko doskonałą architekturę, ale też możliwość kompleksowego, spójnego wykończenia – zgodnego z oczekiwaniami współczesnych klientów.</w:t>
      </w:r>
    </w:p>
    <w:p w14:paraId="72DADD55" w14:textId="77777777" w:rsidR="00D00E8D" w:rsidRPr="00A002F8" w:rsidRDefault="00D00E8D" w:rsidP="00D00E8D">
      <w:pPr>
        <w:jc w:val="both"/>
        <w:rPr>
          <w:sz w:val="20"/>
          <w:szCs w:val="20"/>
        </w:rPr>
      </w:pPr>
      <w:r w:rsidRPr="00A002F8">
        <w:rPr>
          <w:sz w:val="20"/>
          <w:szCs w:val="20"/>
        </w:rPr>
        <w:lastRenderedPageBreak/>
        <w:t>*** </w:t>
      </w:r>
    </w:p>
    <w:p w14:paraId="5169FA18" w14:textId="77777777" w:rsidR="00D00E8D" w:rsidRPr="00A002F8" w:rsidRDefault="00D00E8D" w:rsidP="00D00E8D">
      <w:pPr>
        <w:jc w:val="both"/>
        <w:rPr>
          <w:sz w:val="20"/>
          <w:szCs w:val="20"/>
        </w:rPr>
      </w:pPr>
      <w:r w:rsidRPr="00A002F8">
        <w:rPr>
          <w:b/>
          <w:bCs/>
          <w:sz w:val="20"/>
          <w:szCs w:val="20"/>
        </w:rPr>
        <w:t>TDJ </w:t>
      </w:r>
      <w:r w:rsidRPr="00286312">
        <w:rPr>
          <w:b/>
          <w:bCs/>
          <w:sz w:val="20"/>
          <w:szCs w:val="20"/>
        </w:rPr>
        <w:t>Estate</w:t>
      </w:r>
    </w:p>
    <w:p w14:paraId="1B71C996" w14:textId="77777777" w:rsidR="00AC5239" w:rsidRPr="007B02F6" w:rsidRDefault="00AC5239" w:rsidP="00AC5239">
      <w:pPr>
        <w:jc w:val="both"/>
        <w:rPr>
          <w:sz w:val="18"/>
          <w:szCs w:val="18"/>
        </w:rPr>
      </w:pPr>
      <w:r w:rsidRPr="007B02F6">
        <w:rPr>
          <w:sz w:val="18"/>
          <w:szCs w:val="18"/>
        </w:rPr>
        <w:t>TDJ Estate jest częścią grupy TDJ, rodzinnej firmy inwestycyjnej, która buduje długoterminową wartość, realizując projekty w obszarach: Equity, Venture, Estate, Finance i Foundation. W portfolio TDJ Estate znajdują się nagradzane inwestycje biurowe i mieszkaniowe</w:t>
      </w:r>
      <w:r>
        <w:rPr>
          <w:sz w:val="18"/>
          <w:szCs w:val="18"/>
        </w:rPr>
        <w:t xml:space="preserve">. </w:t>
      </w:r>
    </w:p>
    <w:p w14:paraId="774F2FEE" w14:textId="77777777" w:rsidR="00AC5239" w:rsidRPr="007B02F6" w:rsidRDefault="00AC5239" w:rsidP="00AC5239">
      <w:pPr>
        <w:jc w:val="both"/>
        <w:rPr>
          <w:sz w:val="18"/>
          <w:szCs w:val="18"/>
        </w:rPr>
      </w:pPr>
      <w:r w:rsidRPr="007B02F6">
        <w:rPr>
          <w:sz w:val="18"/>
          <w:szCs w:val="18"/>
        </w:rPr>
        <w:t>Flagową inwestycją TDJ Estate jest kompleks biurowy .KTW – jeden z symboli nowoczesnej architektury Katowic, zlokalizowany w Strefie Kultury, w bezpośrednim sąsiedztwie Spodka i Międzynarodowego Centrum Kongresowego. Projekt zdobył liczne nagrody, w tym European Property Awards oraz Nagrodę Roku SARP, i uchodzi za jedną z</w:t>
      </w:r>
      <w:r>
        <w:rPr>
          <w:sz w:val="18"/>
          <w:szCs w:val="18"/>
        </w:rPr>
        <w:t> </w:t>
      </w:r>
      <w:r w:rsidRPr="007B02F6">
        <w:rPr>
          <w:sz w:val="18"/>
          <w:szCs w:val="18"/>
        </w:rPr>
        <w:t>najbardziej znaczących i rozpoznawalnych inwestycji komercyjnych ostatniej dekady w Polsce.</w:t>
      </w:r>
    </w:p>
    <w:p w14:paraId="33EEBB01" w14:textId="77777777" w:rsidR="00AC5239" w:rsidRPr="00D75C18" w:rsidRDefault="00AC5239" w:rsidP="00AC5239">
      <w:pPr>
        <w:jc w:val="both"/>
        <w:rPr>
          <w:sz w:val="18"/>
          <w:szCs w:val="18"/>
        </w:rPr>
      </w:pPr>
      <w:r w:rsidRPr="00D75C18">
        <w:rPr>
          <w:sz w:val="18"/>
          <w:szCs w:val="18"/>
        </w:rPr>
        <w:t>TDJ Estate sprzedało już ponad 2700 mieszkań</w:t>
      </w:r>
      <w:r>
        <w:rPr>
          <w:sz w:val="18"/>
          <w:szCs w:val="18"/>
        </w:rPr>
        <w:t>,</w:t>
      </w:r>
      <w:r w:rsidRPr="00D75C18">
        <w:rPr>
          <w:sz w:val="18"/>
          <w:szCs w:val="18"/>
        </w:rPr>
        <w:t xml:space="preserve"> W portfolio spółki znajduje się m.in. katowicka </w:t>
      </w:r>
      <w:r w:rsidRPr="00F20A2E">
        <w:rPr>
          <w:sz w:val="18"/>
          <w:szCs w:val="18"/>
        </w:rPr>
        <w:t>Pierwsza Dzielnica</w:t>
      </w:r>
      <w:r w:rsidRPr="00D75C18">
        <w:rPr>
          <w:sz w:val="18"/>
          <w:szCs w:val="18"/>
        </w:rPr>
        <w:t xml:space="preserve"> – nowoczesna, wieloetapowa inwestycja</w:t>
      </w:r>
      <w:r>
        <w:rPr>
          <w:sz w:val="18"/>
          <w:szCs w:val="18"/>
        </w:rPr>
        <w:t xml:space="preserve"> znajdująca się w</w:t>
      </w:r>
      <w:r w:rsidRPr="00D75C18">
        <w:rPr>
          <w:sz w:val="18"/>
          <w:szCs w:val="18"/>
        </w:rPr>
        <w:t xml:space="preserve"> Stref</w:t>
      </w:r>
      <w:r>
        <w:rPr>
          <w:sz w:val="18"/>
          <w:szCs w:val="18"/>
        </w:rPr>
        <w:t xml:space="preserve">ie </w:t>
      </w:r>
      <w:r w:rsidRPr="00D75C18">
        <w:rPr>
          <w:sz w:val="18"/>
          <w:szCs w:val="18"/>
        </w:rPr>
        <w:t xml:space="preserve">Kultury, nagrodzona m.in. w konkursie </w:t>
      </w:r>
      <w:r w:rsidRPr="00F20A2E">
        <w:rPr>
          <w:sz w:val="18"/>
          <w:szCs w:val="18"/>
        </w:rPr>
        <w:t>European Property Awards</w:t>
      </w:r>
      <w:r w:rsidRPr="00D75C18">
        <w:rPr>
          <w:sz w:val="18"/>
          <w:szCs w:val="18"/>
        </w:rPr>
        <w:t>.</w:t>
      </w:r>
    </w:p>
    <w:p w14:paraId="6888E90E" w14:textId="77777777" w:rsidR="00AC5239" w:rsidRPr="00D75C18" w:rsidRDefault="00AC5239" w:rsidP="00AC5239">
      <w:pPr>
        <w:jc w:val="both"/>
        <w:rPr>
          <w:sz w:val="18"/>
          <w:szCs w:val="18"/>
        </w:rPr>
      </w:pPr>
      <w:r w:rsidRPr="00D75C18">
        <w:rPr>
          <w:sz w:val="18"/>
          <w:szCs w:val="18"/>
        </w:rPr>
        <w:t>Do innych, rozpoznawalnych na Górnym Śląsku inwestycji dewelopera należą m.in.: zakończone</w:t>
      </w:r>
      <w:r>
        <w:rPr>
          <w:sz w:val="18"/>
          <w:szCs w:val="18"/>
        </w:rPr>
        <w:t xml:space="preserve"> </w:t>
      </w:r>
      <w:r w:rsidRPr="00F20A2E">
        <w:rPr>
          <w:sz w:val="18"/>
          <w:szCs w:val="18"/>
        </w:rPr>
        <w:t>Osiedle Franciszkańskie</w:t>
      </w:r>
      <w:r w:rsidRPr="00D75C18">
        <w:rPr>
          <w:sz w:val="18"/>
          <w:szCs w:val="18"/>
        </w:rPr>
        <w:t xml:space="preserve"> liczące ponad 1300 mieszkań, </w:t>
      </w:r>
      <w:r w:rsidRPr="00F20A2E">
        <w:rPr>
          <w:sz w:val="18"/>
          <w:szCs w:val="18"/>
        </w:rPr>
        <w:t>Osiedle Bardowskiego</w:t>
      </w:r>
      <w:r w:rsidRPr="00D75C18">
        <w:rPr>
          <w:sz w:val="18"/>
          <w:szCs w:val="18"/>
        </w:rPr>
        <w:t xml:space="preserve">, </w:t>
      </w:r>
      <w:r w:rsidRPr="00F20A2E">
        <w:rPr>
          <w:sz w:val="18"/>
          <w:szCs w:val="18"/>
        </w:rPr>
        <w:t>Dobrynów</w:t>
      </w:r>
      <w:r w:rsidRPr="00D75C18">
        <w:rPr>
          <w:sz w:val="18"/>
          <w:szCs w:val="18"/>
        </w:rPr>
        <w:t>,</w:t>
      </w:r>
      <w:r>
        <w:rPr>
          <w:sz w:val="18"/>
          <w:szCs w:val="18"/>
        </w:rPr>
        <w:t xml:space="preserve"> </w:t>
      </w:r>
      <w:r w:rsidRPr="00F20A2E">
        <w:rPr>
          <w:sz w:val="18"/>
          <w:szCs w:val="18"/>
        </w:rPr>
        <w:t>Sarnie Osiedle</w:t>
      </w:r>
      <w:r w:rsidRPr="00D75C18">
        <w:rPr>
          <w:sz w:val="18"/>
          <w:szCs w:val="18"/>
        </w:rPr>
        <w:t xml:space="preserve"> w Bielsku-Białej, </w:t>
      </w:r>
      <w:r>
        <w:rPr>
          <w:sz w:val="18"/>
          <w:szCs w:val="18"/>
        </w:rPr>
        <w:t xml:space="preserve">a także </w:t>
      </w:r>
      <w:r w:rsidRPr="00F20A2E">
        <w:rPr>
          <w:sz w:val="18"/>
          <w:szCs w:val="18"/>
        </w:rPr>
        <w:t>Zielona Dolina</w:t>
      </w:r>
      <w:r w:rsidRPr="00D75C18">
        <w:rPr>
          <w:sz w:val="18"/>
          <w:szCs w:val="18"/>
        </w:rPr>
        <w:t xml:space="preserve"> w Zabrzu oraz najnowsza inwestycja – </w:t>
      </w:r>
      <w:r w:rsidRPr="00F20A2E">
        <w:rPr>
          <w:sz w:val="18"/>
          <w:szCs w:val="18"/>
        </w:rPr>
        <w:t>Osiedle Hierowskiego</w:t>
      </w:r>
      <w:r w:rsidRPr="00D75C18">
        <w:rPr>
          <w:sz w:val="18"/>
          <w:szCs w:val="18"/>
        </w:rPr>
        <w:t xml:space="preserve"> w Katowicach.</w:t>
      </w:r>
    </w:p>
    <w:p w14:paraId="6761BA2A" w14:textId="77777777" w:rsidR="00AC5239" w:rsidRPr="00D75C18" w:rsidRDefault="00AC5239" w:rsidP="00AC5239">
      <w:pPr>
        <w:jc w:val="both"/>
        <w:rPr>
          <w:sz w:val="18"/>
          <w:szCs w:val="18"/>
        </w:rPr>
      </w:pPr>
      <w:r w:rsidRPr="00D75C18">
        <w:rPr>
          <w:sz w:val="18"/>
          <w:szCs w:val="18"/>
        </w:rPr>
        <w:t xml:space="preserve">Deweloper realizuje również inwestycje w Krakowie – </w:t>
      </w:r>
      <w:r w:rsidRPr="00F20A2E">
        <w:rPr>
          <w:sz w:val="18"/>
          <w:szCs w:val="18"/>
        </w:rPr>
        <w:t>Osiedle Imbramowskie</w:t>
      </w:r>
      <w:r w:rsidRPr="00D75C18">
        <w:rPr>
          <w:sz w:val="18"/>
          <w:szCs w:val="18"/>
        </w:rPr>
        <w:t>, a już wkrótce osiedle Meiera.</w:t>
      </w:r>
    </w:p>
    <w:p w14:paraId="2B2FD5AB" w14:textId="77777777" w:rsidR="00AC5239" w:rsidRPr="007B02F6" w:rsidRDefault="00AC5239" w:rsidP="00AC5239">
      <w:pPr>
        <w:jc w:val="both"/>
        <w:rPr>
          <w:sz w:val="18"/>
          <w:szCs w:val="18"/>
        </w:rPr>
      </w:pPr>
      <w:r w:rsidRPr="007B02F6">
        <w:rPr>
          <w:sz w:val="18"/>
          <w:szCs w:val="18"/>
        </w:rPr>
        <w:t>Spółka realizuje swoją strategię z uwzględnieniem zasad zrównoważonego rozwoju i społecznej odpowiedzialności biznesu – dba o relacje z lokalnymi społecznościami, jakość przestrzeni publicznej oraz długoterminowy wpływ swoich inwestycji na otoczenie.</w:t>
      </w:r>
    </w:p>
    <w:p w14:paraId="6524D6FD" w14:textId="77777777" w:rsidR="00AC5239" w:rsidRPr="007B02F6" w:rsidRDefault="00AC5239" w:rsidP="00AC5239">
      <w:pPr>
        <w:jc w:val="both"/>
        <w:rPr>
          <w:sz w:val="18"/>
          <w:szCs w:val="18"/>
        </w:rPr>
      </w:pPr>
      <w:r w:rsidRPr="007B02F6">
        <w:rPr>
          <w:sz w:val="18"/>
          <w:szCs w:val="18"/>
        </w:rPr>
        <w:t xml:space="preserve">Więcej informacji na stronie: </w:t>
      </w:r>
      <w:hyperlink r:id="rId6" w:history="1">
        <w:r w:rsidRPr="007B02F6">
          <w:rPr>
            <w:rStyle w:val="Hipercze"/>
            <w:sz w:val="18"/>
            <w:szCs w:val="18"/>
          </w:rPr>
          <w:t>www.tdjestate.pl</w:t>
        </w:r>
      </w:hyperlink>
      <w:r w:rsidRPr="007B02F6">
        <w:rPr>
          <w:sz w:val="18"/>
          <w:szCs w:val="18"/>
        </w:rPr>
        <w:t xml:space="preserve"> </w:t>
      </w:r>
    </w:p>
    <w:p w14:paraId="0AE2E298" w14:textId="77777777" w:rsidR="00FA00AF" w:rsidRPr="00D00E8D" w:rsidRDefault="00FA00AF" w:rsidP="00AC5239">
      <w:pPr>
        <w:jc w:val="both"/>
        <w:rPr>
          <w:rFonts w:ascii="Aptos" w:hAnsi="Aptos"/>
          <w:sz w:val="22"/>
          <w:szCs w:val="22"/>
        </w:rPr>
      </w:pPr>
    </w:p>
    <w:sectPr w:rsidR="00FA00AF" w:rsidRPr="00D00E8D">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870C3A" w14:textId="77777777" w:rsidR="003620A6" w:rsidRDefault="003620A6" w:rsidP="00D00E8D">
      <w:pPr>
        <w:spacing w:after="0" w:line="240" w:lineRule="auto"/>
      </w:pPr>
      <w:r>
        <w:separator/>
      </w:r>
    </w:p>
  </w:endnote>
  <w:endnote w:type="continuationSeparator" w:id="0">
    <w:p w14:paraId="4E5A53AF" w14:textId="77777777" w:rsidR="003620A6" w:rsidRDefault="003620A6" w:rsidP="00D00E8D">
      <w:pPr>
        <w:spacing w:after="0" w:line="240" w:lineRule="auto"/>
      </w:pPr>
      <w:r>
        <w:continuationSeparator/>
      </w:r>
    </w:p>
  </w:endnote>
  <w:endnote w:type="continuationNotice" w:id="1">
    <w:p w14:paraId="676999A2" w14:textId="77777777" w:rsidR="003620A6" w:rsidRDefault="003620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63368A" w14:textId="77777777" w:rsidR="003620A6" w:rsidRDefault="003620A6" w:rsidP="00D00E8D">
      <w:pPr>
        <w:spacing w:after="0" w:line="240" w:lineRule="auto"/>
      </w:pPr>
      <w:r>
        <w:separator/>
      </w:r>
    </w:p>
  </w:footnote>
  <w:footnote w:type="continuationSeparator" w:id="0">
    <w:p w14:paraId="51F952ED" w14:textId="77777777" w:rsidR="003620A6" w:rsidRDefault="003620A6" w:rsidP="00D00E8D">
      <w:pPr>
        <w:spacing w:after="0" w:line="240" w:lineRule="auto"/>
      </w:pPr>
      <w:r>
        <w:continuationSeparator/>
      </w:r>
    </w:p>
  </w:footnote>
  <w:footnote w:type="continuationNotice" w:id="1">
    <w:p w14:paraId="473D83F4" w14:textId="77777777" w:rsidR="003620A6" w:rsidRDefault="003620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1730A" w14:textId="6E5E6AD4" w:rsidR="00D00E8D" w:rsidRDefault="00D00E8D">
    <w:pPr>
      <w:pStyle w:val="Nagwek"/>
    </w:pPr>
    <w:r>
      <w:rPr>
        <w:noProof/>
      </w:rPr>
      <w:drawing>
        <wp:inline distT="0" distB="0" distL="0" distR="0" wp14:anchorId="2BD1222F" wp14:editId="37352773">
          <wp:extent cx="1231315" cy="1089660"/>
          <wp:effectExtent l="0" t="0" r="0" b="0"/>
          <wp:docPr id="1337271155" name="Obraz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271155" name="Obraz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719" cy="1094442"/>
                  </a:xfrm>
                  <a:prstGeom prst="rect">
                    <a:avLst/>
                  </a:prstGeom>
                  <a:noFill/>
                </pic:spPr>
              </pic:pic>
            </a:graphicData>
          </a:graphic>
        </wp:inline>
      </w:drawing>
    </w:r>
  </w:p>
  <w:p w14:paraId="4747BD4E" w14:textId="77777777" w:rsidR="00D00E8D" w:rsidRDefault="00D00E8D">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0AF"/>
    <w:rsid w:val="00112483"/>
    <w:rsid w:val="00114598"/>
    <w:rsid w:val="00125466"/>
    <w:rsid w:val="0014397F"/>
    <w:rsid w:val="001B0B0B"/>
    <w:rsid w:val="001B0F65"/>
    <w:rsid w:val="001E369B"/>
    <w:rsid w:val="002059C3"/>
    <w:rsid w:val="00265778"/>
    <w:rsid w:val="002D553F"/>
    <w:rsid w:val="00327D25"/>
    <w:rsid w:val="00351EDB"/>
    <w:rsid w:val="00354061"/>
    <w:rsid w:val="003620A6"/>
    <w:rsid w:val="00444515"/>
    <w:rsid w:val="004533F8"/>
    <w:rsid w:val="00465AAC"/>
    <w:rsid w:val="004B1751"/>
    <w:rsid w:val="005435EC"/>
    <w:rsid w:val="00575F2D"/>
    <w:rsid w:val="00726AD1"/>
    <w:rsid w:val="0074385D"/>
    <w:rsid w:val="00762917"/>
    <w:rsid w:val="00775CD8"/>
    <w:rsid w:val="007F6C3F"/>
    <w:rsid w:val="008064A7"/>
    <w:rsid w:val="00871D6F"/>
    <w:rsid w:val="0091104D"/>
    <w:rsid w:val="00932B96"/>
    <w:rsid w:val="00943A9D"/>
    <w:rsid w:val="00950902"/>
    <w:rsid w:val="009A60B3"/>
    <w:rsid w:val="009B53B6"/>
    <w:rsid w:val="009D3FA5"/>
    <w:rsid w:val="009E5690"/>
    <w:rsid w:val="00A42885"/>
    <w:rsid w:val="00A761A5"/>
    <w:rsid w:val="00AC5239"/>
    <w:rsid w:val="00AC57DA"/>
    <w:rsid w:val="00B15D45"/>
    <w:rsid w:val="00B4351E"/>
    <w:rsid w:val="00B92314"/>
    <w:rsid w:val="00BA202C"/>
    <w:rsid w:val="00C612C4"/>
    <w:rsid w:val="00C807B5"/>
    <w:rsid w:val="00CF4AAB"/>
    <w:rsid w:val="00D00E8D"/>
    <w:rsid w:val="00D0205D"/>
    <w:rsid w:val="00D03DE3"/>
    <w:rsid w:val="00D27957"/>
    <w:rsid w:val="00D81EA3"/>
    <w:rsid w:val="00E26637"/>
    <w:rsid w:val="00EB174C"/>
    <w:rsid w:val="00F22E6E"/>
    <w:rsid w:val="00F339EC"/>
    <w:rsid w:val="00FA00AF"/>
    <w:rsid w:val="00FF2B09"/>
    <w:rsid w:val="01819792"/>
    <w:rsid w:val="0B7E86EC"/>
    <w:rsid w:val="1A1CE650"/>
    <w:rsid w:val="1CF65A87"/>
    <w:rsid w:val="1EFF6735"/>
    <w:rsid w:val="1F5B3CEA"/>
    <w:rsid w:val="20C38BF0"/>
    <w:rsid w:val="2337C01B"/>
    <w:rsid w:val="2A76D601"/>
    <w:rsid w:val="2E81A1F5"/>
    <w:rsid w:val="3005E1FD"/>
    <w:rsid w:val="30381B87"/>
    <w:rsid w:val="33B2BAEE"/>
    <w:rsid w:val="34989EF9"/>
    <w:rsid w:val="3598B6BE"/>
    <w:rsid w:val="36663168"/>
    <w:rsid w:val="3C03AC68"/>
    <w:rsid w:val="3C43AD30"/>
    <w:rsid w:val="3C595232"/>
    <w:rsid w:val="4228450F"/>
    <w:rsid w:val="4887E91B"/>
    <w:rsid w:val="4B747D42"/>
    <w:rsid w:val="4BC0475D"/>
    <w:rsid w:val="4F71239B"/>
    <w:rsid w:val="4FF3E8F8"/>
    <w:rsid w:val="50444EE5"/>
    <w:rsid w:val="518FB182"/>
    <w:rsid w:val="51A50153"/>
    <w:rsid w:val="54E5B278"/>
    <w:rsid w:val="566C8688"/>
    <w:rsid w:val="56DD5A1A"/>
    <w:rsid w:val="57B8200A"/>
    <w:rsid w:val="5AB64F5B"/>
    <w:rsid w:val="5C3FC49A"/>
    <w:rsid w:val="6018D8F1"/>
    <w:rsid w:val="61AA9C7C"/>
    <w:rsid w:val="61B3BFFB"/>
    <w:rsid w:val="652090E9"/>
    <w:rsid w:val="66BCF033"/>
    <w:rsid w:val="6B626D61"/>
    <w:rsid w:val="6CBB0030"/>
    <w:rsid w:val="6E7FA993"/>
    <w:rsid w:val="712E4CAA"/>
    <w:rsid w:val="725F2B43"/>
    <w:rsid w:val="73227FE0"/>
    <w:rsid w:val="74193C35"/>
    <w:rsid w:val="768E008A"/>
    <w:rsid w:val="76D67240"/>
    <w:rsid w:val="774487FF"/>
    <w:rsid w:val="77EED510"/>
    <w:rsid w:val="7B8AC0F9"/>
    <w:rsid w:val="7BD0D06F"/>
    <w:rsid w:val="7C3059F6"/>
    <w:rsid w:val="7D089253"/>
    <w:rsid w:val="7E9FD1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0B6C9"/>
  <w15:chartTrackingRefBased/>
  <w15:docId w15:val="{96BBB0A7-266C-4E58-BAA7-1060FA581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FA00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unhideWhenUsed/>
    <w:qFormat/>
    <w:rsid w:val="00FA00A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FA00A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FA00A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FA00A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FA00A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FA00A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FA00A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FA00A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00AF"/>
    <w:rPr>
      <w:rFonts w:asciiTheme="majorHAnsi" w:eastAsiaTheme="majorEastAsia" w:hAnsiTheme="majorHAnsi" w:cstheme="majorBidi"/>
      <w:color w:val="0F4761" w:themeColor="accent1" w:themeShade="BF"/>
      <w:sz w:val="40"/>
      <w:szCs w:val="40"/>
      <w:lang w:val="pl-PL"/>
    </w:rPr>
  </w:style>
  <w:style w:type="character" w:customStyle="1" w:styleId="Nagwek2Znak">
    <w:name w:val="Nagłówek 2 Znak"/>
    <w:basedOn w:val="Domylnaczcionkaakapitu"/>
    <w:link w:val="Nagwek2"/>
    <w:uiPriority w:val="9"/>
    <w:rsid w:val="00FA00AF"/>
    <w:rPr>
      <w:rFonts w:asciiTheme="majorHAnsi" w:eastAsiaTheme="majorEastAsia" w:hAnsiTheme="majorHAnsi" w:cstheme="majorBidi"/>
      <w:color w:val="0F4761" w:themeColor="accent1" w:themeShade="BF"/>
      <w:sz w:val="32"/>
      <w:szCs w:val="32"/>
      <w:lang w:val="pl-PL"/>
    </w:rPr>
  </w:style>
  <w:style w:type="character" w:customStyle="1" w:styleId="Nagwek3Znak">
    <w:name w:val="Nagłówek 3 Znak"/>
    <w:basedOn w:val="Domylnaczcionkaakapitu"/>
    <w:link w:val="Nagwek3"/>
    <w:uiPriority w:val="9"/>
    <w:semiHidden/>
    <w:rsid w:val="00FA00AF"/>
    <w:rPr>
      <w:rFonts w:eastAsiaTheme="majorEastAsia" w:cstheme="majorBidi"/>
      <w:color w:val="0F4761" w:themeColor="accent1" w:themeShade="BF"/>
      <w:sz w:val="28"/>
      <w:szCs w:val="28"/>
      <w:lang w:val="pl-PL"/>
    </w:rPr>
  </w:style>
  <w:style w:type="character" w:customStyle="1" w:styleId="Nagwek4Znak">
    <w:name w:val="Nagłówek 4 Znak"/>
    <w:basedOn w:val="Domylnaczcionkaakapitu"/>
    <w:link w:val="Nagwek4"/>
    <w:uiPriority w:val="9"/>
    <w:semiHidden/>
    <w:rsid w:val="00FA00AF"/>
    <w:rPr>
      <w:rFonts w:eastAsiaTheme="majorEastAsia" w:cstheme="majorBidi"/>
      <w:i/>
      <w:iCs/>
      <w:color w:val="0F4761" w:themeColor="accent1" w:themeShade="BF"/>
      <w:lang w:val="pl-PL"/>
    </w:rPr>
  </w:style>
  <w:style w:type="character" w:customStyle="1" w:styleId="Nagwek5Znak">
    <w:name w:val="Nagłówek 5 Znak"/>
    <w:basedOn w:val="Domylnaczcionkaakapitu"/>
    <w:link w:val="Nagwek5"/>
    <w:uiPriority w:val="9"/>
    <w:semiHidden/>
    <w:rsid w:val="00FA00AF"/>
    <w:rPr>
      <w:rFonts w:eastAsiaTheme="majorEastAsia" w:cstheme="majorBidi"/>
      <w:color w:val="0F4761" w:themeColor="accent1" w:themeShade="BF"/>
      <w:lang w:val="pl-PL"/>
    </w:rPr>
  </w:style>
  <w:style w:type="character" w:customStyle="1" w:styleId="Nagwek6Znak">
    <w:name w:val="Nagłówek 6 Znak"/>
    <w:basedOn w:val="Domylnaczcionkaakapitu"/>
    <w:link w:val="Nagwek6"/>
    <w:uiPriority w:val="9"/>
    <w:semiHidden/>
    <w:rsid w:val="00FA00AF"/>
    <w:rPr>
      <w:rFonts w:eastAsiaTheme="majorEastAsia" w:cstheme="majorBidi"/>
      <w:i/>
      <w:iCs/>
      <w:color w:val="595959" w:themeColor="text1" w:themeTint="A6"/>
      <w:lang w:val="pl-PL"/>
    </w:rPr>
  </w:style>
  <w:style w:type="character" w:customStyle="1" w:styleId="Nagwek7Znak">
    <w:name w:val="Nagłówek 7 Znak"/>
    <w:basedOn w:val="Domylnaczcionkaakapitu"/>
    <w:link w:val="Nagwek7"/>
    <w:uiPriority w:val="9"/>
    <w:semiHidden/>
    <w:rsid w:val="00FA00AF"/>
    <w:rPr>
      <w:rFonts w:eastAsiaTheme="majorEastAsia" w:cstheme="majorBidi"/>
      <w:color w:val="595959" w:themeColor="text1" w:themeTint="A6"/>
      <w:lang w:val="pl-PL"/>
    </w:rPr>
  </w:style>
  <w:style w:type="character" w:customStyle="1" w:styleId="Nagwek8Znak">
    <w:name w:val="Nagłówek 8 Znak"/>
    <w:basedOn w:val="Domylnaczcionkaakapitu"/>
    <w:link w:val="Nagwek8"/>
    <w:uiPriority w:val="9"/>
    <w:semiHidden/>
    <w:rsid w:val="00FA00AF"/>
    <w:rPr>
      <w:rFonts w:eastAsiaTheme="majorEastAsia" w:cstheme="majorBidi"/>
      <w:i/>
      <w:iCs/>
      <w:color w:val="272727" w:themeColor="text1" w:themeTint="D8"/>
      <w:lang w:val="pl-PL"/>
    </w:rPr>
  </w:style>
  <w:style w:type="character" w:customStyle="1" w:styleId="Nagwek9Znak">
    <w:name w:val="Nagłówek 9 Znak"/>
    <w:basedOn w:val="Domylnaczcionkaakapitu"/>
    <w:link w:val="Nagwek9"/>
    <w:uiPriority w:val="9"/>
    <w:semiHidden/>
    <w:rsid w:val="00FA00AF"/>
    <w:rPr>
      <w:rFonts w:eastAsiaTheme="majorEastAsia" w:cstheme="majorBidi"/>
      <w:color w:val="272727" w:themeColor="text1" w:themeTint="D8"/>
      <w:lang w:val="pl-PL"/>
    </w:rPr>
  </w:style>
  <w:style w:type="paragraph" w:styleId="Tytu">
    <w:name w:val="Title"/>
    <w:basedOn w:val="Normalny"/>
    <w:next w:val="Normalny"/>
    <w:link w:val="TytuZnak"/>
    <w:uiPriority w:val="10"/>
    <w:qFormat/>
    <w:rsid w:val="00FA00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FA00AF"/>
    <w:rPr>
      <w:rFonts w:asciiTheme="majorHAnsi" w:eastAsiaTheme="majorEastAsia" w:hAnsiTheme="majorHAnsi" w:cstheme="majorBidi"/>
      <w:spacing w:val="-10"/>
      <w:kern w:val="28"/>
      <w:sz w:val="56"/>
      <w:szCs w:val="56"/>
      <w:lang w:val="pl-PL"/>
    </w:rPr>
  </w:style>
  <w:style w:type="paragraph" w:styleId="Podtytu">
    <w:name w:val="Subtitle"/>
    <w:basedOn w:val="Normalny"/>
    <w:next w:val="Normalny"/>
    <w:link w:val="PodtytuZnak"/>
    <w:uiPriority w:val="11"/>
    <w:qFormat/>
    <w:rsid w:val="00FA00A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FA00AF"/>
    <w:rPr>
      <w:rFonts w:eastAsiaTheme="majorEastAsia" w:cstheme="majorBidi"/>
      <w:color w:val="595959" w:themeColor="text1" w:themeTint="A6"/>
      <w:spacing w:val="15"/>
      <w:sz w:val="28"/>
      <w:szCs w:val="28"/>
      <w:lang w:val="pl-PL"/>
    </w:rPr>
  </w:style>
  <w:style w:type="paragraph" w:styleId="Cytat">
    <w:name w:val="Quote"/>
    <w:basedOn w:val="Normalny"/>
    <w:next w:val="Normalny"/>
    <w:link w:val="CytatZnak"/>
    <w:uiPriority w:val="29"/>
    <w:qFormat/>
    <w:rsid w:val="00FA00AF"/>
    <w:pPr>
      <w:spacing w:before="160"/>
      <w:jc w:val="center"/>
    </w:pPr>
    <w:rPr>
      <w:i/>
      <w:iCs/>
      <w:color w:val="404040" w:themeColor="text1" w:themeTint="BF"/>
    </w:rPr>
  </w:style>
  <w:style w:type="character" w:customStyle="1" w:styleId="CytatZnak">
    <w:name w:val="Cytat Znak"/>
    <w:basedOn w:val="Domylnaczcionkaakapitu"/>
    <w:link w:val="Cytat"/>
    <w:uiPriority w:val="29"/>
    <w:rsid w:val="00FA00AF"/>
    <w:rPr>
      <w:i/>
      <w:iCs/>
      <w:color w:val="404040" w:themeColor="text1" w:themeTint="BF"/>
      <w:lang w:val="pl-PL"/>
    </w:rPr>
  </w:style>
  <w:style w:type="paragraph" w:styleId="Akapitzlist">
    <w:name w:val="List Paragraph"/>
    <w:basedOn w:val="Normalny"/>
    <w:uiPriority w:val="34"/>
    <w:qFormat/>
    <w:rsid w:val="00FA00AF"/>
    <w:pPr>
      <w:ind w:left="720"/>
      <w:contextualSpacing/>
    </w:pPr>
  </w:style>
  <w:style w:type="character" w:styleId="Wyrnienieintensywne">
    <w:name w:val="Intense Emphasis"/>
    <w:basedOn w:val="Domylnaczcionkaakapitu"/>
    <w:uiPriority w:val="21"/>
    <w:qFormat/>
    <w:rsid w:val="00FA00AF"/>
    <w:rPr>
      <w:i/>
      <w:iCs/>
      <w:color w:val="0F4761" w:themeColor="accent1" w:themeShade="BF"/>
    </w:rPr>
  </w:style>
  <w:style w:type="paragraph" w:styleId="Cytatintensywny">
    <w:name w:val="Intense Quote"/>
    <w:basedOn w:val="Normalny"/>
    <w:next w:val="Normalny"/>
    <w:link w:val="CytatintensywnyZnak"/>
    <w:uiPriority w:val="30"/>
    <w:qFormat/>
    <w:rsid w:val="00FA00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FA00AF"/>
    <w:rPr>
      <w:i/>
      <w:iCs/>
      <w:color w:val="0F4761" w:themeColor="accent1" w:themeShade="BF"/>
      <w:lang w:val="pl-PL"/>
    </w:rPr>
  </w:style>
  <w:style w:type="character" w:styleId="Odwoanieintensywne">
    <w:name w:val="Intense Reference"/>
    <w:basedOn w:val="Domylnaczcionkaakapitu"/>
    <w:uiPriority w:val="32"/>
    <w:qFormat/>
    <w:rsid w:val="00FA00AF"/>
    <w:rPr>
      <w:b/>
      <w:bCs/>
      <w:smallCaps/>
      <w:color w:val="0F4761" w:themeColor="accent1" w:themeShade="BF"/>
      <w:spacing w:val="5"/>
    </w:rPr>
  </w:style>
  <w:style w:type="character" w:styleId="Uwydatnienie">
    <w:name w:val="Emphasis"/>
    <w:basedOn w:val="Domylnaczcionkaakapitu"/>
    <w:uiPriority w:val="20"/>
    <w:qFormat/>
    <w:rsid w:val="00FA00AF"/>
    <w:rPr>
      <w:i/>
      <w:iCs/>
    </w:rPr>
  </w:style>
  <w:style w:type="character" w:styleId="Pogrubienie">
    <w:name w:val="Strong"/>
    <w:basedOn w:val="Domylnaczcionkaakapitu"/>
    <w:uiPriority w:val="22"/>
    <w:qFormat/>
    <w:rsid w:val="00FA00AF"/>
    <w:rPr>
      <w:b/>
      <w:bCs/>
    </w:rPr>
  </w:style>
  <w:style w:type="paragraph" w:styleId="NormalnyWeb">
    <w:name w:val="Normal (Web)"/>
    <w:basedOn w:val="Normalny"/>
    <w:uiPriority w:val="99"/>
    <w:semiHidden/>
    <w:unhideWhenUsed/>
    <w:rsid w:val="00A4288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agwek">
    <w:name w:val="header"/>
    <w:basedOn w:val="Normalny"/>
    <w:link w:val="NagwekZnak"/>
    <w:uiPriority w:val="99"/>
    <w:unhideWhenUsed/>
    <w:rsid w:val="00D00E8D"/>
    <w:pPr>
      <w:tabs>
        <w:tab w:val="center" w:pos="4513"/>
        <w:tab w:val="right" w:pos="9026"/>
      </w:tabs>
      <w:spacing w:after="0" w:line="240" w:lineRule="auto"/>
    </w:pPr>
  </w:style>
  <w:style w:type="character" w:customStyle="1" w:styleId="NagwekZnak">
    <w:name w:val="Nagłówek Znak"/>
    <w:basedOn w:val="Domylnaczcionkaakapitu"/>
    <w:link w:val="Nagwek"/>
    <w:uiPriority w:val="99"/>
    <w:rsid w:val="00D00E8D"/>
    <w:rPr>
      <w:lang w:val="pl-PL"/>
    </w:rPr>
  </w:style>
  <w:style w:type="paragraph" w:styleId="Stopka">
    <w:name w:val="footer"/>
    <w:basedOn w:val="Normalny"/>
    <w:link w:val="StopkaZnak"/>
    <w:uiPriority w:val="99"/>
    <w:unhideWhenUsed/>
    <w:rsid w:val="00D00E8D"/>
    <w:pPr>
      <w:tabs>
        <w:tab w:val="center" w:pos="4513"/>
        <w:tab w:val="right" w:pos="9026"/>
      </w:tabs>
      <w:spacing w:after="0" w:line="240" w:lineRule="auto"/>
    </w:pPr>
  </w:style>
  <w:style w:type="character" w:customStyle="1" w:styleId="StopkaZnak">
    <w:name w:val="Stopka Znak"/>
    <w:basedOn w:val="Domylnaczcionkaakapitu"/>
    <w:link w:val="Stopka"/>
    <w:uiPriority w:val="99"/>
    <w:rsid w:val="00D00E8D"/>
    <w:rPr>
      <w:lang w:val="pl-PL"/>
    </w:rPr>
  </w:style>
  <w:style w:type="character" w:styleId="Hipercze">
    <w:name w:val="Hyperlink"/>
    <w:basedOn w:val="Domylnaczcionkaakapitu"/>
    <w:uiPriority w:val="99"/>
    <w:unhideWhenUsed/>
    <w:rsid w:val="00D00E8D"/>
    <w:rPr>
      <w:color w:val="467886" w:themeColor="hyperlink"/>
      <w:u w:val="single"/>
    </w:rPr>
  </w:style>
  <w:style w:type="paragraph" w:styleId="Tekstkomentarza">
    <w:name w:val="annotation text"/>
    <w:basedOn w:val="Normalny"/>
    <w:link w:val="TekstkomentarzaZnak"/>
    <w:uiPriority w:val="99"/>
    <w:semiHidden/>
    <w:unhideWhenUsed/>
    <w:rsid w:val="00465AA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65AAC"/>
    <w:rPr>
      <w:sz w:val="20"/>
      <w:szCs w:val="20"/>
    </w:rPr>
  </w:style>
  <w:style w:type="character" w:styleId="Odwoaniedokomentarza">
    <w:name w:val="annotation reference"/>
    <w:basedOn w:val="Domylnaczcionkaakapitu"/>
    <w:uiPriority w:val="99"/>
    <w:semiHidden/>
    <w:unhideWhenUsed/>
    <w:rsid w:val="00465AA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49285">
      <w:bodyDiv w:val="1"/>
      <w:marLeft w:val="0"/>
      <w:marRight w:val="0"/>
      <w:marTop w:val="0"/>
      <w:marBottom w:val="0"/>
      <w:divBdr>
        <w:top w:val="none" w:sz="0" w:space="0" w:color="auto"/>
        <w:left w:val="none" w:sz="0" w:space="0" w:color="auto"/>
        <w:bottom w:val="none" w:sz="0" w:space="0" w:color="auto"/>
        <w:right w:val="none" w:sz="0" w:space="0" w:color="auto"/>
      </w:divBdr>
    </w:div>
    <w:div w:id="110366125">
      <w:bodyDiv w:val="1"/>
      <w:marLeft w:val="0"/>
      <w:marRight w:val="0"/>
      <w:marTop w:val="0"/>
      <w:marBottom w:val="0"/>
      <w:divBdr>
        <w:top w:val="none" w:sz="0" w:space="0" w:color="auto"/>
        <w:left w:val="none" w:sz="0" w:space="0" w:color="auto"/>
        <w:bottom w:val="none" w:sz="0" w:space="0" w:color="auto"/>
        <w:right w:val="none" w:sz="0" w:space="0" w:color="auto"/>
      </w:divBdr>
    </w:div>
    <w:div w:id="189416302">
      <w:bodyDiv w:val="1"/>
      <w:marLeft w:val="0"/>
      <w:marRight w:val="0"/>
      <w:marTop w:val="0"/>
      <w:marBottom w:val="0"/>
      <w:divBdr>
        <w:top w:val="none" w:sz="0" w:space="0" w:color="auto"/>
        <w:left w:val="none" w:sz="0" w:space="0" w:color="auto"/>
        <w:bottom w:val="none" w:sz="0" w:space="0" w:color="auto"/>
        <w:right w:val="none" w:sz="0" w:space="0" w:color="auto"/>
      </w:divBdr>
    </w:div>
    <w:div w:id="277689441">
      <w:bodyDiv w:val="1"/>
      <w:marLeft w:val="0"/>
      <w:marRight w:val="0"/>
      <w:marTop w:val="0"/>
      <w:marBottom w:val="0"/>
      <w:divBdr>
        <w:top w:val="none" w:sz="0" w:space="0" w:color="auto"/>
        <w:left w:val="none" w:sz="0" w:space="0" w:color="auto"/>
        <w:bottom w:val="none" w:sz="0" w:space="0" w:color="auto"/>
        <w:right w:val="none" w:sz="0" w:space="0" w:color="auto"/>
      </w:divBdr>
    </w:div>
    <w:div w:id="331491701">
      <w:bodyDiv w:val="1"/>
      <w:marLeft w:val="0"/>
      <w:marRight w:val="0"/>
      <w:marTop w:val="0"/>
      <w:marBottom w:val="0"/>
      <w:divBdr>
        <w:top w:val="none" w:sz="0" w:space="0" w:color="auto"/>
        <w:left w:val="none" w:sz="0" w:space="0" w:color="auto"/>
        <w:bottom w:val="none" w:sz="0" w:space="0" w:color="auto"/>
        <w:right w:val="none" w:sz="0" w:space="0" w:color="auto"/>
      </w:divBdr>
    </w:div>
    <w:div w:id="496654115">
      <w:bodyDiv w:val="1"/>
      <w:marLeft w:val="0"/>
      <w:marRight w:val="0"/>
      <w:marTop w:val="0"/>
      <w:marBottom w:val="0"/>
      <w:divBdr>
        <w:top w:val="none" w:sz="0" w:space="0" w:color="auto"/>
        <w:left w:val="none" w:sz="0" w:space="0" w:color="auto"/>
        <w:bottom w:val="none" w:sz="0" w:space="0" w:color="auto"/>
        <w:right w:val="none" w:sz="0" w:space="0" w:color="auto"/>
      </w:divBdr>
    </w:div>
    <w:div w:id="513806530">
      <w:bodyDiv w:val="1"/>
      <w:marLeft w:val="0"/>
      <w:marRight w:val="0"/>
      <w:marTop w:val="0"/>
      <w:marBottom w:val="0"/>
      <w:divBdr>
        <w:top w:val="none" w:sz="0" w:space="0" w:color="auto"/>
        <w:left w:val="none" w:sz="0" w:space="0" w:color="auto"/>
        <w:bottom w:val="none" w:sz="0" w:space="0" w:color="auto"/>
        <w:right w:val="none" w:sz="0" w:space="0" w:color="auto"/>
      </w:divBdr>
    </w:div>
    <w:div w:id="775906494">
      <w:bodyDiv w:val="1"/>
      <w:marLeft w:val="0"/>
      <w:marRight w:val="0"/>
      <w:marTop w:val="0"/>
      <w:marBottom w:val="0"/>
      <w:divBdr>
        <w:top w:val="none" w:sz="0" w:space="0" w:color="auto"/>
        <w:left w:val="none" w:sz="0" w:space="0" w:color="auto"/>
        <w:bottom w:val="none" w:sz="0" w:space="0" w:color="auto"/>
        <w:right w:val="none" w:sz="0" w:space="0" w:color="auto"/>
      </w:divBdr>
    </w:div>
    <w:div w:id="1054696146">
      <w:bodyDiv w:val="1"/>
      <w:marLeft w:val="0"/>
      <w:marRight w:val="0"/>
      <w:marTop w:val="0"/>
      <w:marBottom w:val="0"/>
      <w:divBdr>
        <w:top w:val="none" w:sz="0" w:space="0" w:color="auto"/>
        <w:left w:val="none" w:sz="0" w:space="0" w:color="auto"/>
        <w:bottom w:val="none" w:sz="0" w:space="0" w:color="auto"/>
        <w:right w:val="none" w:sz="0" w:space="0" w:color="auto"/>
      </w:divBdr>
    </w:div>
    <w:div w:id="1070739178">
      <w:bodyDiv w:val="1"/>
      <w:marLeft w:val="0"/>
      <w:marRight w:val="0"/>
      <w:marTop w:val="0"/>
      <w:marBottom w:val="0"/>
      <w:divBdr>
        <w:top w:val="none" w:sz="0" w:space="0" w:color="auto"/>
        <w:left w:val="none" w:sz="0" w:space="0" w:color="auto"/>
        <w:bottom w:val="none" w:sz="0" w:space="0" w:color="auto"/>
        <w:right w:val="none" w:sz="0" w:space="0" w:color="auto"/>
      </w:divBdr>
    </w:div>
    <w:div w:id="1507280207">
      <w:bodyDiv w:val="1"/>
      <w:marLeft w:val="0"/>
      <w:marRight w:val="0"/>
      <w:marTop w:val="0"/>
      <w:marBottom w:val="0"/>
      <w:divBdr>
        <w:top w:val="none" w:sz="0" w:space="0" w:color="auto"/>
        <w:left w:val="none" w:sz="0" w:space="0" w:color="auto"/>
        <w:bottom w:val="none" w:sz="0" w:space="0" w:color="auto"/>
        <w:right w:val="none" w:sz="0" w:space="0" w:color="auto"/>
      </w:divBdr>
    </w:div>
    <w:div w:id="1566987417">
      <w:bodyDiv w:val="1"/>
      <w:marLeft w:val="0"/>
      <w:marRight w:val="0"/>
      <w:marTop w:val="0"/>
      <w:marBottom w:val="0"/>
      <w:divBdr>
        <w:top w:val="none" w:sz="0" w:space="0" w:color="auto"/>
        <w:left w:val="none" w:sz="0" w:space="0" w:color="auto"/>
        <w:bottom w:val="none" w:sz="0" w:space="0" w:color="auto"/>
        <w:right w:val="none" w:sz="0" w:space="0" w:color="auto"/>
      </w:divBdr>
    </w:div>
    <w:div w:id="175639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djestate.pl/"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265</TotalTime>
  <Pages>3</Pages>
  <Words>1086</Words>
  <Characters>6520</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Budzik</dc:creator>
  <cp:keywords/>
  <dc:description/>
  <cp:lastModifiedBy>Ostrowski, Piotr</cp:lastModifiedBy>
  <cp:revision>38</cp:revision>
  <dcterms:created xsi:type="dcterms:W3CDTF">2025-10-15T17:01:00Z</dcterms:created>
  <dcterms:modified xsi:type="dcterms:W3CDTF">2025-10-30T11:37:00Z</dcterms:modified>
</cp:coreProperties>
</file>