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C07C" w14:textId="77777777" w:rsidR="002C5852" w:rsidRDefault="002C5852" w:rsidP="002C5852">
      <w:bookmarkStart w:id="0" w:name="_Hlk196904237"/>
    </w:p>
    <w:p w14:paraId="66A8224C" w14:textId="62B73FB1" w:rsidR="002C5852" w:rsidRPr="009D66FB" w:rsidRDefault="00943C5E" w:rsidP="002C5852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Nawet 1,4 mld EUR w inwestycjach na rynku biurowym</w:t>
      </w:r>
    </w:p>
    <w:p w14:paraId="5B38A1DD" w14:textId="77777777" w:rsidR="002C5852" w:rsidRPr="009D66FB" w:rsidRDefault="002C5852" w:rsidP="002C5852">
      <w:pPr>
        <w:spacing w:line="240" w:lineRule="auto"/>
        <w:jc w:val="both"/>
        <w:rPr>
          <w:b/>
          <w:bCs/>
          <w:sz w:val="20"/>
          <w:szCs w:val="20"/>
        </w:rPr>
      </w:pPr>
    </w:p>
    <w:bookmarkEnd w:id="0"/>
    <w:p w14:paraId="26A6767A" w14:textId="5B154BAA" w:rsidR="002C5852" w:rsidRPr="009D66FB" w:rsidRDefault="002C5852" w:rsidP="002C5852">
      <w:pPr>
        <w:spacing w:line="240" w:lineRule="auto"/>
        <w:jc w:val="both"/>
        <w:rPr>
          <w:b/>
          <w:bCs/>
          <w:sz w:val="20"/>
          <w:szCs w:val="20"/>
        </w:rPr>
      </w:pPr>
      <w:r w:rsidRPr="009D66FB">
        <w:rPr>
          <w:b/>
          <w:bCs/>
          <w:sz w:val="20"/>
          <w:szCs w:val="20"/>
        </w:rPr>
        <w:t>Międzynarodowa agencja doradcza Cushman &amp; Wakefield podsumowała aktywność inwestorów na rynku nieruchomości biurowych w I</w:t>
      </w:r>
      <w:r w:rsidR="00943C5E">
        <w:rPr>
          <w:b/>
          <w:bCs/>
          <w:sz w:val="20"/>
          <w:szCs w:val="20"/>
        </w:rPr>
        <w:t xml:space="preserve">II </w:t>
      </w:r>
      <w:r w:rsidRPr="009D66FB">
        <w:rPr>
          <w:b/>
          <w:bCs/>
          <w:sz w:val="20"/>
          <w:szCs w:val="20"/>
        </w:rPr>
        <w:t xml:space="preserve">kwartale tego roku. W tym czasie w sektorze podpisano umowy o wartości </w:t>
      </w:r>
      <w:r w:rsidR="00943C5E">
        <w:rPr>
          <w:b/>
          <w:bCs/>
          <w:sz w:val="20"/>
          <w:szCs w:val="20"/>
        </w:rPr>
        <w:t>474</w:t>
      </w:r>
      <w:r w:rsidRPr="009D66FB">
        <w:rPr>
          <w:b/>
          <w:bCs/>
          <w:sz w:val="20"/>
          <w:szCs w:val="20"/>
        </w:rPr>
        <w:t xml:space="preserve"> mln EUR. </w:t>
      </w:r>
      <w:r w:rsidR="00943C5E">
        <w:rPr>
          <w:b/>
          <w:bCs/>
          <w:sz w:val="20"/>
          <w:szCs w:val="20"/>
        </w:rPr>
        <w:t>Tak znakomity rezultat oznacza mocne przyspieszenie</w:t>
      </w:r>
      <w:r w:rsidR="002F0186">
        <w:rPr>
          <w:b/>
          <w:bCs/>
          <w:sz w:val="20"/>
          <w:szCs w:val="20"/>
        </w:rPr>
        <w:t xml:space="preserve"> rynku biur</w:t>
      </w:r>
      <w:r w:rsidR="00943C5E">
        <w:rPr>
          <w:b/>
          <w:bCs/>
          <w:sz w:val="20"/>
          <w:szCs w:val="20"/>
        </w:rPr>
        <w:t xml:space="preserve">, a prognozowany całkowity wolumen na koniec 2025 roku może wynieść nawet 1,4 mld EUR. </w:t>
      </w:r>
    </w:p>
    <w:p w14:paraId="5B1BDBF8" w14:textId="77777777" w:rsidR="002C5852" w:rsidRPr="009D66FB" w:rsidRDefault="002C5852" w:rsidP="002C5852">
      <w:pPr>
        <w:spacing w:line="240" w:lineRule="auto"/>
        <w:jc w:val="both"/>
        <w:rPr>
          <w:sz w:val="20"/>
          <w:szCs w:val="20"/>
        </w:rPr>
      </w:pPr>
    </w:p>
    <w:p w14:paraId="476C0D52" w14:textId="146BFC9D" w:rsidR="002F0186" w:rsidRPr="002F0186" w:rsidRDefault="00943C5E" w:rsidP="002C5852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Biura</w:t>
      </w:r>
      <w:r w:rsidR="002F0186">
        <w:rPr>
          <w:b/>
          <w:bCs/>
          <w:sz w:val="20"/>
          <w:szCs w:val="20"/>
        </w:rPr>
        <w:t xml:space="preserve"> znowu</w:t>
      </w:r>
      <w:r>
        <w:rPr>
          <w:b/>
          <w:bCs/>
          <w:sz w:val="20"/>
          <w:szCs w:val="20"/>
        </w:rPr>
        <w:t xml:space="preserve"> złapały wiatr w żagle</w:t>
      </w:r>
    </w:p>
    <w:p w14:paraId="3D68E152" w14:textId="4A8E9E08" w:rsidR="002F0186" w:rsidRPr="002F0186" w:rsidRDefault="002F0186" w:rsidP="002C5852">
      <w:pPr>
        <w:spacing w:line="240" w:lineRule="auto"/>
        <w:jc w:val="both"/>
        <w:rPr>
          <w:b/>
          <w:bCs/>
          <w:sz w:val="20"/>
          <w:szCs w:val="20"/>
        </w:rPr>
      </w:pPr>
      <w:r w:rsidRPr="009D66F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2F0186">
        <w:rPr>
          <w:i/>
          <w:iCs/>
          <w:sz w:val="20"/>
          <w:szCs w:val="20"/>
        </w:rPr>
        <w:t xml:space="preserve">W samym III kwartale na rynku biurowym sfinalizowano dwanaście transakcji o łącznej wartości 474 mln EUR, co oznacza </w:t>
      </w:r>
      <w:r w:rsidR="001C70E4">
        <w:rPr>
          <w:i/>
          <w:iCs/>
          <w:sz w:val="20"/>
          <w:szCs w:val="20"/>
        </w:rPr>
        <w:t xml:space="preserve">ponad </w:t>
      </w:r>
      <w:r w:rsidRPr="002F0186">
        <w:rPr>
          <w:i/>
          <w:iCs/>
          <w:sz w:val="20"/>
          <w:szCs w:val="20"/>
        </w:rPr>
        <w:t xml:space="preserve">100-procentowy wzrost w ujęciu </w:t>
      </w:r>
      <w:r>
        <w:rPr>
          <w:i/>
          <w:iCs/>
          <w:sz w:val="20"/>
          <w:szCs w:val="20"/>
        </w:rPr>
        <w:t>kwartalnym</w:t>
      </w:r>
      <w:r w:rsidRPr="002F0186">
        <w:rPr>
          <w:i/>
          <w:iCs/>
          <w:sz w:val="20"/>
          <w:szCs w:val="20"/>
        </w:rPr>
        <w:t xml:space="preserve">. Warszawa pozostaje kluczowym obszarem koncentracji </w:t>
      </w:r>
      <w:r>
        <w:rPr>
          <w:i/>
          <w:iCs/>
          <w:sz w:val="20"/>
          <w:szCs w:val="20"/>
        </w:rPr>
        <w:t>uwagi funduszy</w:t>
      </w:r>
      <w:r w:rsidRPr="002F0186">
        <w:rPr>
          <w:i/>
          <w:iCs/>
          <w:sz w:val="20"/>
          <w:szCs w:val="20"/>
        </w:rPr>
        <w:t xml:space="preserve"> – odpowiada za </w:t>
      </w:r>
      <w:r w:rsidR="00A807BA">
        <w:rPr>
          <w:i/>
          <w:iCs/>
          <w:sz w:val="20"/>
          <w:szCs w:val="20"/>
        </w:rPr>
        <w:t>74</w:t>
      </w:r>
      <w:r w:rsidRPr="002F0186">
        <w:rPr>
          <w:i/>
          <w:iCs/>
          <w:sz w:val="20"/>
          <w:szCs w:val="20"/>
        </w:rPr>
        <w:t>% całkowitego wolumenu</w:t>
      </w:r>
      <w:r w:rsidR="00A807BA">
        <w:rPr>
          <w:i/>
          <w:iCs/>
          <w:sz w:val="20"/>
          <w:szCs w:val="20"/>
        </w:rPr>
        <w:t xml:space="preserve"> transakcji </w:t>
      </w:r>
      <w:r w:rsidR="0050471F">
        <w:rPr>
          <w:i/>
          <w:iCs/>
          <w:sz w:val="20"/>
          <w:szCs w:val="20"/>
        </w:rPr>
        <w:t xml:space="preserve">inwestycyjnych na rynku biurowym </w:t>
      </w:r>
      <w:r w:rsidR="00A807BA">
        <w:rPr>
          <w:i/>
          <w:iCs/>
          <w:sz w:val="20"/>
          <w:szCs w:val="20"/>
        </w:rPr>
        <w:t>od początku roku</w:t>
      </w:r>
      <w:r w:rsidRPr="002F0186">
        <w:rPr>
          <w:i/>
          <w:iCs/>
          <w:sz w:val="20"/>
          <w:szCs w:val="20"/>
        </w:rPr>
        <w:t>. Biorąc pod uwagę skalę obecnie prowadzonych procesów inwestycyjnych, prognozujemy, że do końca roku wartość transakcji w tym segmencie osiągnie poziom 1,2–1,4 mld EUR.</w:t>
      </w:r>
      <w:r>
        <w:rPr>
          <w:i/>
          <w:iCs/>
          <w:sz w:val="20"/>
          <w:szCs w:val="20"/>
        </w:rPr>
        <w:t xml:space="preserve"> </w:t>
      </w:r>
      <w:r w:rsidRPr="002F0186">
        <w:rPr>
          <w:i/>
          <w:iCs/>
          <w:sz w:val="20"/>
          <w:szCs w:val="20"/>
        </w:rPr>
        <w:t xml:space="preserve">To wyraźny sygnał, że kapitał instytucjonalny wraca na rynek biurowy. </w:t>
      </w:r>
      <w:r w:rsidR="00680170">
        <w:rPr>
          <w:i/>
          <w:iCs/>
          <w:sz w:val="20"/>
          <w:szCs w:val="20"/>
        </w:rPr>
        <w:t>Tego rodzaju aktywa</w:t>
      </w:r>
      <w:r w:rsidRPr="002F0186">
        <w:rPr>
          <w:i/>
          <w:iCs/>
          <w:sz w:val="20"/>
          <w:szCs w:val="20"/>
        </w:rPr>
        <w:t xml:space="preserve">, </w:t>
      </w:r>
      <w:r w:rsidR="00D46223">
        <w:rPr>
          <w:i/>
          <w:iCs/>
          <w:sz w:val="20"/>
          <w:szCs w:val="20"/>
        </w:rPr>
        <w:t xml:space="preserve">a </w:t>
      </w:r>
      <w:r w:rsidRPr="002F0186">
        <w:rPr>
          <w:i/>
          <w:iCs/>
          <w:sz w:val="20"/>
          <w:szCs w:val="20"/>
        </w:rPr>
        <w:t>szczególnie nowoczesne, dobrze wynajęte obiekty</w:t>
      </w:r>
      <w:r>
        <w:rPr>
          <w:i/>
          <w:iCs/>
          <w:sz w:val="20"/>
          <w:szCs w:val="20"/>
        </w:rPr>
        <w:t xml:space="preserve"> </w:t>
      </w:r>
      <w:r w:rsidRPr="002F0186">
        <w:rPr>
          <w:i/>
          <w:iCs/>
          <w:sz w:val="20"/>
          <w:szCs w:val="20"/>
        </w:rPr>
        <w:t xml:space="preserve">w </w:t>
      </w:r>
      <w:proofErr w:type="spellStart"/>
      <w:r w:rsidRPr="002F0186">
        <w:rPr>
          <w:i/>
          <w:iCs/>
          <w:sz w:val="20"/>
          <w:szCs w:val="20"/>
        </w:rPr>
        <w:t>prime’owych</w:t>
      </w:r>
      <w:proofErr w:type="spellEnd"/>
      <w:r w:rsidRPr="002F0186">
        <w:rPr>
          <w:i/>
          <w:iCs/>
          <w:sz w:val="20"/>
          <w:szCs w:val="20"/>
        </w:rPr>
        <w:t xml:space="preserve"> lokalizacjach, są postrzegane jako bezpieczne i długoterminow</w:t>
      </w:r>
      <w:r w:rsidR="00680170">
        <w:rPr>
          <w:i/>
          <w:iCs/>
          <w:sz w:val="20"/>
          <w:szCs w:val="20"/>
        </w:rPr>
        <w:t>e</w:t>
      </w:r>
      <w:r w:rsidRPr="002F0186">
        <w:rPr>
          <w:i/>
          <w:iCs/>
          <w:sz w:val="20"/>
          <w:szCs w:val="20"/>
        </w:rPr>
        <w:t xml:space="preserve"> narzędzie dywersyfikacji portfela</w:t>
      </w:r>
      <w:r>
        <w:rPr>
          <w:i/>
          <w:iCs/>
          <w:sz w:val="20"/>
          <w:szCs w:val="20"/>
        </w:rPr>
        <w:t xml:space="preserve"> </w:t>
      </w:r>
      <w:r w:rsidRPr="009D66FB">
        <w:rPr>
          <w:sz w:val="20"/>
          <w:szCs w:val="20"/>
        </w:rPr>
        <w:t xml:space="preserve">– tłumaczy </w:t>
      </w:r>
      <w:r w:rsidRPr="009D66FB">
        <w:rPr>
          <w:b/>
          <w:bCs/>
          <w:sz w:val="20"/>
          <w:szCs w:val="20"/>
        </w:rPr>
        <w:t xml:space="preserve">Marcin </w:t>
      </w:r>
      <w:proofErr w:type="spellStart"/>
      <w:r w:rsidRPr="009D66FB">
        <w:rPr>
          <w:b/>
          <w:bCs/>
          <w:sz w:val="20"/>
          <w:szCs w:val="20"/>
        </w:rPr>
        <w:t>Kocerba</w:t>
      </w:r>
      <w:proofErr w:type="spellEnd"/>
      <w:r w:rsidRPr="009D66FB">
        <w:rPr>
          <w:b/>
          <w:bCs/>
          <w:sz w:val="20"/>
          <w:szCs w:val="20"/>
        </w:rPr>
        <w:t xml:space="preserve">, Partner w Dziale Capital </w:t>
      </w:r>
      <w:proofErr w:type="spellStart"/>
      <w:r w:rsidRPr="009D66FB">
        <w:rPr>
          <w:b/>
          <w:bCs/>
          <w:sz w:val="20"/>
          <w:szCs w:val="20"/>
        </w:rPr>
        <w:t>Markets</w:t>
      </w:r>
      <w:proofErr w:type="spellEnd"/>
      <w:r w:rsidRPr="009D66FB">
        <w:rPr>
          <w:b/>
          <w:bCs/>
          <w:sz w:val="20"/>
          <w:szCs w:val="20"/>
        </w:rPr>
        <w:t xml:space="preserve"> w Cushman &amp; Wakefield w Polsce.</w:t>
      </w:r>
    </w:p>
    <w:p w14:paraId="52A8F277" w14:textId="23AABA8E" w:rsidR="002C5852" w:rsidRPr="009D66FB" w:rsidRDefault="002C5852" w:rsidP="002C5852">
      <w:pPr>
        <w:spacing w:line="240" w:lineRule="auto"/>
        <w:jc w:val="both"/>
        <w:rPr>
          <w:sz w:val="20"/>
          <w:szCs w:val="20"/>
        </w:rPr>
      </w:pPr>
      <w:r w:rsidRPr="009D66FB">
        <w:rPr>
          <w:sz w:val="20"/>
          <w:szCs w:val="20"/>
        </w:rPr>
        <w:t xml:space="preserve">Największą odnotowaną w tym czasie transakcją był </w:t>
      </w:r>
      <w:r w:rsidR="00E36C46" w:rsidRPr="00E36C46">
        <w:rPr>
          <w:sz w:val="20"/>
          <w:szCs w:val="20"/>
        </w:rPr>
        <w:t>z</w:t>
      </w:r>
      <w:r w:rsidR="00E36C46">
        <w:rPr>
          <w:sz w:val="20"/>
          <w:szCs w:val="20"/>
        </w:rPr>
        <w:t>a</w:t>
      </w:r>
      <w:r w:rsidR="00E36C46" w:rsidRPr="00E36C46">
        <w:rPr>
          <w:sz w:val="20"/>
          <w:szCs w:val="20"/>
        </w:rPr>
        <w:t xml:space="preserve">kup 50% udziałów w Mennica </w:t>
      </w:r>
      <w:proofErr w:type="spellStart"/>
      <w:r w:rsidR="00E36C46" w:rsidRPr="00E36C46">
        <w:rPr>
          <w:sz w:val="20"/>
          <w:szCs w:val="20"/>
        </w:rPr>
        <w:t>Legacy</w:t>
      </w:r>
      <w:proofErr w:type="spellEnd"/>
      <w:r w:rsidR="00E36C46" w:rsidRPr="00E36C46">
        <w:rPr>
          <w:sz w:val="20"/>
          <w:szCs w:val="20"/>
        </w:rPr>
        <w:t xml:space="preserve"> Tower przez Grupę Mennica Polska za </w:t>
      </w:r>
      <w:r w:rsidR="001C70E4">
        <w:rPr>
          <w:sz w:val="20"/>
          <w:szCs w:val="20"/>
        </w:rPr>
        <w:t>180</w:t>
      </w:r>
      <w:r w:rsidR="00E36C46" w:rsidRPr="00E36C46">
        <w:rPr>
          <w:sz w:val="20"/>
          <w:szCs w:val="20"/>
        </w:rPr>
        <w:t xml:space="preserve"> mln </w:t>
      </w:r>
      <w:r w:rsidR="00680170">
        <w:rPr>
          <w:sz w:val="20"/>
          <w:szCs w:val="20"/>
        </w:rPr>
        <w:t xml:space="preserve">EUR </w:t>
      </w:r>
      <w:r w:rsidR="00E36C46">
        <w:rPr>
          <w:sz w:val="20"/>
          <w:szCs w:val="20"/>
        </w:rPr>
        <w:t xml:space="preserve">oraz </w:t>
      </w:r>
      <w:r w:rsidR="00E36C46" w:rsidRPr="00E36C46">
        <w:rPr>
          <w:sz w:val="20"/>
          <w:szCs w:val="20"/>
        </w:rPr>
        <w:t xml:space="preserve">sprzedaż biurowca </w:t>
      </w:r>
      <w:proofErr w:type="spellStart"/>
      <w:r w:rsidR="00E36C46" w:rsidRPr="00E36C46">
        <w:rPr>
          <w:sz w:val="20"/>
          <w:szCs w:val="20"/>
        </w:rPr>
        <w:t>Vibe</w:t>
      </w:r>
      <w:proofErr w:type="spellEnd"/>
      <w:r w:rsidR="00E36C46" w:rsidRPr="00E36C46">
        <w:rPr>
          <w:sz w:val="20"/>
          <w:szCs w:val="20"/>
        </w:rPr>
        <w:t xml:space="preserve"> przez </w:t>
      </w:r>
      <w:proofErr w:type="spellStart"/>
      <w:r w:rsidR="00E36C46" w:rsidRPr="00E36C46">
        <w:rPr>
          <w:sz w:val="20"/>
          <w:szCs w:val="20"/>
        </w:rPr>
        <w:t>Ghelamco</w:t>
      </w:r>
      <w:proofErr w:type="spellEnd"/>
      <w:r w:rsidR="00E36C46" w:rsidRPr="00E36C46">
        <w:rPr>
          <w:sz w:val="20"/>
          <w:szCs w:val="20"/>
        </w:rPr>
        <w:t xml:space="preserve"> do </w:t>
      </w:r>
      <w:proofErr w:type="spellStart"/>
      <w:r w:rsidR="00E36C46" w:rsidRPr="00E36C46">
        <w:rPr>
          <w:sz w:val="20"/>
          <w:szCs w:val="20"/>
        </w:rPr>
        <w:t>Manova</w:t>
      </w:r>
      <w:proofErr w:type="spellEnd"/>
      <w:r w:rsidR="00E36C46" w:rsidRPr="00E36C46">
        <w:rPr>
          <w:sz w:val="20"/>
          <w:szCs w:val="20"/>
        </w:rPr>
        <w:t xml:space="preserve"> Partners za około </w:t>
      </w:r>
      <w:r w:rsidR="001C70E4">
        <w:rPr>
          <w:sz w:val="20"/>
          <w:szCs w:val="20"/>
        </w:rPr>
        <w:t>70</w:t>
      </w:r>
      <w:r w:rsidR="0050471F">
        <w:rPr>
          <w:sz w:val="20"/>
          <w:szCs w:val="20"/>
        </w:rPr>
        <w:t xml:space="preserve"> </w:t>
      </w:r>
      <w:r w:rsidR="00E36C46" w:rsidRPr="00E36C46">
        <w:rPr>
          <w:sz w:val="20"/>
          <w:szCs w:val="20"/>
        </w:rPr>
        <w:t xml:space="preserve">mln </w:t>
      </w:r>
      <w:r w:rsidR="00680170">
        <w:rPr>
          <w:sz w:val="20"/>
          <w:szCs w:val="20"/>
        </w:rPr>
        <w:t>EUR</w:t>
      </w:r>
      <w:r w:rsidR="00E36C46" w:rsidRPr="00E36C46">
        <w:rPr>
          <w:sz w:val="20"/>
          <w:szCs w:val="20"/>
        </w:rPr>
        <w:t xml:space="preserve">. Inne wybrane transakcje </w:t>
      </w:r>
      <w:r w:rsidR="00E36C46">
        <w:rPr>
          <w:sz w:val="20"/>
          <w:szCs w:val="20"/>
        </w:rPr>
        <w:t xml:space="preserve">dotyczyły, m.in budynku Wronia 31 (zakup przez </w:t>
      </w:r>
      <w:proofErr w:type="spellStart"/>
      <w:r w:rsidR="00E36C46">
        <w:rPr>
          <w:sz w:val="20"/>
          <w:szCs w:val="20"/>
        </w:rPr>
        <w:t>Uniqua</w:t>
      </w:r>
      <w:proofErr w:type="spellEnd"/>
      <w:r w:rsidR="00E36C46">
        <w:rPr>
          <w:sz w:val="20"/>
          <w:szCs w:val="20"/>
        </w:rPr>
        <w:t xml:space="preserve"> Real </w:t>
      </w:r>
      <w:proofErr w:type="spellStart"/>
      <w:r w:rsidR="00E36C46">
        <w:rPr>
          <w:sz w:val="20"/>
          <w:szCs w:val="20"/>
        </w:rPr>
        <w:t>Estate</w:t>
      </w:r>
      <w:proofErr w:type="spellEnd"/>
      <w:r w:rsidR="00E36C46">
        <w:rPr>
          <w:sz w:val="20"/>
          <w:szCs w:val="20"/>
        </w:rPr>
        <w:t xml:space="preserve">) i </w:t>
      </w:r>
      <w:r w:rsidR="00E36C46" w:rsidRPr="00E36C46">
        <w:rPr>
          <w:sz w:val="20"/>
          <w:szCs w:val="20"/>
        </w:rPr>
        <w:t xml:space="preserve">High 5ive I &amp; II </w:t>
      </w:r>
      <w:r w:rsidR="00E36C46">
        <w:rPr>
          <w:sz w:val="20"/>
          <w:szCs w:val="20"/>
        </w:rPr>
        <w:t xml:space="preserve">(zakup przez </w:t>
      </w:r>
      <w:r w:rsidR="00E36C46" w:rsidRPr="00E36C46">
        <w:rPr>
          <w:sz w:val="20"/>
          <w:szCs w:val="20"/>
        </w:rPr>
        <w:t xml:space="preserve">Sterna Real </w:t>
      </w:r>
      <w:proofErr w:type="spellStart"/>
      <w:r w:rsidR="00E36C46" w:rsidRPr="00E36C46">
        <w:rPr>
          <w:sz w:val="20"/>
          <w:szCs w:val="20"/>
        </w:rPr>
        <w:t>Estate</w:t>
      </w:r>
      <w:proofErr w:type="spellEnd"/>
      <w:r w:rsidR="00E36C46" w:rsidRPr="00E36C46">
        <w:rPr>
          <w:sz w:val="20"/>
          <w:szCs w:val="20"/>
        </w:rPr>
        <w:t xml:space="preserve"> AB</w:t>
      </w:r>
      <w:r w:rsidR="00E36C46">
        <w:rPr>
          <w:sz w:val="20"/>
          <w:szCs w:val="20"/>
        </w:rPr>
        <w:t>)</w:t>
      </w:r>
      <w:r w:rsidR="00AE5185">
        <w:rPr>
          <w:sz w:val="20"/>
          <w:szCs w:val="20"/>
        </w:rPr>
        <w:t>.</w:t>
      </w:r>
    </w:p>
    <w:p w14:paraId="3253FB27" w14:textId="77777777" w:rsidR="002C5852" w:rsidRPr="009D66FB" w:rsidRDefault="002C5852" w:rsidP="002C5852">
      <w:pPr>
        <w:spacing w:line="240" w:lineRule="auto"/>
        <w:jc w:val="both"/>
        <w:rPr>
          <w:b/>
          <w:bCs/>
          <w:sz w:val="20"/>
          <w:szCs w:val="20"/>
        </w:rPr>
      </w:pPr>
      <w:r w:rsidRPr="009D66FB">
        <w:rPr>
          <w:b/>
          <w:bCs/>
          <w:sz w:val="20"/>
          <w:szCs w:val="20"/>
        </w:rPr>
        <w:t>Banki zwracają uwagę na jakość</w:t>
      </w:r>
    </w:p>
    <w:p w14:paraId="05226EE6" w14:textId="2612DBAC" w:rsidR="00E36C46" w:rsidRDefault="00E36C46" w:rsidP="002C5852">
      <w:pPr>
        <w:spacing w:line="240" w:lineRule="auto"/>
        <w:jc w:val="both"/>
        <w:rPr>
          <w:sz w:val="20"/>
          <w:szCs w:val="20"/>
        </w:rPr>
      </w:pPr>
      <w:r w:rsidRPr="00E36C46">
        <w:rPr>
          <w:sz w:val="20"/>
          <w:szCs w:val="20"/>
        </w:rPr>
        <w:t xml:space="preserve">Apetyt banków na finansowanie sektora biurowego jest zróżnicowany, z widocznym polepszeniem parametrów kredytowych dla budynków typu </w:t>
      </w:r>
      <w:proofErr w:type="spellStart"/>
      <w:r w:rsidRPr="00E36C46">
        <w:rPr>
          <w:sz w:val="20"/>
          <w:szCs w:val="20"/>
        </w:rPr>
        <w:t>prime</w:t>
      </w:r>
      <w:proofErr w:type="spellEnd"/>
      <w:r w:rsidRPr="00E36C46">
        <w:rPr>
          <w:sz w:val="20"/>
          <w:szCs w:val="20"/>
        </w:rPr>
        <w:t xml:space="preserve"> w Warszawie, niezmiennymi warunkami dla </w:t>
      </w:r>
      <w:r w:rsidR="00680170">
        <w:rPr>
          <w:sz w:val="20"/>
          <w:szCs w:val="20"/>
        </w:rPr>
        <w:t xml:space="preserve">takich obiektów </w:t>
      </w:r>
      <w:r w:rsidRPr="00E36C46">
        <w:rPr>
          <w:sz w:val="20"/>
          <w:szCs w:val="20"/>
        </w:rPr>
        <w:t xml:space="preserve">w miastach regionalnych oraz lekko ostrożnymi parametrami dla budynków starszych, z pustostanami lub krótkimi średnioważonymi okresami najmu. </w:t>
      </w:r>
    </w:p>
    <w:p w14:paraId="06AE06FF" w14:textId="2C2692D6" w:rsidR="00E36C46" w:rsidRPr="00D9436D" w:rsidRDefault="00E36C46" w:rsidP="00E36C46">
      <w:pPr>
        <w:spacing w:line="240" w:lineRule="auto"/>
        <w:jc w:val="both"/>
        <w:rPr>
          <w:i/>
          <w:iCs/>
          <w:sz w:val="20"/>
          <w:szCs w:val="20"/>
        </w:rPr>
      </w:pPr>
      <w:r w:rsidRPr="00E36C46">
        <w:rPr>
          <w:i/>
          <w:iCs/>
          <w:sz w:val="20"/>
          <w:szCs w:val="20"/>
        </w:rPr>
        <w:t xml:space="preserve">– Lekkie spadki pustostanów na rynku, wynikające z niskiego poziomu nowej podaży oraz poprawy sentymentu wśród najemców, zwiększają optymizm zarówno po stronie transakcyjnej, jak i finansowej. Warto zauważyć, że przy finansowaniu nabycia starszych budynków, banki często oferują także finansowanie dekarbonizacyjne na pokrycie nakładów na doprowadzenie budynku do standardu spełniającego kryteria ESG. Ponadto banki w dalszym ciągu mają większy apetyt na finansowanie nabycia budynku biurowego niż jego refinansowanie, a gotowość do </w:t>
      </w:r>
      <w:r w:rsidR="00680170">
        <w:rPr>
          <w:i/>
          <w:iCs/>
          <w:sz w:val="20"/>
          <w:szCs w:val="20"/>
        </w:rPr>
        <w:t>angażowania się w procesy</w:t>
      </w:r>
      <w:r w:rsidR="00680170" w:rsidRPr="00E36C46">
        <w:rPr>
          <w:i/>
          <w:iCs/>
          <w:sz w:val="20"/>
          <w:szCs w:val="20"/>
        </w:rPr>
        <w:t xml:space="preserve"> </w:t>
      </w:r>
      <w:r w:rsidRPr="00E36C46">
        <w:rPr>
          <w:i/>
          <w:iCs/>
          <w:sz w:val="20"/>
          <w:szCs w:val="20"/>
        </w:rPr>
        <w:t xml:space="preserve">budowy jest mocno uzależniona od wielkości </w:t>
      </w:r>
      <w:proofErr w:type="spellStart"/>
      <w:r w:rsidRPr="00E36C46">
        <w:rPr>
          <w:i/>
          <w:iCs/>
          <w:sz w:val="20"/>
          <w:szCs w:val="20"/>
        </w:rPr>
        <w:t>przednajmu</w:t>
      </w:r>
      <w:proofErr w:type="spellEnd"/>
      <w:r w:rsidRPr="00E36C46">
        <w:rPr>
          <w:i/>
          <w:iCs/>
          <w:sz w:val="20"/>
          <w:szCs w:val="20"/>
        </w:rPr>
        <w:t xml:space="preserve">, jakości dewelopera oraz planowanej strategii wyjścia z inwestycji – </w:t>
      </w:r>
      <w:r w:rsidRPr="009D66FB">
        <w:rPr>
          <w:sz w:val="20"/>
          <w:szCs w:val="20"/>
        </w:rPr>
        <w:t xml:space="preserve">tłumaczy </w:t>
      </w:r>
      <w:r w:rsidRPr="009D66FB">
        <w:rPr>
          <w:b/>
          <w:bCs/>
          <w:sz w:val="20"/>
          <w:szCs w:val="20"/>
        </w:rPr>
        <w:t>Mira Kantor-Pikus, MRICS, EMBA, Dyrektor Doradztwa Kapitałowego, Dłużnego i Alternatywnych Inwestycji, Cushman &amp; Wakefield. </w:t>
      </w:r>
    </w:p>
    <w:p w14:paraId="642BA2E3" w14:textId="5D4F229A" w:rsidR="00E36C46" w:rsidRDefault="00E36C46" w:rsidP="002C5852">
      <w:pPr>
        <w:spacing w:line="240" w:lineRule="auto"/>
        <w:jc w:val="both"/>
        <w:rPr>
          <w:sz w:val="20"/>
          <w:szCs w:val="20"/>
        </w:rPr>
      </w:pPr>
    </w:p>
    <w:p w14:paraId="40BD58B0" w14:textId="0FAF34ED" w:rsidR="002C5852" w:rsidRPr="009D66FB" w:rsidRDefault="00E36C46" w:rsidP="00E36C46">
      <w:pPr>
        <w:spacing w:line="240" w:lineRule="auto"/>
        <w:jc w:val="both"/>
        <w:rPr>
          <w:sz w:val="20"/>
          <w:szCs w:val="20"/>
        </w:rPr>
      </w:pPr>
      <w:r w:rsidRPr="00E36C46">
        <w:rPr>
          <w:sz w:val="20"/>
          <w:szCs w:val="20"/>
        </w:rPr>
        <w:t xml:space="preserve">Średni poziom finansowania dla istniejących budynków biurowych typu </w:t>
      </w:r>
      <w:proofErr w:type="spellStart"/>
      <w:r w:rsidRPr="00E36C46">
        <w:rPr>
          <w:sz w:val="20"/>
          <w:szCs w:val="20"/>
        </w:rPr>
        <w:t>prime</w:t>
      </w:r>
      <w:proofErr w:type="spellEnd"/>
      <w:r w:rsidRPr="00E36C46">
        <w:rPr>
          <w:sz w:val="20"/>
          <w:szCs w:val="20"/>
        </w:rPr>
        <w:t xml:space="preserve"> wynosi 50% wartości rynkowej ze spłatą ok. 2,5%-3% rocznie i spłatą balonową na koniec kredytu. Okres finansowania przeważnie wynosi maksymalnie 5 lat i jest uzależniony od średnioważonego okresu najmu w budynku. Widoczny jest dalszy nieznaczny spadek marż dla najlepszych budynków, które mogą wynosić ok. 2,0%-2,25% </w:t>
      </w:r>
      <w:proofErr w:type="spellStart"/>
      <w:r w:rsidRPr="00E36C46">
        <w:rPr>
          <w:sz w:val="20"/>
          <w:szCs w:val="20"/>
        </w:rPr>
        <w:t>p.a</w:t>
      </w:r>
      <w:proofErr w:type="spellEnd"/>
      <w:r w:rsidRPr="00E36C46">
        <w:rPr>
          <w:sz w:val="20"/>
          <w:szCs w:val="20"/>
        </w:rPr>
        <w:t>. Opłata przygotowawcza wynosi ok 0,5%-1% kwoty kredytu. Stopą bazową jest 1M lub 3M EURIBOR z ok</w:t>
      </w:r>
      <w:r>
        <w:rPr>
          <w:sz w:val="20"/>
          <w:szCs w:val="20"/>
        </w:rPr>
        <w:t xml:space="preserve">. </w:t>
      </w:r>
      <w:r w:rsidRPr="00E36C46">
        <w:rPr>
          <w:sz w:val="20"/>
          <w:szCs w:val="20"/>
        </w:rPr>
        <w:t xml:space="preserve">70% kredytu zabezpieczonego </w:t>
      </w:r>
      <w:proofErr w:type="spellStart"/>
      <w:r w:rsidRPr="00E36C46">
        <w:rPr>
          <w:sz w:val="20"/>
          <w:szCs w:val="20"/>
        </w:rPr>
        <w:t>hedgingiem</w:t>
      </w:r>
      <w:proofErr w:type="spellEnd"/>
      <w:r w:rsidRPr="00E36C46">
        <w:rPr>
          <w:sz w:val="20"/>
          <w:szCs w:val="20"/>
        </w:rPr>
        <w:t xml:space="preserve"> w postaci IRS lub </w:t>
      </w:r>
      <w:r>
        <w:rPr>
          <w:sz w:val="20"/>
          <w:szCs w:val="20"/>
        </w:rPr>
        <w:t>opcji.</w:t>
      </w:r>
    </w:p>
    <w:p w14:paraId="24A7950F" w14:textId="77777777" w:rsidR="00953949" w:rsidRDefault="00953949" w:rsidP="00096548">
      <w:pPr>
        <w:spacing w:line="240" w:lineRule="auto"/>
        <w:jc w:val="both"/>
        <w:rPr>
          <w:b/>
          <w:sz w:val="16"/>
          <w:szCs w:val="16"/>
        </w:rPr>
      </w:pPr>
    </w:p>
    <w:p w14:paraId="482909FA" w14:textId="4C0E1CC4" w:rsidR="004B3D1A" w:rsidRPr="00953949" w:rsidRDefault="004B3D1A" w:rsidP="00953949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>O Cushman &amp; Wakefiel</w:t>
      </w:r>
      <w:r w:rsidR="00AC6DF8" w:rsidRPr="007E6CDD">
        <w:rPr>
          <w:b/>
          <w:sz w:val="16"/>
          <w:szCs w:val="16"/>
        </w:rPr>
        <w:t>d</w:t>
      </w:r>
    </w:p>
    <w:p w14:paraId="74A9581D" w14:textId="77777777" w:rsidR="00953949" w:rsidRPr="004170C0" w:rsidRDefault="00953949" w:rsidP="00953949">
      <w:pPr>
        <w:jc w:val="both"/>
        <w:rPr>
          <w:bCs/>
          <w:sz w:val="16"/>
          <w:szCs w:val="16"/>
        </w:rPr>
      </w:pPr>
      <w:r w:rsidRPr="004170C0">
        <w:rPr>
          <w:bCs/>
          <w:sz w:val="16"/>
          <w:szCs w:val="16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proofErr w:type="spellStart"/>
      <w:r w:rsidRPr="004170C0">
        <w:rPr>
          <w:bCs/>
          <w:i/>
          <w:iCs/>
          <w:sz w:val="16"/>
          <w:szCs w:val="16"/>
        </w:rPr>
        <w:t>Better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never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settles</w:t>
      </w:r>
      <w:proofErr w:type="spellEnd"/>
      <w:r w:rsidRPr="004170C0">
        <w:rPr>
          <w:bCs/>
          <w:sz w:val="16"/>
          <w:szCs w:val="16"/>
        </w:rPr>
        <w:t> Cushman &amp; Wakefield otrzymuje wiele wyróżnień oraz nagród w konkursach branżowych i biznesowych. Dodatkowe informacje na stronie </w:t>
      </w:r>
      <w:hyperlink r:id="rId11" w:tgtFrame="_blank" w:tooltip="http://www.cushmanwakefield.com" w:history="1">
        <w:r w:rsidRPr="004170C0">
          <w:rPr>
            <w:rStyle w:val="Hipercze"/>
            <w:bCs/>
            <w:sz w:val="16"/>
            <w:szCs w:val="16"/>
          </w:rPr>
          <w:t>www.cushmanwakefield.com</w:t>
        </w:r>
      </w:hyperlink>
      <w:r w:rsidRPr="004170C0">
        <w:rPr>
          <w:bCs/>
          <w:sz w:val="16"/>
          <w:szCs w:val="16"/>
        </w:rPr>
        <w:t>.</w:t>
      </w:r>
    </w:p>
    <w:p w14:paraId="64A83442" w14:textId="3BDC5694" w:rsidR="00BC2537" w:rsidRPr="00AF11EE" w:rsidRDefault="00A13F0B" w:rsidP="0017521E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="00CC60E7"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 w:rsidR="0085202E">
        <w:rPr>
          <w:rFonts w:eastAsia="Times New Roman"/>
          <w:b/>
          <w:bCs/>
          <w:sz w:val="16"/>
          <w:szCs w:val="16"/>
          <w:lang w:eastAsia="en-US"/>
        </w:rPr>
        <w:t>-</w:t>
      </w:r>
    </w:p>
    <w:sectPr w:rsidR="00BC2537" w:rsidRPr="00AF11EE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DEA5" w14:textId="77777777" w:rsidR="00FF199F" w:rsidRDefault="00FF199F">
      <w:pPr>
        <w:spacing w:after="0" w:line="240" w:lineRule="auto"/>
      </w:pPr>
      <w:r>
        <w:separator/>
      </w:r>
    </w:p>
  </w:endnote>
  <w:endnote w:type="continuationSeparator" w:id="0">
    <w:p w14:paraId="65E59435" w14:textId="77777777" w:rsidR="00FF199F" w:rsidRDefault="00FF199F">
      <w:pPr>
        <w:spacing w:after="0" w:line="240" w:lineRule="auto"/>
      </w:pPr>
      <w:r>
        <w:continuationSeparator/>
      </w:r>
    </w:p>
  </w:endnote>
  <w:endnote w:type="continuationNotice" w:id="1">
    <w:p w14:paraId="74F489FD" w14:textId="77777777" w:rsidR="00FF199F" w:rsidRDefault="00FF19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D46223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8582" w:type="dxa"/>
            <w:tblLayout w:type="fixed"/>
            <w:tblLook w:val="04A0" w:firstRow="1" w:lastRow="0" w:firstColumn="1" w:lastColumn="0" w:noHBand="0" w:noVBand="1"/>
          </w:tblPr>
          <w:tblGrid>
            <w:gridCol w:w="4244"/>
            <w:gridCol w:w="4102"/>
            <w:gridCol w:w="236"/>
          </w:tblGrid>
          <w:tr w:rsidR="003E5A4E" w:rsidRPr="00D46223" w14:paraId="73319B5E" w14:textId="77777777" w:rsidTr="003E5A4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3" w:type="dxa"/>
              </w:tcPr>
              <w:tbl>
                <w:tblPr>
                  <w:tblStyle w:val="Tabela-Siatka"/>
                  <w:tblW w:w="1217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</w:tblGrid>
                <w:tr w:rsidR="003E5A4E" w:rsidRPr="00D46223" w14:paraId="32B5F073" w14:textId="77777777" w:rsidTr="003E5A4E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Karolina Samczyńska-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Fiślak</w:t>
                      </w:r>
                      <w:proofErr w:type="spellEnd"/>
                    </w:p>
                    <w:p w14:paraId="03FB117E" w14:textId="7777777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3E5A4E" w:rsidRPr="009D1ABC" w:rsidRDefault="003E5A4E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47EA004" w:rsidR="003E5A4E" w:rsidRPr="009D1ABC" w:rsidRDefault="003E5A4E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B37771">
                          <w:rPr>
                            <w:rStyle w:val="Hipercze"/>
                            <w:lang w:val="de-AT"/>
                          </w:rPr>
                          <w:t>karolina.samczynska@cushwake.pl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4668A659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Magdalena Znyk-Ossowska</w:t>
                      </w:r>
                    </w:p>
                    <w:p w14:paraId="37C27841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Linkleaders</w:t>
                      </w:r>
                    </w:p>
                    <w:p w14:paraId="3A8C19E0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bCs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Tel: +48 </w:t>
                      </w:r>
                      <w:r w:rsidRPr="00675B1B">
                        <w:rPr>
                          <w:rFonts w:eastAsia="Arial" w:cs="Arial"/>
                          <w:color w:val="696B6B"/>
                          <w:szCs w:val="18"/>
                          <w:lang w:val="pl-PL" w:eastAsia="pl-PL"/>
                        </w:rPr>
                        <w:t>502 556 846</w:t>
                      </w:r>
                    </w:p>
                    <w:p w14:paraId="2BC96C0F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</w:p>
                    <w:p w14:paraId="69435270" w14:textId="77777777" w:rsidR="003E5A4E" w:rsidRPr="007B2741" w:rsidRDefault="003E5A4E" w:rsidP="003E5A4E">
                      <w:pPr>
                        <w:pStyle w:val="ContactDetail"/>
                        <w:spacing w:line="240" w:lineRule="auto"/>
                        <w:rPr>
                          <w:lang w:val="en-US"/>
                        </w:rPr>
                      </w:pPr>
                      <w:r w:rsidRPr="007B2741">
                        <w:rPr>
                          <w:rStyle w:val="Brak"/>
                          <w:color w:val="696B6B"/>
                          <w:u w:color="696B6B"/>
                          <w:lang w:val="en-US"/>
                        </w:rPr>
                        <w:t xml:space="preserve">e-mail: </w:t>
                      </w:r>
                      <w:r>
                        <w:rPr>
                          <w:rStyle w:val="Hyperlink0"/>
                          <w:color w:val="008B98"/>
                          <w:lang w:val="en-US"/>
                        </w:rPr>
                        <w:t>Magdalena.ossowska@linkleaders.pl</w:t>
                      </w:r>
                    </w:p>
                    <w:p w14:paraId="397E05EC" w14:textId="77777777" w:rsidR="003E5A4E" w:rsidRPr="00167436" w:rsidRDefault="003E5A4E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4111" w:type="dxa"/>
              </w:tcPr>
              <w:p w14:paraId="4ED69CDE" w14:textId="77777777" w:rsidR="00025C81" w:rsidRPr="003E5A4E" w:rsidRDefault="00025C81" w:rsidP="003E5A4E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s-ES_tradnl"/>
                  </w:rPr>
                </w:pPr>
              </w:p>
            </w:tc>
            <w:tc>
              <w:tcPr>
                <w:tcW w:w="218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D46223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>
            <w:fldChar w:fldCharType="begin"/>
          </w:r>
          <w:r w:rsidRPr="00A807BA">
            <w:rPr>
              <w:lang w:val="en-GB"/>
              <w:rPrChange w:id="1" w:author="Vitalii Arkhypenko/POL" w:date="2025-10-29T15:11:00Z" w16du:dateUtc="2025-10-29T14:11:00Z">
                <w:rPr/>
              </w:rPrChange>
            </w:rPr>
            <w:instrText>HYPERLINK "mailto:first.last@cushwake.com"</w:instrText>
          </w:r>
          <w:r>
            <w:fldChar w:fldCharType="separate"/>
          </w:r>
          <w:r w:rsidRPr="00D4241D">
            <w:rPr>
              <w:rStyle w:val="Hipercze"/>
              <w:sz w:val="18"/>
              <w:szCs w:val="18"/>
              <w:lang w:val="en-GB"/>
            </w:rPr>
            <w:t>first.last@cushwake.com</w:t>
          </w:r>
          <w:r>
            <w:fldChar w:fldCharType="end"/>
          </w:r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99BE" w14:textId="77777777" w:rsidR="00FF199F" w:rsidRDefault="00FF199F">
      <w:pPr>
        <w:spacing w:after="0" w:line="240" w:lineRule="auto"/>
      </w:pPr>
      <w:r>
        <w:separator/>
      </w:r>
    </w:p>
  </w:footnote>
  <w:footnote w:type="continuationSeparator" w:id="0">
    <w:p w14:paraId="390DFC1F" w14:textId="77777777" w:rsidR="00FF199F" w:rsidRDefault="00FF199F">
      <w:pPr>
        <w:spacing w:after="0" w:line="240" w:lineRule="auto"/>
      </w:pPr>
      <w:r>
        <w:continuationSeparator/>
      </w:r>
    </w:p>
  </w:footnote>
  <w:footnote w:type="continuationNotice" w:id="1">
    <w:p w14:paraId="2C0D78F7" w14:textId="77777777" w:rsidR="00FF199F" w:rsidRDefault="00FF19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C2128"/>
    <w:multiLevelType w:val="multilevel"/>
    <w:tmpl w:val="42F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358402">
    <w:abstractNumId w:val="3"/>
  </w:num>
  <w:num w:numId="2" w16cid:durableId="922646369">
    <w:abstractNumId w:val="0"/>
  </w:num>
  <w:num w:numId="3" w16cid:durableId="1309627044">
    <w:abstractNumId w:val="2"/>
  </w:num>
  <w:num w:numId="4" w16cid:durableId="1038896537">
    <w:abstractNumId w:val="1"/>
  </w:num>
  <w:num w:numId="5" w16cid:durableId="9745397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talii Arkhypenko/POL">
    <w15:presenceInfo w15:providerId="AD" w15:userId="S::Vitalii.Arkhypenko@cushwake.com::1c15a645-9867-4ae9-a74e-2819f74bdf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1DF4"/>
    <w:rsid w:val="00005FD5"/>
    <w:rsid w:val="000060A2"/>
    <w:rsid w:val="00007243"/>
    <w:rsid w:val="00013F59"/>
    <w:rsid w:val="00017267"/>
    <w:rsid w:val="000203A2"/>
    <w:rsid w:val="000251E4"/>
    <w:rsid w:val="00025C81"/>
    <w:rsid w:val="00027F57"/>
    <w:rsid w:val="0003245E"/>
    <w:rsid w:val="00044C5B"/>
    <w:rsid w:val="00051B59"/>
    <w:rsid w:val="00063FC7"/>
    <w:rsid w:val="00064A4E"/>
    <w:rsid w:val="00067FD0"/>
    <w:rsid w:val="000700E2"/>
    <w:rsid w:val="000720F5"/>
    <w:rsid w:val="0008371E"/>
    <w:rsid w:val="00083F43"/>
    <w:rsid w:val="000854D7"/>
    <w:rsid w:val="00086C80"/>
    <w:rsid w:val="0008772D"/>
    <w:rsid w:val="00092C27"/>
    <w:rsid w:val="00093540"/>
    <w:rsid w:val="00096548"/>
    <w:rsid w:val="000A52F1"/>
    <w:rsid w:val="000A54A7"/>
    <w:rsid w:val="000A622E"/>
    <w:rsid w:val="000B142D"/>
    <w:rsid w:val="000B29DE"/>
    <w:rsid w:val="000B4E80"/>
    <w:rsid w:val="000B57CB"/>
    <w:rsid w:val="000C30AD"/>
    <w:rsid w:val="000C4210"/>
    <w:rsid w:val="000C4294"/>
    <w:rsid w:val="000C585C"/>
    <w:rsid w:val="000D4656"/>
    <w:rsid w:val="000D5790"/>
    <w:rsid w:val="000D5FED"/>
    <w:rsid w:val="000D68FD"/>
    <w:rsid w:val="000D7839"/>
    <w:rsid w:val="000F64E0"/>
    <w:rsid w:val="000F6702"/>
    <w:rsid w:val="000F7964"/>
    <w:rsid w:val="001013AF"/>
    <w:rsid w:val="001062D1"/>
    <w:rsid w:val="00111135"/>
    <w:rsid w:val="001141D8"/>
    <w:rsid w:val="001146DD"/>
    <w:rsid w:val="00114AF8"/>
    <w:rsid w:val="0011559A"/>
    <w:rsid w:val="0012061A"/>
    <w:rsid w:val="00122668"/>
    <w:rsid w:val="001231BC"/>
    <w:rsid w:val="00132CB9"/>
    <w:rsid w:val="00132F07"/>
    <w:rsid w:val="00140D17"/>
    <w:rsid w:val="00140D8B"/>
    <w:rsid w:val="00150568"/>
    <w:rsid w:val="00150F3F"/>
    <w:rsid w:val="00156F9C"/>
    <w:rsid w:val="00160B7F"/>
    <w:rsid w:val="00160C7A"/>
    <w:rsid w:val="001635F6"/>
    <w:rsid w:val="001644DF"/>
    <w:rsid w:val="00166861"/>
    <w:rsid w:val="00166F71"/>
    <w:rsid w:val="00167436"/>
    <w:rsid w:val="001745E4"/>
    <w:rsid w:val="00174EBA"/>
    <w:rsid w:val="0017521E"/>
    <w:rsid w:val="00175FB4"/>
    <w:rsid w:val="00182C4F"/>
    <w:rsid w:val="00185967"/>
    <w:rsid w:val="001866B5"/>
    <w:rsid w:val="0018688B"/>
    <w:rsid w:val="00190FB3"/>
    <w:rsid w:val="001945FB"/>
    <w:rsid w:val="001A4929"/>
    <w:rsid w:val="001A56D9"/>
    <w:rsid w:val="001A7372"/>
    <w:rsid w:val="001B5F5F"/>
    <w:rsid w:val="001B5FA0"/>
    <w:rsid w:val="001B7AE3"/>
    <w:rsid w:val="001C0591"/>
    <w:rsid w:val="001C7005"/>
    <w:rsid w:val="001C70E4"/>
    <w:rsid w:val="001D08F3"/>
    <w:rsid w:val="001D401E"/>
    <w:rsid w:val="001D5EF0"/>
    <w:rsid w:val="001D617A"/>
    <w:rsid w:val="001E06FB"/>
    <w:rsid w:val="001E07D4"/>
    <w:rsid w:val="001E0E42"/>
    <w:rsid w:val="001E16E8"/>
    <w:rsid w:val="001E3C79"/>
    <w:rsid w:val="001E4E45"/>
    <w:rsid w:val="001E56EB"/>
    <w:rsid w:val="001F406E"/>
    <w:rsid w:val="001F7E37"/>
    <w:rsid w:val="00206001"/>
    <w:rsid w:val="002117B9"/>
    <w:rsid w:val="002125FE"/>
    <w:rsid w:val="0021678E"/>
    <w:rsid w:val="00217BD6"/>
    <w:rsid w:val="002240B1"/>
    <w:rsid w:val="00224AA7"/>
    <w:rsid w:val="00227EAC"/>
    <w:rsid w:val="00231BCD"/>
    <w:rsid w:val="00236B04"/>
    <w:rsid w:val="002426EF"/>
    <w:rsid w:val="0024400C"/>
    <w:rsid w:val="00246115"/>
    <w:rsid w:val="00250183"/>
    <w:rsid w:val="00251824"/>
    <w:rsid w:val="00251F00"/>
    <w:rsid w:val="00257ED3"/>
    <w:rsid w:val="0026004C"/>
    <w:rsid w:val="0026004F"/>
    <w:rsid w:val="00260C7D"/>
    <w:rsid w:val="00261AA0"/>
    <w:rsid w:val="00265C1D"/>
    <w:rsid w:val="00265F1D"/>
    <w:rsid w:val="0026615D"/>
    <w:rsid w:val="002730A2"/>
    <w:rsid w:val="00275982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109F"/>
    <w:rsid w:val="00293086"/>
    <w:rsid w:val="00293E07"/>
    <w:rsid w:val="00293ED2"/>
    <w:rsid w:val="0029437C"/>
    <w:rsid w:val="002958EB"/>
    <w:rsid w:val="0029652C"/>
    <w:rsid w:val="002967FF"/>
    <w:rsid w:val="002A37FC"/>
    <w:rsid w:val="002B381B"/>
    <w:rsid w:val="002B4716"/>
    <w:rsid w:val="002B6B39"/>
    <w:rsid w:val="002C1DFF"/>
    <w:rsid w:val="002C480C"/>
    <w:rsid w:val="002C5852"/>
    <w:rsid w:val="002C5887"/>
    <w:rsid w:val="002D0B42"/>
    <w:rsid w:val="002D1D3A"/>
    <w:rsid w:val="002D4EC6"/>
    <w:rsid w:val="002D5829"/>
    <w:rsid w:val="002D7779"/>
    <w:rsid w:val="002E0BB0"/>
    <w:rsid w:val="002E1729"/>
    <w:rsid w:val="002E20D4"/>
    <w:rsid w:val="002E2D30"/>
    <w:rsid w:val="002E31B2"/>
    <w:rsid w:val="002F0186"/>
    <w:rsid w:val="002F0666"/>
    <w:rsid w:val="002F08E1"/>
    <w:rsid w:val="002F0F48"/>
    <w:rsid w:val="00300BC4"/>
    <w:rsid w:val="00302886"/>
    <w:rsid w:val="00306BFA"/>
    <w:rsid w:val="00307E44"/>
    <w:rsid w:val="00310AEF"/>
    <w:rsid w:val="00310D2A"/>
    <w:rsid w:val="003156DD"/>
    <w:rsid w:val="0032157F"/>
    <w:rsid w:val="0032389F"/>
    <w:rsid w:val="00342C1B"/>
    <w:rsid w:val="0034418D"/>
    <w:rsid w:val="00345D04"/>
    <w:rsid w:val="00345D09"/>
    <w:rsid w:val="0035396B"/>
    <w:rsid w:val="00356977"/>
    <w:rsid w:val="00361E86"/>
    <w:rsid w:val="00364117"/>
    <w:rsid w:val="00371AFD"/>
    <w:rsid w:val="00374DB8"/>
    <w:rsid w:val="00383926"/>
    <w:rsid w:val="00385CB8"/>
    <w:rsid w:val="0038604F"/>
    <w:rsid w:val="00387CAF"/>
    <w:rsid w:val="003936DF"/>
    <w:rsid w:val="003A24D4"/>
    <w:rsid w:val="003A693E"/>
    <w:rsid w:val="003A70E2"/>
    <w:rsid w:val="003B3560"/>
    <w:rsid w:val="003B78C7"/>
    <w:rsid w:val="003C1BBA"/>
    <w:rsid w:val="003C1E58"/>
    <w:rsid w:val="003C4DFD"/>
    <w:rsid w:val="003C5B29"/>
    <w:rsid w:val="003C791A"/>
    <w:rsid w:val="003D1A23"/>
    <w:rsid w:val="003E003A"/>
    <w:rsid w:val="003E0201"/>
    <w:rsid w:val="003E3F99"/>
    <w:rsid w:val="003E5A4E"/>
    <w:rsid w:val="003F4955"/>
    <w:rsid w:val="003F4AAD"/>
    <w:rsid w:val="003F60EA"/>
    <w:rsid w:val="004001BC"/>
    <w:rsid w:val="00403626"/>
    <w:rsid w:val="00410D62"/>
    <w:rsid w:val="004112C0"/>
    <w:rsid w:val="0042183C"/>
    <w:rsid w:val="00421DC1"/>
    <w:rsid w:val="00422760"/>
    <w:rsid w:val="004274A1"/>
    <w:rsid w:val="004329C4"/>
    <w:rsid w:val="00432ACA"/>
    <w:rsid w:val="00435D4F"/>
    <w:rsid w:val="00436CE4"/>
    <w:rsid w:val="0043767F"/>
    <w:rsid w:val="00440D65"/>
    <w:rsid w:val="00443EFE"/>
    <w:rsid w:val="00451C25"/>
    <w:rsid w:val="00452FD6"/>
    <w:rsid w:val="00454311"/>
    <w:rsid w:val="004557CD"/>
    <w:rsid w:val="00455DED"/>
    <w:rsid w:val="00456C2D"/>
    <w:rsid w:val="00457545"/>
    <w:rsid w:val="00461B2F"/>
    <w:rsid w:val="00462B62"/>
    <w:rsid w:val="00463B77"/>
    <w:rsid w:val="00464434"/>
    <w:rsid w:val="00464B72"/>
    <w:rsid w:val="00466300"/>
    <w:rsid w:val="00466ABC"/>
    <w:rsid w:val="004678CA"/>
    <w:rsid w:val="004701AA"/>
    <w:rsid w:val="00471A22"/>
    <w:rsid w:val="004900F3"/>
    <w:rsid w:val="00490581"/>
    <w:rsid w:val="00491EA1"/>
    <w:rsid w:val="0049367E"/>
    <w:rsid w:val="004939D4"/>
    <w:rsid w:val="004972E1"/>
    <w:rsid w:val="00497908"/>
    <w:rsid w:val="004A01E8"/>
    <w:rsid w:val="004A5B66"/>
    <w:rsid w:val="004B083C"/>
    <w:rsid w:val="004B0979"/>
    <w:rsid w:val="004B3D1A"/>
    <w:rsid w:val="004B5A43"/>
    <w:rsid w:val="004C2C37"/>
    <w:rsid w:val="004C49CA"/>
    <w:rsid w:val="004D07CC"/>
    <w:rsid w:val="004D080E"/>
    <w:rsid w:val="004D16D5"/>
    <w:rsid w:val="004D68AD"/>
    <w:rsid w:val="004D6A3C"/>
    <w:rsid w:val="004D7C3B"/>
    <w:rsid w:val="004E0237"/>
    <w:rsid w:val="004E46E9"/>
    <w:rsid w:val="004E5A7E"/>
    <w:rsid w:val="004E7185"/>
    <w:rsid w:val="00502E72"/>
    <w:rsid w:val="0050412F"/>
    <w:rsid w:val="0050471F"/>
    <w:rsid w:val="00512047"/>
    <w:rsid w:val="00512ADF"/>
    <w:rsid w:val="0051329B"/>
    <w:rsid w:val="0051329D"/>
    <w:rsid w:val="005136A0"/>
    <w:rsid w:val="0051644B"/>
    <w:rsid w:val="00517B59"/>
    <w:rsid w:val="00520076"/>
    <w:rsid w:val="005229AB"/>
    <w:rsid w:val="00526757"/>
    <w:rsid w:val="00531CF4"/>
    <w:rsid w:val="00531D93"/>
    <w:rsid w:val="005323BE"/>
    <w:rsid w:val="005352C0"/>
    <w:rsid w:val="005369D7"/>
    <w:rsid w:val="00537747"/>
    <w:rsid w:val="00541459"/>
    <w:rsid w:val="00541D5B"/>
    <w:rsid w:val="00552477"/>
    <w:rsid w:val="00553B06"/>
    <w:rsid w:val="0055434C"/>
    <w:rsid w:val="00561829"/>
    <w:rsid w:val="005631C3"/>
    <w:rsid w:val="00566AB7"/>
    <w:rsid w:val="00577005"/>
    <w:rsid w:val="00580A25"/>
    <w:rsid w:val="0058421C"/>
    <w:rsid w:val="00584862"/>
    <w:rsid w:val="00585A4F"/>
    <w:rsid w:val="005864F4"/>
    <w:rsid w:val="00587724"/>
    <w:rsid w:val="005878DD"/>
    <w:rsid w:val="00591DBB"/>
    <w:rsid w:val="00592299"/>
    <w:rsid w:val="00593E4C"/>
    <w:rsid w:val="005A4560"/>
    <w:rsid w:val="005A703D"/>
    <w:rsid w:val="005B2303"/>
    <w:rsid w:val="005B4D77"/>
    <w:rsid w:val="005B5063"/>
    <w:rsid w:val="005C01D2"/>
    <w:rsid w:val="005C2765"/>
    <w:rsid w:val="005C3C3C"/>
    <w:rsid w:val="005C4360"/>
    <w:rsid w:val="005C6332"/>
    <w:rsid w:val="005C72CD"/>
    <w:rsid w:val="005D033F"/>
    <w:rsid w:val="005D05E5"/>
    <w:rsid w:val="005D06CC"/>
    <w:rsid w:val="005D1698"/>
    <w:rsid w:val="005D3204"/>
    <w:rsid w:val="005D3C92"/>
    <w:rsid w:val="005D4DD1"/>
    <w:rsid w:val="005D5EEB"/>
    <w:rsid w:val="005E0A93"/>
    <w:rsid w:val="005E14FE"/>
    <w:rsid w:val="005E2C9B"/>
    <w:rsid w:val="005E2EC7"/>
    <w:rsid w:val="005E36C1"/>
    <w:rsid w:val="005E49BA"/>
    <w:rsid w:val="005F709A"/>
    <w:rsid w:val="005F7212"/>
    <w:rsid w:val="00601B86"/>
    <w:rsid w:val="006020AF"/>
    <w:rsid w:val="00603782"/>
    <w:rsid w:val="00606E7D"/>
    <w:rsid w:val="00606F29"/>
    <w:rsid w:val="00607408"/>
    <w:rsid w:val="00612A79"/>
    <w:rsid w:val="006151F1"/>
    <w:rsid w:val="00617929"/>
    <w:rsid w:val="00620AD0"/>
    <w:rsid w:val="00624E73"/>
    <w:rsid w:val="00625117"/>
    <w:rsid w:val="00625DBC"/>
    <w:rsid w:val="00626706"/>
    <w:rsid w:val="00632797"/>
    <w:rsid w:val="00634853"/>
    <w:rsid w:val="00634A82"/>
    <w:rsid w:val="00635D7A"/>
    <w:rsid w:val="006367C0"/>
    <w:rsid w:val="00640038"/>
    <w:rsid w:val="00647BF0"/>
    <w:rsid w:val="00653D04"/>
    <w:rsid w:val="00654588"/>
    <w:rsid w:val="00655594"/>
    <w:rsid w:val="00661892"/>
    <w:rsid w:val="00662194"/>
    <w:rsid w:val="00670CB1"/>
    <w:rsid w:val="006714A0"/>
    <w:rsid w:val="00674476"/>
    <w:rsid w:val="00674AAF"/>
    <w:rsid w:val="00675B1B"/>
    <w:rsid w:val="0067607F"/>
    <w:rsid w:val="00680170"/>
    <w:rsid w:val="006807CC"/>
    <w:rsid w:val="00682152"/>
    <w:rsid w:val="00682F1F"/>
    <w:rsid w:val="00683345"/>
    <w:rsid w:val="0068616F"/>
    <w:rsid w:val="00686CF4"/>
    <w:rsid w:val="0069258A"/>
    <w:rsid w:val="00695E5E"/>
    <w:rsid w:val="00697D3A"/>
    <w:rsid w:val="006A32B9"/>
    <w:rsid w:val="006B114D"/>
    <w:rsid w:val="006B3391"/>
    <w:rsid w:val="006B635B"/>
    <w:rsid w:val="006B6EBE"/>
    <w:rsid w:val="006C3D4A"/>
    <w:rsid w:val="006C449A"/>
    <w:rsid w:val="006C62BD"/>
    <w:rsid w:val="006C6343"/>
    <w:rsid w:val="006C7EF7"/>
    <w:rsid w:val="006D189F"/>
    <w:rsid w:val="006D1EF1"/>
    <w:rsid w:val="006D48DF"/>
    <w:rsid w:val="006D68E0"/>
    <w:rsid w:val="006E00D9"/>
    <w:rsid w:val="006E2861"/>
    <w:rsid w:val="006E2DCD"/>
    <w:rsid w:val="006E5816"/>
    <w:rsid w:val="006F06A0"/>
    <w:rsid w:val="006F5276"/>
    <w:rsid w:val="007014E6"/>
    <w:rsid w:val="00703171"/>
    <w:rsid w:val="00706617"/>
    <w:rsid w:val="00710F25"/>
    <w:rsid w:val="00712ED4"/>
    <w:rsid w:val="00717324"/>
    <w:rsid w:val="00725E13"/>
    <w:rsid w:val="007326D4"/>
    <w:rsid w:val="00736585"/>
    <w:rsid w:val="00737C14"/>
    <w:rsid w:val="00742036"/>
    <w:rsid w:val="007434AC"/>
    <w:rsid w:val="00744CDB"/>
    <w:rsid w:val="0074628D"/>
    <w:rsid w:val="00747126"/>
    <w:rsid w:val="0075095C"/>
    <w:rsid w:val="00751E88"/>
    <w:rsid w:val="00753387"/>
    <w:rsid w:val="00754C88"/>
    <w:rsid w:val="00757A3F"/>
    <w:rsid w:val="007640FE"/>
    <w:rsid w:val="00770B4C"/>
    <w:rsid w:val="00771251"/>
    <w:rsid w:val="00772C4F"/>
    <w:rsid w:val="00773AAB"/>
    <w:rsid w:val="00775E16"/>
    <w:rsid w:val="00781D70"/>
    <w:rsid w:val="00782A9B"/>
    <w:rsid w:val="00783672"/>
    <w:rsid w:val="007861CB"/>
    <w:rsid w:val="00790531"/>
    <w:rsid w:val="00790E9B"/>
    <w:rsid w:val="0079250E"/>
    <w:rsid w:val="00792ECE"/>
    <w:rsid w:val="007A231E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B7F52"/>
    <w:rsid w:val="007C69D0"/>
    <w:rsid w:val="007D2192"/>
    <w:rsid w:val="007D4408"/>
    <w:rsid w:val="007D5933"/>
    <w:rsid w:val="007D6089"/>
    <w:rsid w:val="007E6CDD"/>
    <w:rsid w:val="007F13AB"/>
    <w:rsid w:val="007F2FE9"/>
    <w:rsid w:val="007F5890"/>
    <w:rsid w:val="007F634B"/>
    <w:rsid w:val="007F69FA"/>
    <w:rsid w:val="008014DA"/>
    <w:rsid w:val="00802ECA"/>
    <w:rsid w:val="0081370C"/>
    <w:rsid w:val="0081778B"/>
    <w:rsid w:val="0082036C"/>
    <w:rsid w:val="00821380"/>
    <w:rsid w:val="00824654"/>
    <w:rsid w:val="00824D18"/>
    <w:rsid w:val="00824F73"/>
    <w:rsid w:val="0083179A"/>
    <w:rsid w:val="00831B7D"/>
    <w:rsid w:val="00832C08"/>
    <w:rsid w:val="0083469F"/>
    <w:rsid w:val="00842064"/>
    <w:rsid w:val="0084290C"/>
    <w:rsid w:val="00843BB8"/>
    <w:rsid w:val="008459FF"/>
    <w:rsid w:val="00845A7F"/>
    <w:rsid w:val="0085202E"/>
    <w:rsid w:val="00856BE4"/>
    <w:rsid w:val="00866DDD"/>
    <w:rsid w:val="00871766"/>
    <w:rsid w:val="00872092"/>
    <w:rsid w:val="00874BB3"/>
    <w:rsid w:val="008753CF"/>
    <w:rsid w:val="008772B7"/>
    <w:rsid w:val="0087786B"/>
    <w:rsid w:val="00880E20"/>
    <w:rsid w:val="00881769"/>
    <w:rsid w:val="00882E1D"/>
    <w:rsid w:val="008848B1"/>
    <w:rsid w:val="00885E0C"/>
    <w:rsid w:val="00895739"/>
    <w:rsid w:val="00895809"/>
    <w:rsid w:val="00895F80"/>
    <w:rsid w:val="008972B1"/>
    <w:rsid w:val="008974F3"/>
    <w:rsid w:val="008A26A0"/>
    <w:rsid w:val="008A3F07"/>
    <w:rsid w:val="008B26B4"/>
    <w:rsid w:val="008B4539"/>
    <w:rsid w:val="008B5039"/>
    <w:rsid w:val="008C14E5"/>
    <w:rsid w:val="008C42CD"/>
    <w:rsid w:val="008C5675"/>
    <w:rsid w:val="008D009F"/>
    <w:rsid w:val="008D2A14"/>
    <w:rsid w:val="008E5B6C"/>
    <w:rsid w:val="008F01FC"/>
    <w:rsid w:val="008F034B"/>
    <w:rsid w:val="008F0AAC"/>
    <w:rsid w:val="008F1B4D"/>
    <w:rsid w:val="008F2C02"/>
    <w:rsid w:val="008F2CFF"/>
    <w:rsid w:val="008F77DD"/>
    <w:rsid w:val="008F7EA7"/>
    <w:rsid w:val="00901841"/>
    <w:rsid w:val="00904E04"/>
    <w:rsid w:val="00911FF4"/>
    <w:rsid w:val="00914465"/>
    <w:rsid w:val="0091784B"/>
    <w:rsid w:val="00920635"/>
    <w:rsid w:val="00920BE7"/>
    <w:rsid w:val="00921FC7"/>
    <w:rsid w:val="00927365"/>
    <w:rsid w:val="0093261C"/>
    <w:rsid w:val="009337AC"/>
    <w:rsid w:val="00933A46"/>
    <w:rsid w:val="00935219"/>
    <w:rsid w:val="00936840"/>
    <w:rsid w:val="00936A3D"/>
    <w:rsid w:val="00941B66"/>
    <w:rsid w:val="00943336"/>
    <w:rsid w:val="00943C5E"/>
    <w:rsid w:val="009456D4"/>
    <w:rsid w:val="00946C47"/>
    <w:rsid w:val="00953475"/>
    <w:rsid w:val="00953949"/>
    <w:rsid w:val="00956547"/>
    <w:rsid w:val="00962A05"/>
    <w:rsid w:val="00965609"/>
    <w:rsid w:val="0096608A"/>
    <w:rsid w:val="009668DE"/>
    <w:rsid w:val="00966D68"/>
    <w:rsid w:val="0096799A"/>
    <w:rsid w:val="00967B91"/>
    <w:rsid w:val="00971AF5"/>
    <w:rsid w:val="0097409A"/>
    <w:rsid w:val="00976C95"/>
    <w:rsid w:val="00977641"/>
    <w:rsid w:val="00977AE0"/>
    <w:rsid w:val="0098288E"/>
    <w:rsid w:val="009902A1"/>
    <w:rsid w:val="00993D91"/>
    <w:rsid w:val="00994AF6"/>
    <w:rsid w:val="00997139"/>
    <w:rsid w:val="009A1D96"/>
    <w:rsid w:val="009A7442"/>
    <w:rsid w:val="009B0753"/>
    <w:rsid w:val="009B7F16"/>
    <w:rsid w:val="009C075D"/>
    <w:rsid w:val="009C5621"/>
    <w:rsid w:val="009C7F14"/>
    <w:rsid w:val="009D025D"/>
    <w:rsid w:val="009D233E"/>
    <w:rsid w:val="009D31EC"/>
    <w:rsid w:val="009E408E"/>
    <w:rsid w:val="009E4572"/>
    <w:rsid w:val="009E7575"/>
    <w:rsid w:val="009F15E7"/>
    <w:rsid w:val="009F196F"/>
    <w:rsid w:val="009F274E"/>
    <w:rsid w:val="009F35CD"/>
    <w:rsid w:val="00A01FCE"/>
    <w:rsid w:val="00A06149"/>
    <w:rsid w:val="00A0629B"/>
    <w:rsid w:val="00A10255"/>
    <w:rsid w:val="00A117E9"/>
    <w:rsid w:val="00A11D78"/>
    <w:rsid w:val="00A12517"/>
    <w:rsid w:val="00A12551"/>
    <w:rsid w:val="00A12BAB"/>
    <w:rsid w:val="00A13F0B"/>
    <w:rsid w:val="00A17001"/>
    <w:rsid w:val="00A176AA"/>
    <w:rsid w:val="00A201A3"/>
    <w:rsid w:val="00A23905"/>
    <w:rsid w:val="00A2466A"/>
    <w:rsid w:val="00A24875"/>
    <w:rsid w:val="00A27372"/>
    <w:rsid w:val="00A31C14"/>
    <w:rsid w:val="00A31F0C"/>
    <w:rsid w:val="00A33731"/>
    <w:rsid w:val="00A33E4A"/>
    <w:rsid w:val="00A344ED"/>
    <w:rsid w:val="00A37691"/>
    <w:rsid w:val="00A425AB"/>
    <w:rsid w:val="00A4481B"/>
    <w:rsid w:val="00A44A37"/>
    <w:rsid w:val="00A47FCD"/>
    <w:rsid w:val="00A54E85"/>
    <w:rsid w:val="00A54FA6"/>
    <w:rsid w:val="00A55BAF"/>
    <w:rsid w:val="00A63543"/>
    <w:rsid w:val="00A7430D"/>
    <w:rsid w:val="00A74CD5"/>
    <w:rsid w:val="00A74D49"/>
    <w:rsid w:val="00A758B5"/>
    <w:rsid w:val="00A807BA"/>
    <w:rsid w:val="00A840D5"/>
    <w:rsid w:val="00A91E08"/>
    <w:rsid w:val="00A93515"/>
    <w:rsid w:val="00A959F1"/>
    <w:rsid w:val="00A97129"/>
    <w:rsid w:val="00A97D53"/>
    <w:rsid w:val="00AA15B2"/>
    <w:rsid w:val="00AA2003"/>
    <w:rsid w:val="00AA3E59"/>
    <w:rsid w:val="00AA69D2"/>
    <w:rsid w:val="00AB1473"/>
    <w:rsid w:val="00AB6698"/>
    <w:rsid w:val="00AC0236"/>
    <w:rsid w:val="00AC5B79"/>
    <w:rsid w:val="00AC6DF8"/>
    <w:rsid w:val="00AD1D8B"/>
    <w:rsid w:val="00AD30C6"/>
    <w:rsid w:val="00AD3963"/>
    <w:rsid w:val="00AD4DD9"/>
    <w:rsid w:val="00AE164D"/>
    <w:rsid w:val="00AE5185"/>
    <w:rsid w:val="00AF11EE"/>
    <w:rsid w:val="00AF254B"/>
    <w:rsid w:val="00B00A44"/>
    <w:rsid w:val="00B01460"/>
    <w:rsid w:val="00B0179B"/>
    <w:rsid w:val="00B022DB"/>
    <w:rsid w:val="00B02DB5"/>
    <w:rsid w:val="00B05EB8"/>
    <w:rsid w:val="00B077A8"/>
    <w:rsid w:val="00B133BB"/>
    <w:rsid w:val="00B14FED"/>
    <w:rsid w:val="00B15D9B"/>
    <w:rsid w:val="00B15EE3"/>
    <w:rsid w:val="00B1656B"/>
    <w:rsid w:val="00B2047D"/>
    <w:rsid w:val="00B22689"/>
    <w:rsid w:val="00B27B61"/>
    <w:rsid w:val="00B3629E"/>
    <w:rsid w:val="00B37EEB"/>
    <w:rsid w:val="00B44499"/>
    <w:rsid w:val="00B4722F"/>
    <w:rsid w:val="00B51A00"/>
    <w:rsid w:val="00B53CF6"/>
    <w:rsid w:val="00B56B37"/>
    <w:rsid w:val="00B57D96"/>
    <w:rsid w:val="00B60EBB"/>
    <w:rsid w:val="00B62C50"/>
    <w:rsid w:val="00B6594B"/>
    <w:rsid w:val="00B6706E"/>
    <w:rsid w:val="00B67758"/>
    <w:rsid w:val="00B70FF6"/>
    <w:rsid w:val="00B77D91"/>
    <w:rsid w:val="00B807B3"/>
    <w:rsid w:val="00B807FC"/>
    <w:rsid w:val="00B812E5"/>
    <w:rsid w:val="00B83758"/>
    <w:rsid w:val="00B84A0E"/>
    <w:rsid w:val="00B86966"/>
    <w:rsid w:val="00B86C86"/>
    <w:rsid w:val="00B94515"/>
    <w:rsid w:val="00B95B93"/>
    <w:rsid w:val="00B970B4"/>
    <w:rsid w:val="00BA3159"/>
    <w:rsid w:val="00BB5E4C"/>
    <w:rsid w:val="00BC0DD4"/>
    <w:rsid w:val="00BC1E2F"/>
    <w:rsid w:val="00BC2537"/>
    <w:rsid w:val="00BD1331"/>
    <w:rsid w:val="00BD14D7"/>
    <w:rsid w:val="00BD2944"/>
    <w:rsid w:val="00BD36A0"/>
    <w:rsid w:val="00BE0588"/>
    <w:rsid w:val="00BE1BE1"/>
    <w:rsid w:val="00BE3533"/>
    <w:rsid w:val="00BE4E4B"/>
    <w:rsid w:val="00BE65D4"/>
    <w:rsid w:val="00BE7960"/>
    <w:rsid w:val="00BF4150"/>
    <w:rsid w:val="00BF43E9"/>
    <w:rsid w:val="00C00461"/>
    <w:rsid w:val="00C01F9F"/>
    <w:rsid w:val="00C02E1C"/>
    <w:rsid w:val="00C0604F"/>
    <w:rsid w:val="00C06706"/>
    <w:rsid w:val="00C10311"/>
    <w:rsid w:val="00C11029"/>
    <w:rsid w:val="00C11181"/>
    <w:rsid w:val="00C120D8"/>
    <w:rsid w:val="00C12505"/>
    <w:rsid w:val="00C166DD"/>
    <w:rsid w:val="00C22606"/>
    <w:rsid w:val="00C238C5"/>
    <w:rsid w:val="00C247D4"/>
    <w:rsid w:val="00C26661"/>
    <w:rsid w:val="00C30255"/>
    <w:rsid w:val="00C303DB"/>
    <w:rsid w:val="00C308E0"/>
    <w:rsid w:val="00C31642"/>
    <w:rsid w:val="00C31B8E"/>
    <w:rsid w:val="00C33DDD"/>
    <w:rsid w:val="00C359BA"/>
    <w:rsid w:val="00C40209"/>
    <w:rsid w:val="00C418F2"/>
    <w:rsid w:val="00C45FBA"/>
    <w:rsid w:val="00C473D1"/>
    <w:rsid w:val="00C50CBE"/>
    <w:rsid w:val="00C54EBE"/>
    <w:rsid w:val="00C566FF"/>
    <w:rsid w:val="00C57B80"/>
    <w:rsid w:val="00C61185"/>
    <w:rsid w:val="00C679F5"/>
    <w:rsid w:val="00C74B7D"/>
    <w:rsid w:val="00C75D9E"/>
    <w:rsid w:val="00C80B91"/>
    <w:rsid w:val="00C81736"/>
    <w:rsid w:val="00C8288B"/>
    <w:rsid w:val="00C84B50"/>
    <w:rsid w:val="00C85469"/>
    <w:rsid w:val="00C875B3"/>
    <w:rsid w:val="00C92A7E"/>
    <w:rsid w:val="00CA19DF"/>
    <w:rsid w:val="00CA7AF0"/>
    <w:rsid w:val="00CB2FB2"/>
    <w:rsid w:val="00CB7946"/>
    <w:rsid w:val="00CB7A18"/>
    <w:rsid w:val="00CC60E7"/>
    <w:rsid w:val="00CC7487"/>
    <w:rsid w:val="00CD06A5"/>
    <w:rsid w:val="00CD1E6A"/>
    <w:rsid w:val="00CD34FC"/>
    <w:rsid w:val="00CD706B"/>
    <w:rsid w:val="00CE1EF8"/>
    <w:rsid w:val="00CE213B"/>
    <w:rsid w:val="00CF0AA6"/>
    <w:rsid w:val="00CF4B93"/>
    <w:rsid w:val="00CF5A63"/>
    <w:rsid w:val="00CF6633"/>
    <w:rsid w:val="00CF7130"/>
    <w:rsid w:val="00D076D0"/>
    <w:rsid w:val="00D11375"/>
    <w:rsid w:val="00D134B7"/>
    <w:rsid w:val="00D13894"/>
    <w:rsid w:val="00D20FAA"/>
    <w:rsid w:val="00D21D09"/>
    <w:rsid w:val="00D36A8C"/>
    <w:rsid w:val="00D428F4"/>
    <w:rsid w:val="00D43181"/>
    <w:rsid w:val="00D43EDE"/>
    <w:rsid w:val="00D4536C"/>
    <w:rsid w:val="00D45C41"/>
    <w:rsid w:val="00D461DE"/>
    <w:rsid w:val="00D46223"/>
    <w:rsid w:val="00D50DE5"/>
    <w:rsid w:val="00D54B27"/>
    <w:rsid w:val="00D54CC0"/>
    <w:rsid w:val="00D55035"/>
    <w:rsid w:val="00D578D3"/>
    <w:rsid w:val="00D63DA8"/>
    <w:rsid w:val="00D73A86"/>
    <w:rsid w:val="00D74BA3"/>
    <w:rsid w:val="00D7555A"/>
    <w:rsid w:val="00D7748E"/>
    <w:rsid w:val="00D804D2"/>
    <w:rsid w:val="00D81E2F"/>
    <w:rsid w:val="00D83060"/>
    <w:rsid w:val="00D84A2D"/>
    <w:rsid w:val="00D8749B"/>
    <w:rsid w:val="00D87DB9"/>
    <w:rsid w:val="00D9436D"/>
    <w:rsid w:val="00DA3088"/>
    <w:rsid w:val="00DA4CF2"/>
    <w:rsid w:val="00DA68EF"/>
    <w:rsid w:val="00DB11D4"/>
    <w:rsid w:val="00DB227F"/>
    <w:rsid w:val="00DC3AC1"/>
    <w:rsid w:val="00DC5105"/>
    <w:rsid w:val="00DD09EF"/>
    <w:rsid w:val="00DD20D1"/>
    <w:rsid w:val="00DD64C5"/>
    <w:rsid w:val="00DD675E"/>
    <w:rsid w:val="00DE14E2"/>
    <w:rsid w:val="00DE15AC"/>
    <w:rsid w:val="00DE2C36"/>
    <w:rsid w:val="00DE2F94"/>
    <w:rsid w:val="00DE4595"/>
    <w:rsid w:val="00DE477A"/>
    <w:rsid w:val="00DE4A91"/>
    <w:rsid w:val="00DE6B35"/>
    <w:rsid w:val="00DE70C2"/>
    <w:rsid w:val="00DF0675"/>
    <w:rsid w:val="00DF46A7"/>
    <w:rsid w:val="00DF4FE6"/>
    <w:rsid w:val="00DF580D"/>
    <w:rsid w:val="00DF6FDA"/>
    <w:rsid w:val="00DF7E2B"/>
    <w:rsid w:val="00E05885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FFC"/>
    <w:rsid w:val="00E327A1"/>
    <w:rsid w:val="00E33EF0"/>
    <w:rsid w:val="00E35957"/>
    <w:rsid w:val="00E36C46"/>
    <w:rsid w:val="00E370BF"/>
    <w:rsid w:val="00E37CB8"/>
    <w:rsid w:val="00E4016D"/>
    <w:rsid w:val="00E510C4"/>
    <w:rsid w:val="00E51B49"/>
    <w:rsid w:val="00E530B7"/>
    <w:rsid w:val="00E54066"/>
    <w:rsid w:val="00E611A2"/>
    <w:rsid w:val="00E61BAB"/>
    <w:rsid w:val="00E729CB"/>
    <w:rsid w:val="00E73C50"/>
    <w:rsid w:val="00E777C8"/>
    <w:rsid w:val="00E8011B"/>
    <w:rsid w:val="00E81EE4"/>
    <w:rsid w:val="00E82DCD"/>
    <w:rsid w:val="00E83444"/>
    <w:rsid w:val="00E83578"/>
    <w:rsid w:val="00E849E6"/>
    <w:rsid w:val="00E84DD9"/>
    <w:rsid w:val="00E870C1"/>
    <w:rsid w:val="00E909E6"/>
    <w:rsid w:val="00E90B70"/>
    <w:rsid w:val="00E924EC"/>
    <w:rsid w:val="00EA27C3"/>
    <w:rsid w:val="00EA2BEE"/>
    <w:rsid w:val="00EA5F36"/>
    <w:rsid w:val="00EA7A70"/>
    <w:rsid w:val="00EB15F9"/>
    <w:rsid w:val="00EB2AAE"/>
    <w:rsid w:val="00EB2FED"/>
    <w:rsid w:val="00EB57CA"/>
    <w:rsid w:val="00EC07F6"/>
    <w:rsid w:val="00EC07FA"/>
    <w:rsid w:val="00EC3FB8"/>
    <w:rsid w:val="00EC5B03"/>
    <w:rsid w:val="00EC6D9E"/>
    <w:rsid w:val="00ED3B0C"/>
    <w:rsid w:val="00ED7B80"/>
    <w:rsid w:val="00EE087B"/>
    <w:rsid w:val="00EE0CC2"/>
    <w:rsid w:val="00EE18F8"/>
    <w:rsid w:val="00EE2204"/>
    <w:rsid w:val="00EE31D9"/>
    <w:rsid w:val="00EF0C53"/>
    <w:rsid w:val="00EF0E92"/>
    <w:rsid w:val="00EF3487"/>
    <w:rsid w:val="00EF368A"/>
    <w:rsid w:val="00EF4795"/>
    <w:rsid w:val="00EF4FE0"/>
    <w:rsid w:val="00EF6F9D"/>
    <w:rsid w:val="00EF7495"/>
    <w:rsid w:val="00F016C8"/>
    <w:rsid w:val="00F038F0"/>
    <w:rsid w:val="00F04E2C"/>
    <w:rsid w:val="00F06CE8"/>
    <w:rsid w:val="00F0783D"/>
    <w:rsid w:val="00F12E5F"/>
    <w:rsid w:val="00F14E08"/>
    <w:rsid w:val="00F203B0"/>
    <w:rsid w:val="00F20CD7"/>
    <w:rsid w:val="00F210E9"/>
    <w:rsid w:val="00F2150A"/>
    <w:rsid w:val="00F22AF0"/>
    <w:rsid w:val="00F32A60"/>
    <w:rsid w:val="00F33929"/>
    <w:rsid w:val="00F35BB4"/>
    <w:rsid w:val="00F404F0"/>
    <w:rsid w:val="00F424C2"/>
    <w:rsid w:val="00F42C1C"/>
    <w:rsid w:val="00F4744B"/>
    <w:rsid w:val="00F504FB"/>
    <w:rsid w:val="00F55691"/>
    <w:rsid w:val="00F55B87"/>
    <w:rsid w:val="00F6361F"/>
    <w:rsid w:val="00F64E4C"/>
    <w:rsid w:val="00F65724"/>
    <w:rsid w:val="00F66561"/>
    <w:rsid w:val="00F70B21"/>
    <w:rsid w:val="00F71390"/>
    <w:rsid w:val="00F72F62"/>
    <w:rsid w:val="00F73E1F"/>
    <w:rsid w:val="00F77459"/>
    <w:rsid w:val="00F809EE"/>
    <w:rsid w:val="00F844E6"/>
    <w:rsid w:val="00F849DE"/>
    <w:rsid w:val="00F84BE4"/>
    <w:rsid w:val="00F865A3"/>
    <w:rsid w:val="00F9026E"/>
    <w:rsid w:val="00F909DB"/>
    <w:rsid w:val="00F9314E"/>
    <w:rsid w:val="00F9432D"/>
    <w:rsid w:val="00F9475F"/>
    <w:rsid w:val="00FA4C1B"/>
    <w:rsid w:val="00FA5355"/>
    <w:rsid w:val="00FA6BF1"/>
    <w:rsid w:val="00FB4542"/>
    <w:rsid w:val="00FB6C2F"/>
    <w:rsid w:val="00FC0091"/>
    <w:rsid w:val="00FC10E9"/>
    <w:rsid w:val="00FC4FF0"/>
    <w:rsid w:val="00FC57BC"/>
    <w:rsid w:val="00FC5D7E"/>
    <w:rsid w:val="00FD01DC"/>
    <w:rsid w:val="00FD01E1"/>
    <w:rsid w:val="00FD13B2"/>
    <w:rsid w:val="00FD3EA0"/>
    <w:rsid w:val="00FD465B"/>
    <w:rsid w:val="00FD4DFC"/>
    <w:rsid w:val="00FD6173"/>
    <w:rsid w:val="00FE19A7"/>
    <w:rsid w:val="00FE3132"/>
    <w:rsid w:val="00FE47F2"/>
    <w:rsid w:val="00FE6C0D"/>
    <w:rsid w:val="00FF10DD"/>
    <w:rsid w:val="00FF199F"/>
    <w:rsid w:val="00FF2F68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5" ma:contentTypeDescription="Create a new document." ma:contentTypeScope="" ma:versionID="f0827b97c411c567ea7b6231876734c3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88f6f328498e53ec5465a59d7175b84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2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DE266-5DC0-4843-A4A2-35C1C25F4D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A7165-7933-4207-B555-4CFBF4C9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Link Leaders</cp:lastModifiedBy>
  <cp:revision>2</cp:revision>
  <dcterms:created xsi:type="dcterms:W3CDTF">2025-10-30T08:34:00Z</dcterms:created>
  <dcterms:modified xsi:type="dcterms:W3CDTF">2025-10-30T08:34:00Z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