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b w:val="1"/>
          <w:i w:val="0"/>
          <w:sz w:val="18"/>
          <w:szCs w:val="18"/>
          <w:u w:val="none"/>
          <w:vertAlign w:val="baseline"/>
        </w:rPr>
        <w:drawing>
          <wp:inline distB="0" distT="0" distL="0" distR="0">
            <wp:extent cx="1381916" cy="214197"/>
            <wp:effectExtent b="0" l="0" r="0" t="0"/>
            <wp:docPr descr="A blue letter on a black background&#10;&#10;Description automatically generated" id="4" name="image1.png"/>
            <a:graphic>
              <a:graphicData uri="http://schemas.openxmlformats.org/drawingml/2006/picture">
                <pic:pic>
                  <pic:nvPicPr>
                    <pic:cNvPr descr="A blue letter on a black background&#10;&#10;Description automatically generated" id="0" name="image1.png"/>
                    <pic:cNvPicPr preferRelativeResize="0"/>
                  </pic:nvPicPr>
                  <pic:blipFill>
                    <a:blip r:embed="rId7"/>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sz w:val="30"/>
          <w:szCs w:val="30"/>
        </w:rPr>
      </w:pPr>
      <w:r w:rsidDel="00000000" w:rsidR="00000000" w:rsidRPr="00000000">
        <w:rPr>
          <w:rFonts w:ascii="Arial" w:cs="Arial" w:eastAsia="Arial" w:hAnsi="Arial"/>
          <w:b w:val="1"/>
          <w:i w:val="0"/>
          <w:sz w:val="30"/>
          <w:szCs w:val="30"/>
          <w:u w:val="none"/>
          <w:vertAlign w:val="baseline"/>
          <w:rtl w:val="0"/>
        </w:rPr>
        <w:t xml:space="preserve">Samsung lansează noul card microSD Express P9 Express pentru jocurile de nouă generație și fluxurile de lucru profesionale﻿</w:t>
      </w: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i w:val="0"/>
          <w:u w:val="none"/>
          <w:vertAlign w:val="baseline"/>
          <w:rtl w:val="0"/>
        </w:rPr>
        <w:t xml:space="preserve">27 octombrie 2025</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i w:val="0"/>
          <w:u w:val="none"/>
          <w:vertAlign w:val="baseline"/>
          <w:rtl w:val="0"/>
        </w:rPr>
        <w:t xml:space="preserve">Samsung Electronics</w:t>
      </w:r>
      <w:r w:rsidDel="00000000" w:rsidR="00000000" w:rsidRPr="00000000">
        <w:rPr>
          <w:rFonts w:ascii="Arial" w:cs="Arial" w:eastAsia="Arial" w:hAnsi="Arial"/>
          <w:b w:val="0"/>
          <w:i w:val="0"/>
          <w:u w:val="none"/>
          <w:vertAlign w:val="baseline"/>
          <w:rtl w:val="0"/>
        </w:rPr>
        <w:t xml:space="preserve"> a anunțat astăzi lansarea noii sale game de carduri microSD Express, P9 Express, concepută pentru a oferi experiențe de joc de nouă generație și optimizată pentru principalele platforme, inclusiv pentru Nintendo Switch™ 2</w:t>
      </w:r>
      <w:r w:rsidDel="00000000" w:rsidR="00000000" w:rsidRPr="00000000">
        <w:rPr>
          <w:rFonts w:ascii="Arial" w:cs="Arial" w:eastAsia="Arial" w:hAnsi="Arial"/>
          <w:b w:val="0"/>
          <w:i w:val="0"/>
          <w:u w:val="none"/>
          <w:vertAlign w:val="superscript"/>
          <w:rtl w:val="0"/>
        </w:rPr>
        <w:t xml:space="preserve">1)</w:t>
      </w:r>
      <w:r w:rsidDel="00000000" w:rsidR="00000000" w:rsidRPr="00000000">
        <w:rPr>
          <w:rFonts w:ascii="Arial" w:cs="Arial" w:eastAsia="Arial" w:hAnsi="Arial"/>
          <w:b w:val="0"/>
          <w:i w:val="0"/>
          <w:u w:val="none"/>
          <w:vertAlign w:val="baseline"/>
          <w:rtl w:val="0"/>
        </w:rPr>
        <w:t xml:space="preserve">.</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0"/>
          <w:i w:val="0"/>
          <w:u w:val="none"/>
          <w:vertAlign w:val="baseline"/>
          <w:rtl w:val="0"/>
        </w:rPr>
        <w:t xml:space="preserve">Bazată pe interfața PCIe și protocolul NVMe, tehnologia SD Express îmbunătățește semnificativ performanța transferului de date în comparație cu cardurile UHS-I, fiind astfel ideală pentru mediile care necesită procesare de mare capacitate și o transmisie rapidă a datelor.</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0"/>
          <w:i w:val="0"/>
          <w:u w:val="none"/>
          <w:vertAlign w:val="baseline"/>
          <w:rtl w:val="0"/>
        </w:rPr>
        <w:t xml:space="preserve">Gama P9 Express este deosebit de valoroasă pentru cei mai pasionați gameri pe console, care se bucură frecvent de o gamă diversificată de jocuri și conținut ce poate fi descărcat (DLC), necesitând adesea o capacitate de stocare suplimentară față de memoria internă. Pentru a răspunde diferitelor nevoi ale gamerilor, cardul este disponibil în două variante: 256 GB și 512 GB.﻿ De asemenea, este o soluție ideală pentru utilizatorii multipli care împart aceeași consolă, unde este necesară o capacitate generoasă pentru instalarea mai multor jocuri diferite, ajutându-i pe gameri să depășească limitările memoriei interne și să se bucure de o gamă variată de titluri fără compromisuri. Atunci când este utilizat împreună cu o interfață SD Express dedicată, P9 Express oferă viteze secvențiale de citire de până la patru ori mai mari decât cele UHS-I</w:t>
      </w:r>
      <w:r w:rsidDel="00000000" w:rsidR="00000000" w:rsidRPr="00000000">
        <w:rPr>
          <w:rFonts w:ascii="Arial" w:cs="Arial" w:eastAsia="Arial" w:hAnsi="Arial"/>
          <w:b w:val="0"/>
          <w:i w:val="0"/>
          <w:u w:val="none"/>
          <w:vertAlign w:val="superscript"/>
          <w:rtl w:val="0"/>
        </w:rPr>
        <w:t xml:space="preserve">2)</w:t>
      </w:r>
      <w:r w:rsidDel="00000000" w:rsidR="00000000" w:rsidRPr="00000000">
        <w:rPr>
          <w:rFonts w:ascii="Arial" w:cs="Arial" w:eastAsia="Arial" w:hAnsi="Arial"/>
          <w:b w:val="0"/>
          <w:i w:val="0"/>
          <w:u w:val="none"/>
          <w:vertAlign w:val="baseline"/>
          <w:rtl w:val="0"/>
        </w:rPr>
        <w:t xml:space="preserve">, permițându-le creatorilor și profesioniștilor să transfere eficient volume mari de date de pe dispozitive către PC-uri, laptopuri sau stații de lucru</w:t>
      </w:r>
      <w:r w:rsidDel="00000000" w:rsidR="00000000" w:rsidRPr="00000000">
        <w:rPr>
          <w:rFonts w:ascii="Arial" w:cs="Arial" w:eastAsia="Arial" w:hAnsi="Arial"/>
          <w:b w:val="0"/>
          <w:i w:val="0"/>
          <w:u w:val="none"/>
          <w:vertAlign w:val="superscript"/>
          <w:rtl w:val="0"/>
        </w:rPr>
        <w:t xml:space="preserve">3)</w:t>
      </w:r>
      <w:r w:rsidDel="00000000" w:rsidR="00000000" w:rsidRPr="00000000">
        <w:rPr>
          <w:rFonts w:ascii="Arial" w:cs="Arial" w:eastAsia="Arial" w:hAnsi="Arial"/>
          <w:b w:val="0"/>
          <w:i w:val="0"/>
          <w:u w:val="none"/>
          <w:vertAlign w:val="baseline"/>
          <w:rtl w:val="0"/>
        </w:rPr>
        <w:t xml:space="preserve">. Această combinație de performanță ridicată și fiabilitate face din P9 Express o alegere excelentă atât pentru experiențe de gaming captivante, cât și pentru fluxuri de lucru profesionale solicitante, precum editarea, randarea și gestionarea fișierelor media de mari dimensiuni.</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0"/>
          <w:i w:val="0"/>
          <w:u w:val="none"/>
          <w:vertAlign w:val="baseline"/>
          <w:rtl w:val="0"/>
        </w:rPr>
        <w:t xml:space="preserve">Prin valorificarea vitezelor de transfer ultra-rapide, a suportului Host Memory Buffer (HMB, tampon de memorie gazdă) și a tehnologiei avansate Dynamic Thermal Guard (DTG, protecție termică dinamică), dezvoltată inițial pentru SSD-uri, P9 Express oferă o experiență de joc fluidă, comparabilă cu redarea directă din memoria internă. Tehnologia DTG monitorizează și reglează inteligent temperatura cardului, prevenind supraîncălzirea și menținând o performanță constantă, chiar și în timpul sesiunilor lungi de joc. HMB îmbunătățește performanța prin utilizarea eficientă a memoriei sistemului gazdă pentru accelerarea accesului la date, îmbunătățind astfel și mai mult capacitatea de reacție în timpul jocului. Cu viteze maxime de citire secvențială de până la 800 MB/s (de până la patru ori mai rapide decât cardurile UHS-I convenționale), această combinație asigură o stabilitate ridicată, permițându-le gamerilor să rămână complet absorbiți de joc, fără limitări sau întreruperi.</w:t>
      </w:r>
      <w:r w:rsidDel="00000000" w:rsidR="00000000" w:rsidRPr="00000000">
        <w:rPr>
          <w:rtl w:val="0"/>
        </w:rPr>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0"/>
          <w:i w:val="0"/>
          <w:u w:val="none"/>
          <w:vertAlign w:val="baseline"/>
          <w:rtl w:val="0"/>
        </w:rPr>
        <w:t xml:space="preserve">Pentru a proteja datele valoroase, fie că este vorba de progresul salvat în joc pentru gameri sau de fișiere media de mari dimensiuni pentru creatori și profesioniști, P9 Express oferă durabilitate pe 6 planuri: protecție împotriva scufundării în apă, temperaturilor extreme, expunerii la raze X, căderilor accidentale, prafului și presiunii. Aceste metode de protecție robuste asigură integritatea datelor și o performanță sustenabilă, oferindu-le utilizatorilor liniște sufletească atât în timpul sesiunilor lungi de joc, cât și în cadrul fluxurilor de lucru profesionale solicitante.</w:t>
      </w: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0"/>
          <w:i w:val="0"/>
          <w:u w:val="none"/>
          <w:vertAlign w:val="baseline"/>
          <w:rtl w:val="0"/>
        </w:rPr>
        <w:t xml:space="preserve">Modelele de 256 GB și 512 GB</w:t>
      </w:r>
      <w:r w:rsidDel="00000000" w:rsidR="00000000" w:rsidRPr="00000000">
        <w:rPr>
          <w:rFonts w:ascii="Arial" w:cs="Arial" w:eastAsia="Arial" w:hAnsi="Arial"/>
          <w:b w:val="0"/>
          <w:i w:val="0"/>
          <w:u w:val="none"/>
          <w:vertAlign w:val="superscript"/>
          <w:rtl w:val="0"/>
        </w:rPr>
        <w:t xml:space="preserve">4)</w:t>
      </w:r>
      <w:r w:rsidDel="00000000" w:rsidR="00000000" w:rsidRPr="00000000">
        <w:rPr>
          <w:rFonts w:ascii="Arial" w:cs="Arial" w:eastAsia="Arial" w:hAnsi="Arial"/>
          <w:b w:val="0"/>
          <w:i w:val="0"/>
          <w:u w:val="none"/>
          <w:vertAlign w:val="baseline"/>
          <w:rtl w:val="0"/>
        </w:rPr>
        <w:t xml:space="preserve"> pot fi achiziționate acum de pe Samsung.com și prin intermediul distribuitorilor autorizați din întreaga lume. Prețurile de vânzare recomandate de producător (PRP) sunt de 54,99 USD pentru varianta de 256 TB și 99,99 USD pentru cea de 512 TB.</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0"/>
          <w:i w:val="0"/>
          <w:u w:val="none"/>
          <w:vertAlign w:val="baseline"/>
          <w:rtl w:val="0"/>
        </w:rPr>
        <w:t xml:space="preserve">Pentru mai multe informații, inclusiv detalii despre garanție, accesați semiconductor.samsung.com/support.</w:t>
      </w: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i w:val="0"/>
          <w:u w:val="none"/>
          <w:vertAlign w:val="baseline"/>
          <w:rtl w:val="0"/>
        </w:rPr>
        <w:t xml:space="preserve">Declinare de responsabilitate</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Drepturi de autor © Nintendo. Nintendo Switch este o marcă comercială înregistrată a Nintendo.﻿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Bazat pe testări interne cu cardul microSD P9 Express 512 GB, măsurate folosind o placă de test PCIe, comparativ cu cardurile microSD UHS-I testate cu cardul PRO Ultimate microSD 512 GB și cititoarele Samsung. Performanța reală poate varia în funcție de dispozitivul gazdă, interfață, condițiile de utilizare și alți factori.</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Compatibil cu dispozitivele care au un slot pentru card microSDXC™ și cu dispozitivele gazdă microSD™ Express.﻿ Vitezele de transfer pot fi limitate la vitezele UHS-I, în funcție de compatibilitatea dispozitivului gazdă.</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GB = 1.000.000.000 byți. Capacitatea reală de stocare poate fi mai mică decât cea indicată. O parte din spațiu poate fi folosită pentru fișierele de sistem și în alte scopuri de control al stocării.</w:t>
      </w:r>
    </w:p>
    <w:sectPr>
      <w:pgSz w:h="16838" w:w="11906" w:orient="portrait"/>
      <w:pgMar w:bottom="1247" w:top="1247" w:left="1247" w:right="1247"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ro"/>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normaltextrun" w:customStyle="1">
    <w:name w:val="normaltextrun"/>
    <w:basedOn w:val="a0"/>
    <w:rsid w:val="0012341D"/>
  </w:style>
  <w:style w:type="paragraph" w:styleId="a3">
    <w:name w:val="List Paragraph"/>
    <w:basedOn w:val="a"/>
    <w:uiPriority w:val="34"/>
    <w:qFormat w:val="1"/>
    <w:rsid w:val="0012341D"/>
    <w:pPr>
      <w:ind w:left="800" w:leftChars="400"/>
    </w:pPr>
  </w:style>
  <w:style w:type="paragraph" w:styleId="a4">
    <w:name w:val="header"/>
    <w:basedOn w:val="a"/>
    <w:link w:val="Char"/>
    <w:uiPriority w:val="99"/>
    <w:unhideWhenUsed w:val="1"/>
    <w:rsid w:val="000A7B5C"/>
    <w:pPr>
      <w:tabs>
        <w:tab w:val="center" w:pos="4513"/>
        <w:tab w:val="right" w:pos="9026"/>
      </w:tabs>
      <w:snapToGrid w:val="0"/>
    </w:pPr>
  </w:style>
  <w:style w:type="character" w:styleId="Char" w:customStyle="1">
    <w:name w:val="머리글 Char"/>
    <w:basedOn w:val="a0"/>
    <w:link w:val="a4"/>
    <w:uiPriority w:val="99"/>
    <w:rsid w:val="000A7B5C"/>
  </w:style>
  <w:style w:type="paragraph" w:styleId="a5">
    <w:name w:val="footer"/>
    <w:basedOn w:val="a"/>
    <w:link w:val="Char0"/>
    <w:uiPriority w:val="99"/>
    <w:unhideWhenUsed w:val="1"/>
    <w:rsid w:val="000A7B5C"/>
    <w:pPr>
      <w:tabs>
        <w:tab w:val="center" w:pos="4513"/>
        <w:tab w:val="right" w:pos="9026"/>
      </w:tabs>
      <w:snapToGrid w:val="0"/>
    </w:pPr>
  </w:style>
  <w:style w:type="character" w:styleId="Char0" w:customStyle="1">
    <w:name w:val="바닥글 Char"/>
    <w:basedOn w:val="a0"/>
    <w:link w:val="a5"/>
    <w:uiPriority w:val="99"/>
    <w:rsid w:val="000A7B5C"/>
  </w:style>
  <w:style w:type="paragraph" w:styleId="a6">
    <w:name w:val="Date"/>
    <w:basedOn w:val="a"/>
    <w:next w:val="a"/>
    <w:link w:val="Char1"/>
    <w:uiPriority w:val="99"/>
    <w:semiHidden w:val="1"/>
    <w:unhideWhenUsed w:val="1"/>
    <w:rsid w:val="000A7B5C"/>
  </w:style>
  <w:style w:type="character" w:styleId="Char1" w:customStyle="1">
    <w:name w:val="날짜 Char"/>
    <w:basedOn w:val="a0"/>
    <w:link w:val="a6"/>
    <w:uiPriority w:val="99"/>
    <w:semiHidden w:val="1"/>
    <w:rsid w:val="000A7B5C"/>
  </w:style>
  <w:style w:type="paragraph" w:styleId="a7">
    <w:name w:val="Balloon Text"/>
    <w:basedOn w:val="a"/>
    <w:link w:val="Char2"/>
    <w:uiPriority w:val="99"/>
    <w:semiHidden w:val="1"/>
    <w:unhideWhenUsed w:val="1"/>
    <w:rsid w:val="00214450"/>
    <w:pPr>
      <w:spacing w:after="0" w:line="240" w:lineRule="auto"/>
    </w:pPr>
    <w:rPr>
      <w:rFonts w:asciiTheme="majorHAnsi" w:cstheme="majorBidi" w:eastAsiaTheme="majorEastAsia" w:hAnsiTheme="majorHAnsi"/>
      <w:sz w:val="18"/>
      <w:szCs w:val="18"/>
    </w:rPr>
  </w:style>
  <w:style w:type="character" w:styleId="Char2" w:customStyle="1">
    <w:name w:val="풍선 도움말 텍스트 Char"/>
    <w:basedOn w:val="a0"/>
    <w:link w:val="a7"/>
    <w:uiPriority w:val="99"/>
    <w:semiHidden w:val="1"/>
    <w:rsid w:val="00214450"/>
    <w:rPr>
      <w:rFonts w:asciiTheme="majorHAnsi" w:cstheme="majorBidi" w:eastAsiaTheme="majorEastAsia" w:hAnsiTheme="majorHAnsi"/>
      <w:sz w:val="18"/>
      <w:szCs w:val="18"/>
    </w:rPr>
  </w:style>
  <w:style w:type="paragraph" w:styleId="a8">
    <w:name w:val="annotation text"/>
    <w:basedOn w:val="a"/>
    <w:link w:val="Char3"/>
    <w:uiPriority w:val="99"/>
    <w:unhideWhenUsed w:val="1"/>
    <w:rsid w:val="004571F6"/>
    <w:pPr>
      <w:widowControl w:val="1"/>
      <w:wordWrap w:val="1"/>
      <w:autoSpaceDE w:val="1"/>
      <w:autoSpaceDN w:val="1"/>
      <w:spacing w:line="240" w:lineRule="auto"/>
      <w:jc w:val="left"/>
    </w:pPr>
    <w:rPr>
      <w:kern w:val="0"/>
      <w:szCs w:val="20"/>
      <w:lang w:eastAsia="ja-JP"/>
    </w:rPr>
  </w:style>
  <w:style w:type="character" w:styleId="Char3" w:customStyle="1">
    <w:name w:val="메모 텍스트 Char"/>
    <w:basedOn w:val="a0"/>
    <w:link w:val="a8"/>
    <w:uiPriority w:val="99"/>
    <w:rsid w:val="004571F6"/>
    <w:rPr>
      <w:kern w:val="0"/>
      <w:szCs w:val="20"/>
      <w:lang w:eastAsia="ja-JP"/>
    </w:rPr>
  </w:style>
  <w:style w:type="character" w:styleId="a9">
    <w:name w:val="annotation reference"/>
    <w:basedOn w:val="a0"/>
    <w:uiPriority w:val="99"/>
    <w:semiHidden w:val="1"/>
    <w:unhideWhenUsed w:val="1"/>
    <w:rsid w:val="004571F6"/>
    <w:rPr>
      <w:sz w:val="16"/>
      <w:szCs w:val="16"/>
    </w:rPr>
  </w:style>
  <w:style w:type="paragraph" w:styleId="aa">
    <w:name w:val="footnote text"/>
    <w:basedOn w:val="a"/>
    <w:link w:val="Char4"/>
    <w:uiPriority w:val="99"/>
    <w:semiHidden w:val="1"/>
    <w:unhideWhenUsed w:val="1"/>
    <w:rsid w:val="004571F6"/>
    <w:pPr>
      <w:spacing w:after="0" w:line="240" w:lineRule="auto"/>
    </w:pPr>
    <w:rPr>
      <w:szCs w:val="20"/>
    </w:rPr>
  </w:style>
  <w:style w:type="character" w:styleId="Char4" w:customStyle="1">
    <w:name w:val="각주 텍스트 Char"/>
    <w:basedOn w:val="a0"/>
    <w:link w:val="aa"/>
    <w:uiPriority w:val="99"/>
    <w:semiHidden w:val="1"/>
    <w:rsid w:val="004571F6"/>
    <w:rPr>
      <w:szCs w:val="20"/>
    </w:rPr>
  </w:style>
  <w:style w:type="character" w:styleId="ab">
    <w:name w:val="footnote reference"/>
    <w:basedOn w:val="a0"/>
    <w:uiPriority w:val="99"/>
    <w:semiHidden w:val="1"/>
    <w:unhideWhenUsed w:val="1"/>
    <w:rsid w:val="004571F6"/>
    <w:rPr>
      <w:vertAlign w:val="superscript"/>
    </w:rPr>
  </w:style>
  <w:style w:type="paragraph" w:styleId="ac">
    <w:name w:val="Normal (Web)"/>
    <w:basedOn w:val="a"/>
    <w:uiPriority w:val="99"/>
    <w:semiHidden w:val="1"/>
    <w:unhideWhenUsed w:val="1"/>
    <w:rsid w:val="00F36E8E"/>
    <w:pPr>
      <w:widowControl w:val="1"/>
      <w:wordWrap w:val="1"/>
      <w:autoSpaceDE w:val="1"/>
      <w:autoSpaceDN w:val="1"/>
      <w:spacing w:after="100" w:afterAutospacing="1" w:before="100" w:beforeAutospacing="1" w:line="240" w:lineRule="auto"/>
      <w:jc w:val="left"/>
    </w:pPr>
    <w:rPr>
      <w:rFonts w:ascii="굴림" w:cs="굴림" w:eastAsia="굴림" w:hAnsi="굴림"/>
      <w:kern w:val="0"/>
      <w:sz w:val="24"/>
      <w:szCs w:val="24"/>
    </w:rPr>
  </w:style>
  <w:style w:type="character" w:styleId="ad">
    <w:name w:val="Strong"/>
    <w:basedOn w:val="a0"/>
    <w:uiPriority w:val="22"/>
    <w:qFormat w:val="1"/>
    <w:rsid w:val="00F36E8E"/>
    <w:rPr>
      <w:b w:val="1"/>
      <w:bCs w:val="1"/>
    </w:rPr>
  </w:style>
  <w:style w:type="character" w:styleId="ae">
    <w:name w:val="Hyperlink"/>
    <w:basedOn w:val="a0"/>
    <w:uiPriority w:val="99"/>
    <w:semiHidden w:val="1"/>
    <w:unhideWhenUsed w:val="1"/>
    <w:rsid w:val="007232DF"/>
    <w:rPr>
      <w:color w:val="0000ff"/>
      <w:u w:val="single"/>
    </w:rPr>
  </w:style>
  <w:style w:type="paragraph" w:styleId="af">
    <w:name w:val="annotation subject"/>
    <w:basedOn w:val="a8"/>
    <w:next w:val="a8"/>
    <w:link w:val="Char5"/>
    <w:uiPriority w:val="99"/>
    <w:semiHidden w:val="1"/>
    <w:unhideWhenUsed w:val="1"/>
    <w:rsid w:val="00D7402F"/>
    <w:pPr>
      <w:widowControl w:val="0"/>
      <w:wordWrap w:val="0"/>
      <w:autoSpaceDE w:val="0"/>
      <w:autoSpaceDN w:val="0"/>
      <w:spacing w:line="259" w:lineRule="auto"/>
    </w:pPr>
    <w:rPr>
      <w:b w:val="1"/>
      <w:bCs w:val="1"/>
      <w:kern w:val="2"/>
      <w:szCs w:val="22"/>
      <w:lang w:eastAsia="ko-KR"/>
    </w:rPr>
  </w:style>
  <w:style w:type="character" w:styleId="Char5" w:customStyle="1">
    <w:name w:val="메모 주제 Char"/>
    <w:basedOn w:val="Char3"/>
    <w:link w:val="af"/>
    <w:uiPriority w:val="99"/>
    <w:semiHidden w:val="1"/>
    <w:rsid w:val="00D7402F"/>
    <w:rPr>
      <w:b w:val="1"/>
      <w:bCs w:val="1"/>
      <w:kern w:val="0"/>
      <w:szCs w:val="20"/>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0KOkFx8Fw+MiFrmo5aAQxtS1iQ==">CgMxLjA4AHIhMW1aNXFiWHJGVVNmY3BrQ2ZMMFY2X25JUzQ3Q1F5R3o1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2025-10-02T04:47:00Z</dcterms:created>
  <dc:creator>김예빈/ YEBIN KIM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