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b w:val="1"/>
          <w:i w:val="0"/>
          <w:sz w:val="18"/>
          <w:szCs w:val="18"/>
          <w:u w:val="none"/>
          <w:vertAlign w:val="baseline"/>
        </w:rPr>
        <w:drawing>
          <wp:inline distB="0" distT="0" distL="0" distR="0">
            <wp:extent cx="1381916" cy="214197"/>
            <wp:effectExtent b="0" l="0" r="0" t="0"/>
            <wp:docPr descr="A blue letter on a black background&#10;&#10;Description automatically generated" id="4" name="image1.png"/>
            <a:graphic>
              <a:graphicData uri="http://schemas.openxmlformats.org/drawingml/2006/picture">
                <pic:pic>
                  <pic:nvPicPr>
                    <pic:cNvPr descr="A blue letter on a black background&#10;&#10;Description automatically generated" id="0" name="image1.png"/>
                    <pic:cNvPicPr preferRelativeResize="0"/>
                  </pic:nvPicPr>
                  <pic:blipFill>
                    <a:blip r:embed="rId7"/>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sz w:val="30"/>
          <w:szCs w:val="30"/>
        </w:rPr>
      </w:pPr>
      <w:r w:rsidDel="00000000" w:rsidR="00000000" w:rsidRPr="00000000">
        <w:rPr>
          <w:rFonts w:ascii="Arial" w:cs="Arial" w:eastAsia="Arial" w:hAnsi="Arial"/>
          <w:b w:val="1"/>
          <w:i w:val="0"/>
          <w:sz w:val="30"/>
          <w:szCs w:val="30"/>
          <w:u w:val="none"/>
          <w:vertAlign w:val="baseline"/>
          <w:rtl w:val="0"/>
        </w:rPr>
        <w:t xml:space="preserve">Samsung пуска на пазара нова карта microSD P9 Express за професионалисти и геймъри от ново поколение</w:t>
      </w: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i w:val="0"/>
          <w:u w:val="none"/>
          <w:vertAlign w:val="baseline"/>
          <w:rtl w:val="0"/>
        </w:rPr>
        <w:t xml:space="preserve">27 октомври 2025 г.</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i w:val="0"/>
          <w:u w:val="none"/>
          <w:vertAlign w:val="baseline"/>
          <w:rtl w:val="0"/>
        </w:rPr>
        <w:t xml:space="preserve">Samsung Electronics</w:t>
      </w:r>
      <w:r w:rsidDel="00000000" w:rsidR="00000000" w:rsidRPr="00000000">
        <w:rPr>
          <w:rFonts w:ascii="Arial" w:cs="Arial" w:eastAsia="Arial" w:hAnsi="Arial"/>
          <w:b w:val="0"/>
          <w:i w:val="0"/>
          <w:u w:val="none"/>
          <w:vertAlign w:val="baseline"/>
          <w:rtl w:val="0"/>
        </w:rPr>
        <w:t xml:space="preserve"> обяви днес пускането на пазара на P9 Express – нова серия карти microSD Express, проектирана да предостави игрови преживявания от ново поколение и оптимизирана за водещи платформи, включително Nintendo Switch™ 2</w:t>
      </w:r>
      <w:r w:rsidDel="00000000" w:rsidR="00000000" w:rsidRPr="00000000">
        <w:rPr>
          <w:rFonts w:ascii="Arial" w:cs="Arial" w:eastAsia="Arial" w:hAnsi="Arial"/>
          <w:b w:val="0"/>
          <w:i w:val="0"/>
          <w:u w:val="none"/>
          <w:vertAlign w:val="superscript"/>
          <w:rtl w:val="0"/>
        </w:rPr>
        <w:t xml:space="preserve">1)</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0"/>
          <w:i w:val="0"/>
          <w:u w:val="none"/>
          <w:vertAlign w:val="baseline"/>
          <w:rtl w:val="0"/>
        </w:rPr>
        <w:t xml:space="preserve">Базирана на интерфейс PCIe и протокол NVMe, технологията SD Express значително подобрява производителността на преноса на данни в сравнение с картите UHS-I, което я прави идеална за среди, изискващи обработка на големи обеми данни и бърз пренос на информация.</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0"/>
          <w:i w:val="0"/>
          <w:u w:val="none"/>
          <w:vertAlign w:val="baseline"/>
          <w:rtl w:val="0"/>
        </w:rPr>
        <w:t xml:space="preserve">Картата P9 Express е особено ценна за запалените геймъри, които се наслаждават на разнообразни игри и DLC-та, които често изискват допълнителен капацитет за съхранение, надхвърлящ вътрешната памет. За да отговори на различните нужди, картата се предлага във варианти с капацитет от 256 и 512 GB. Тя също така предоставя идеално решение за потребителите, споделящи една конзола, където е необходим голям капацитет за инсталиране на няколко различни игри, като помага на геймърите да преодолеят ограниченията на вътрешната памет и да се наслаждават на голямо разнообразие от заглавия без компромиси. Когато се използва със специален интерфейс SD Express, картата P9 Express осигурява последователна скорост на четене до четири пъти по-висока от UHS-I</w:t>
      </w:r>
      <w:r w:rsidDel="00000000" w:rsidR="00000000" w:rsidRPr="00000000">
        <w:rPr>
          <w:rFonts w:ascii="Arial" w:cs="Arial" w:eastAsia="Arial" w:hAnsi="Arial"/>
          <w:b w:val="0"/>
          <w:i w:val="0"/>
          <w:u w:val="none"/>
          <w:vertAlign w:val="superscript"/>
          <w:rtl w:val="0"/>
        </w:rPr>
        <w:t xml:space="preserve">2)</w:t>
      </w:r>
      <w:r w:rsidDel="00000000" w:rsidR="00000000" w:rsidRPr="00000000">
        <w:rPr>
          <w:rFonts w:ascii="Arial" w:cs="Arial" w:eastAsia="Arial" w:hAnsi="Arial"/>
          <w:b w:val="0"/>
          <w:i w:val="0"/>
          <w:u w:val="none"/>
          <w:vertAlign w:val="baseline"/>
          <w:rtl w:val="0"/>
        </w:rPr>
        <w:t xml:space="preserve">, което позволява на творците и професионалистите ефективно да прехвърлят големи обеми на данни от устройствата си към настолни компютри, лаптопи и работни станции</w:t>
      </w:r>
      <w:r w:rsidDel="00000000" w:rsidR="00000000" w:rsidRPr="00000000">
        <w:rPr>
          <w:rFonts w:ascii="Arial" w:cs="Arial" w:eastAsia="Arial" w:hAnsi="Arial"/>
          <w:b w:val="0"/>
          <w:i w:val="0"/>
          <w:u w:val="none"/>
          <w:vertAlign w:val="superscript"/>
          <w:rtl w:val="0"/>
        </w:rPr>
        <w:t xml:space="preserve">3)</w:t>
      </w:r>
      <w:r w:rsidDel="00000000" w:rsidR="00000000" w:rsidRPr="00000000">
        <w:rPr>
          <w:rFonts w:ascii="Arial" w:cs="Arial" w:eastAsia="Arial" w:hAnsi="Arial"/>
          <w:b w:val="0"/>
          <w:i w:val="0"/>
          <w:u w:val="none"/>
          <w:vertAlign w:val="baseline"/>
          <w:rtl w:val="0"/>
        </w:rPr>
        <w:t xml:space="preserve">. Тази комбинация от висока скорост и надеждност прави P9 Express отличен избор като за потапящо игрово преживяване, така и за взискателни работни процеси, като редактиране, визуализиране и управление на големи медиафайлове.</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0"/>
          <w:i w:val="0"/>
          <w:u w:val="none"/>
          <w:vertAlign w:val="baseline"/>
          <w:rtl w:val="0"/>
        </w:rPr>
        <w:t xml:space="preserve">Използвайки ултрабързи скорости на трансфер, поддръжка на Host Memory Buffer (HMB) и усъвършенствана технология Dynamic Thermal Guard (DTG), разработена първоначално за SSD дискове, картата P9 Express осигурява плавно гейминг изживяване, сравнимо с игра директно от вътрешната памет. Технологията DTG интелигентно следи и регулира температурата на картата, предотвратявайки прегряване и поддържайки постоянна производителност, дори по време на дълги сесии. HMB подобрява производителността чрез ефективно използване на паметта на хост системата за ускоряване на достъпа до данни, като допълнително подобрява отзивчивостта по време на игра. С максимална последователна скорост на четене до 800 MB/s – до четири пъти по-бърза от обикновените карти UHS-I – тази комбинация осигурява стабилност, позволявайки на играчите да останат напълно погълнати от играта без забавяне или прекъсвания.</w:t>
      </w:r>
      <w:r w:rsidDel="00000000" w:rsidR="00000000" w:rsidRPr="00000000">
        <w:rPr>
          <w:rtl w:val="0"/>
        </w:rPr>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0"/>
          <w:i w:val="0"/>
          <w:u w:val="none"/>
          <w:vertAlign w:val="baseline"/>
          <w:rtl w:val="0"/>
        </w:rPr>
        <w:t xml:space="preserve">За да защити ценните данни – независимо дали става дума за напредъка в играта или големи медиафайлове – картата P9 Express разполага с 6-степенна защита, която я предпазва от потапяне във вода, екстремни температури, излагане на рентгенови лъчи, случайно падане, прах и налягане. Тези надеждни предпазни мерки гарантират целостта на данните и устойчива производителност, като осигуряват спокойствие на потребителите по време на продължителни игрови сесии и при взискателни работни процеси.</w:t>
      </w: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0"/>
          <w:i w:val="0"/>
          <w:u w:val="none"/>
          <w:vertAlign w:val="baseline"/>
          <w:rtl w:val="0"/>
        </w:rPr>
        <w:t xml:space="preserve">Моделите с капацитет от 256 и 512 GB</w:t>
      </w:r>
      <w:r w:rsidDel="00000000" w:rsidR="00000000" w:rsidRPr="00000000">
        <w:rPr>
          <w:rFonts w:ascii="Arial" w:cs="Arial" w:eastAsia="Arial" w:hAnsi="Arial"/>
          <w:b w:val="0"/>
          <w:i w:val="0"/>
          <w:u w:val="none"/>
          <w:vertAlign w:val="superscript"/>
          <w:rtl w:val="0"/>
        </w:rPr>
        <w:t xml:space="preserve">4)</w:t>
      </w:r>
      <w:r w:rsidDel="00000000" w:rsidR="00000000" w:rsidRPr="00000000">
        <w:rPr>
          <w:rFonts w:ascii="Arial" w:cs="Arial" w:eastAsia="Arial" w:hAnsi="Arial"/>
          <w:b w:val="0"/>
          <w:i w:val="0"/>
          <w:u w:val="none"/>
          <w:vertAlign w:val="baseline"/>
          <w:rtl w:val="0"/>
        </w:rPr>
        <w:t xml:space="preserve"> вече са налични за покупка на Samsung.com и чрез оторизирани търговци по целия свят. Препоръчителните цени на производителя са 54,99 $ за модела с капацитет от 256 GB И 99,99 $ за модела с капацитет от 512 GB.</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0"/>
          <w:i w:val="0"/>
          <w:u w:val="none"/>
          <w:vertAlign w:val="baseline"/>
          <w:rtl w:val="0"/>
        </w:rPr>
        <w:t xml:space="preserve">За повече информация, включително подробности за гаранцията, посетете semiconductor.samsung.com/support.</w:t>
      </w: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i w:val="0"/>
          <w:u w:val="none"/>
          <w:vertAlign w:val="baseline"/>
          <w:rtl w:val="0"/>
        </w:rPr>
        <w:t xml:space="preserve">Бележки</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Nintendo. Nintendo Switch е регистрирана търговска марка на Nintendo.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Въз основа на вътрешни тестове с карта microSD P9 Express с капацитет от 512 GB, измерени с тестова платка PCIe, в сравнение с карти microSD UHS-I, тествани с карта microSD PRO Ultimate с капацитет от 512 GB и четци на Samsung. Реалната производителност може да варира в зависимост от хост устройството, интерфейса, условията на употреба и други фактори.</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Съвместими с устройства със слот за карти microSDXC™ и хост устройства microSD™ Express. Скоростта на прехвърляне може да бъде ограничена до скорости на UHS-I в зависимости от съвместимостта на хост устройството.</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GB = 1 000 000 000 байта. Реалният капацитет може да е по-малък от посочения. Част от паметта може да се използва за системни файлове и други цели, свързани с контрола на паметта.</w:t>
      </w:r>
    </w:p>
    <w:sectPr>
      <w:pgSz w:h="16838" w:w="11906" w:orient="portrait"/>
      <w:pgMar w:bottom="1247" w:top="1247" w:left="1247" w:right="1247"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bg"/>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normaltextrun" w:customStyle="1">
    <w:name w:val="normaltextrun"/>
    <w:basedOn w:val="a0"/>
    <w:rsid w:val="0012341D"/>
  </w:style>
  <w:style w:type="paragraph" w:styleId="a3">
    <w:name w:val="List Paragraph"/>
    <w:basedOn w:val="a"/>
    <w:uiPriority w:val="34"/>
    <w:qFormat w:val="1"/>
    <w:rsid w:val="0012341D"/>
    <w:pPr>
      <w:ind w:left="800" w:leftChars="400"/>
    </w:pPr>
  </w:style>
  <w:style w:type="paragraph" w:styleId="a4">
    <w:name w:val="header"/>
    <w:basedOn w:val="a"/>
    <w:link w:val="Char"/>
    <w:uiPriority w:val="99"/>
    <w:unhideWhenUsed w:val="1"/>
    <w:rsid w:val="000A7B5C"/>
    <w:pPr>
      <w:tabs>
        <w:tab w:val="center" w:pos="4513"/>
        <w:tab w:val="right" w:pos="9026"/>
      </w:tabs>
      <w:snapToGrid w:val="0"/>
    </w:pPr>
  </w:style>
  <w:style w:type="character" w:styleId="Char" w:customStyle="1">
    <w:name w:val="머리글 Char"/>
    <w:basedOn w:val="a0"/>
    <w:link w:val="a4"/>
    <w:uiPriority w:val="99"/>
    <w:rsid w:val="000A7B5C"/>
  </w:style>
  <w:style w:type="paragraph" w:styleId="a5">
    <w:name w:val="footer"/>
    <w:basedOn w:val="a"/>
    <w:link w:val="Char0"/>
    <w:uiPriority w:val="99"/>
    <w:unhideWhenUsed w:val="1"/>
    <w:rsid w:val="000A7B5C"/>
    <w:pPr>
      <w:tabs>
        <w:tab w:val="center" w:pos="4513"/>
        <w:tab w:val="right" w:pos="9026"/>
      </w:tabs>
      <w:snapToGrid w:val="0"/>
    </w:pPr>
  </w:style>
  <w:style w:type="character" w:styleId="Char0" w:customStyle="1">
    <w:name w:val="바닥글 Char"/>
    <w:basedOn w:val="a0"/>
    <w:link w:val="a5"/>
    <w:uiPriority w:val="99"/>
    <w:rsid w:val="000A7B5C"/>
  </w:style>
  <w:style w:type="paragraph" w:styleId="a6">
    <w:name w:val="Date"/>
    <w:basedOn w:val="a"/>
    <w:next w:val="a"/>
    <w:link w:val="Char1"/>
    <w:uiPriority w:val="99"/>
    <w:semiHidden w:val="1"/>
    <w:unhideWhenUsed w:val="1"/>
    <w:rsid w:val="000A7B5C"/>
  </w:style>
  <w:style w:type="character" w:styleId="Char1" w:customStyle="1">
    <w:name w:val="날짜 Char"/>
    <w:basedOn w:val="a0"/>
    <w:link w:val="a6"/>
    <w:uiPriority w:val="99"/>
    <w:semiHidden w:val="1"/>
    <w:rsid w:val="000A7B5C"/>
  </w:style>
  <w:style w:type="paragraph" w:styleId="a7">
    <w:name w:val="Balloon Text"/>
    <w:basedOn w:val="a"/>
    <w:link w:val="Char2"/>
    <w:uiPriority w:val="99"/>
    <w:semiHidden w:val="1"/>
    <w:unhideWhenUsed w:val="1"/>
    <w:rsid w:val="00214450"/>
    <w:pPr>
      <w:spacing w:after="0" w:line="240" w:lineRule="auto"/>
    </w:pPr>
    <w:rPr>
      <w:rFonts w:asciiTheme="majorHAnsi" w:cstheme="majorBidi" w:eastAsiaTheme="majorEastAsia" w:hAnsiTheme="majorHAnsi"/>
      <w:sz w:val="18"/>
      <w:szCs w:val="18"/>
    </w:rPr>
  </w:style>
  <w:style w:type="character" w:styleId="Char2" w:customStyle="1">
    <w:name w:val="풍선 도움말 텍스트 Char"/>
    <w:basedOn w:val="a0"/>
    <w:link w:val="a7"/>
    <w:uiPriority w:val="99"/>
    <w:semiHidden w:val="1"/>
    <w:rsid w:val="00214450"/>
    <w:rPr>
      <w:rFonts w:asciiTheme="majorHAnsi" w:cstheme="majorBidi" w:eastAsiaTheme="majorEastAsia" w:hAnsiTheme="majorHAnsi"/>
      <w:sz w:val="18"/>
      <w:szCs w:val="18"/>
    </w:rPr>
  </w:style>
  <w:style w:type="paragraph" w:styleId="a8">
    <w:name w:val="annotation text"/>
    <w:basedOn w:val="a"/>
    <w:link w:val="Char3"/>
    <w:uiPriority w:val="99"/>
    <w:unhideWhenUsed w:val="1"/>
    <w:rsid w:val="004571F6"/>
    <w:pPr>
      <w:widowControl w:val="1"/>
      <w:wordWrap w:val="1"/>
      <w:autoSpaceDE w:val="1"/>
      <w:autoSpaceDN w:val="1"/>
      <w:spacing w:line="240" w:lineRule="auto"/>
      <w:jc w:val="left"/>
    </w:pPr>
    <w:rPr>
      <w:kern w:val="0"/>
      <w:szCs w:val="20"/>
      <w:lang w:eastAsia="ja-JP"/>
    </w:rPr>
  </w:style>
  <w:style w:type="character" w:styleId="Char3" w:customStyle="1">
    <w:name w:val="메모 텍스트 Char"/>
    <w:basedOn w:val="a0"/>
    <w:link w:val="a8"/>
    <w:uiPriority w:val="99"/>
    <w:rsid w:val="004571F6"/>
    <w:rPr>
      <w:kern w:val="0"/>
      <w:szCs w:val="20"/>
      <w:lang w:eastAsia="ja-JP"/>
    </w:rPr>
  </w:style>
  <w:style w:type="character" w:styleId="a9">
    <w:name w:val="annotation reference"/>
    <w:basedOn w:val="a0"/>
    <w:uiPriority w:val="99"/>
    <w:semiHidden w:val="1"/>
    <w:unhideWhenUsed w:val="1"/>
    <w:rsid w:val="004571F6"/>
    <w:rPr>
      <w:sz w:val="16"/>
      <w:szCs w:val="16"/>
    </w:rPr>
  </w:style>
  <w:style w:type="paragraph" w:styleId="aa">
    <w:name w:val="footnote text"/>
    <w:basedOn w:val="a"/>
    <w:link w:val="Char4"/>
    <w:uiPriority w:val="99"/>
    <w:semiHidden w:val="1"/>
    <w:unhideWhenUsed w:val="1"/>
    <w:rsid w:val="004571F6"/>
    <w:pPr>
      <w:spacing w:after="0" w:line="240" w:lineRule="auto"/>
    </w:pPr>
    <w:rPr>
      <w:szCs w:val="20"/>
    </w:rPr>
  </w:style>
  <w:style w:type="character" w:styleId="Char4" w:customStyle="1">
    <w:name w:val="각주 텍스트 Char"/>
    <w:basedOn w:val="a0"/>
    <w:link w:val="aa"/>
    <w:uiPriority w:val="99"/>
    <w:semiHidden w:val="1"/>
    <w:rsid w:val="004571F6"/>
    <w:rPr>
      <w:szCs w:val="20"/>
    </w:rPr>
  </w:style>
  <w:style w:type="character" w:styleId="ab">
    <w:name w:val="footnote reference"/>
    <w:basedOn w:val="a0"/>
    <w:uiPriority w:val="99"/>
    <w:semiHidden w:val="1"/>
    <w:unhideWhenUsed w:val="1"/>
    <w:rsid w:val="004571F6"/>
    <w:rPr>
      <w:vertAlign w:val="superscript"/>
    </w:rPr>
  </w:style>
  <w:style w:type="paragraph" w:styleId="ac">
    <w:name w:val="Normal (Web)"/>
    <w:basedOn w:val="a"/>
    <w:uiPriority w:val="99"/>
    <w:semiHidden w:val="1"/>
    <w:unhideWhenUsed w:val="1"/>
    <w:rsid w:val="00F36E8E"/>
    <w:pPr>
      <w:widowControl w:val="1"/>
      <w:wordWrap w:val="1"/>
      <w:autoSpaceDE w:val="1"/>
      <w:autoSpaceDN w:val="1"/>
      <w:spacing w:after="100" w:afterAutospacing="1" w:before="100" w:beforeAutospacing="1" w:line="240" w:lineRule="auto"/>
      <w:jc w:val="left"/>
    </w:pPr>
    <w:rPr>
      <w:rFonts w:ascii="굴림" w:cs="굴림" w:eastAsia="굴림" w:hAnsi="굴림"/>
      <w:kern w:val="0"/>
      <w:sz w:val="24"/>
      <w:szCs w:val="24"/>
    </w:rPr>
  </w:style>
  <w:style w:type="character" w:styleId="ad">
    <w:name w:val="Strong"/>
    <w:basedOn w:val="a0"/>
    <w:uiPriority w:val="22"/>
    <w:qFormat w:val="1"/>
    <w:rsid w:val="00F36E8E"/>
    <w:rPr>
      <w:b w:val="1"/>
      <w:bCs w:val="1"/>
    </w:rPr>
  </w:style>
  <w:style w:type="character" w:styleId="ae">
    <w:name w:val="Hyperlink"/>
    <w:basedOn w:val="a0"/>
    <w:uiPriority w:val="99"/>
    <w:semiHidden w:val="1"/>
    <w:unhideWhenUsed w:val="1"/>
    <w:rsid w:val="007232DF"/>
    <w:rPr>
      <w:color w:val="0000ff"/>
      <w:u w:val="single"/>
    </w:rPr>
  </w:style>
  <w:style w:type="paragraph" w:styleId="af">
    <w:name w:val="annotation subject"/>
    <w:basedOn w:val="a8"/>
    <w:next w:val="a8"/>
    <w:link w:val="Char5"/>
    <w:uiPriority w:val="99"/>
    <w:semiHidden w:val="1"/>
    <w:unhideWhenUsed w:val="1"/>
    <w:rsid w:val="00D7402F"/>
    <w:pPr>
      <w:widowControl w:val="0"/>
      <w:wordWrap w:val="0"/>
      <w:autoSpaceDE w:val="0"/>
      <w:autoSpaceDN w:val="0"/>
      <w:spacing w:line="259" w:lineRule="auto"/>
    </w:pPr>
    <w:rPr>
      <w:b w:val="1"/>
      <w:bCs w:val="1"/>
      <w:kern w:val="2"/>
      <w:szCs w:val="22"/>
      <w:lang w:eastAsia="ko-KR"/>
    </w:rPr>
  </w:style>
  <w:style w:type="character" w:styleId="Char5" w:customStyle="1">
    <w:name w:val="메모 주제 Char"/>
    <w:basedOn w:val="Char3"/>
    <w:link w:val="af"/>
    <w:uiPriority w:val="99"/>
    <w:semiHidden w:val="1"/>
    <w:rsid w:val="00D7402F"/>
    <w:rPr>
      <w:b w:val="1"/>
      <w:bCs w:val="1"/>
      <w:kern w:val="0"/>
      <w:szCs w:val="20"/>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3RBSwQIOjVSM931qLpAepoeuBA==">CgMxLjA4AHIhMXpoQ1c1c2hwVmVEenloLWRiVEM4TGtzX3hGU1ZwWWRN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2025-10-02T04:47:00Z</dcterms:created>
  <dc:creator>김예빈/ YEBIN KIM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