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0D88" w14:textId="2D5C9CB7" w:rsidR="009044FF" w:rsidRPr="001530A4" w:rsidRDefault="00923443" w:rsidP="009044FF">
      <w:pPr>
        <w:spacing w:line="240" w:lineRule="auto"/>
        <w:jc w:val="center"/>
        <w:rPr>
          <w:b/>
          <w:bCs/>
          <w:sz w:val="20"/>
          <w:szCs w:val="20"/>
          <w:lang w:val="en-GB"/>
        </w:rPr>
      </w:pPr>
      <w:r w:rsidRPr="001530A4">
        <w:rPr>
          <w:b/>
          <w:bCs/>
          <w:sz w:val="20"/>
          <w:szCs w:val="20"/>
          <w:lang w:val="en-GB"/>
        </w:rPr>
        <w:t>New leases lead the way as availability continue</w:t>
      </w:r>
      <w:r w:rsidR="002375BA">
        <w:rPr>
          <w:b/>
          <w:bCs/>
          <w:sz w:val="20"/>
          <w:szCs w:val="20"/>
          <w:lang w:val="en-GB"/>
        </w:rPr>
        <w:t>s</w:t>
      </w:r>
      <w:r w:rsidRPr="001530A4">
        <w:rPr>
          <w:b/>
          <w:bCs/>
          <w:sz w:val="20"/>
          <w:szCs w:val="20"/>
          <w:lang w:val="en-GB"/>
        </w:rPr>
        <w:t xml:space="preserve"> to shrink in </w:t>
      </w:r>
      <w:r w:rsidR="00C609D5" w:rsidRPr="001530A4">
        <w:rPr>
          <w:b/>
          <w:bCs/>
          <w:sz w:val="20"/>
          <w:szCs w:val="20"/>
          <w:lang w:val="en-GB"/>
        </w:rPr>
        <w:t>central locations</w:t>
      </w:r>
    </w:p>
    <w:p w14:paraId="18741A18" w14:textId="2D575875" w:rsidR="009044FF" w:rsidRPr="001530A4" w:rsidRDefault="00C24C03" w:rsidP="00773AAB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1530A4">
        <w:rPr>
          <w:b/>
          <w:bCs/>
          <w:sz w:val="20"/>
          <w:szCs w:val="20"/>
          <w:lang w:val="en-GB"/>
        </w:rPr>
        <w:t xml:space="preserve">After the first three quarters of </w:t>
      </w:r>
      <w:r w:rsidR="009044FF" w:rsidRPr="001530A4">
        <w:rPr>
          <w:b/>
          <w:bCs/>
          <w:sz w:val="20"/>
          <w:szCs w:val="20"/>
          <w:lang w:val="en-GB"/>
        </w:rPr>
        <w:t>2025</w:t>
      </w:r>
      <w:r w:rsidRPr="001530A4">
        <w:rPr>
          <w:b/>
          <w:bCs/>
          <w:sz w:val="20"/>
          <w:szCs w:val="20"/>
          <w:lang w:val="en-GB"/>
        </w:rPr>
        <w:t xml:space="preserve">, the Warsaw office market sends a clear signal: </w:t>
      </w:r>
      <w:r w:rsidR="0056473A" w:rsidRPr="001530A4">
        <w:rPr>
          <w:b/>
          <w:bCs/>
          <w:sz w:val="20"/>
          <w:szCs w:val="20"/>
          <w:lang w:val="en-GB"/>
        </w:rPr>
        <w:t xml:space="preserve">office availability – especially in prime locations – is </w:t>
      </w:r>
      <w:r w:rsidR="00377D93" w:rsidRPr="001530A4">
        <w:rPr>
          <w:b/>
          <w:bCs/>
          <w:sz w:val="20"/>
          <w:szCs w:val="20"/>
          <w:lang w:val="en-GB"/>
        </w:rPr>
        <w:t xml:space="preserve">sharply </w:t>
      </w:r>
      <w:r w:rsidR="0056473A" w:rsidRPr="001530A4">
        <w:rPr>
          <w:b/>
          <w:bCs/>
          <w:sz w:val="20"/>
          <w:szCs w:val="20"/>
          <w:lang w:val="en-GB"/>
        </w:rPr>
        <w:t>shrinking</w:t>
      </w:r>
      <w:r w:rsidR="00377D93" w:rsidRPr="001530A4">
        <w:rPr>
          <w:b/>
          <w:bCs/>
          <w:sz w:val="20"/>
          <w:szCs w:val="20"/>
          <w:lang w:val="en-GB"/>
        </w:rPr>
        <w:t>.</w:t>
      </w:r>
      <w:r w:rsidR="0056473A" w:rsidRPr="001530A4">
        <w:rPr>
          <w:b/>
          <w:bCs/>
          <w:sz w:val="20"/>
          <w:szCs w:val="20"/>
          <w:lang w:val="en-GB"/>
        </w:rPr>
        <w:t xml:space="preserve"> </w:t>
      </w:r>
      <w:r w:rsidR="00EF45E0" w:rsidRPr="001530A4">
        <w:rPr>
          <w:b/>
          <w:bCs/>
          <w:sz w:val="20"/>
          <w:szCs w:val="20"/>
          <w:lang w:val="en-GB"/>
        </w:rPr>
        <w:t xml:space="preserve">According to global real estate services firm </w:t>
      </w:r>
      <w:r w:rsidR="009044FF" w:rsidRPr="001530A4">
        <w:rPr>
          <w:b/>
          <w:bCs/>
          <w:sz w:val="20"/>
          <w:szCs w:val="20"/>
          <w:lang w:val="en-GB"/>
        </w:rPr>
        <w:t xml:space="preserve">Cushman &amp; Wakefield, </w:t>
      </w:r>
      <w:r w:rsidR="00EF45E0" w:rsidRPr="001530A4">
        <w:rPr>
          <w:b/>
          <w:bCs/>
          <w:sz w:val="20"/>
          <w:szCs w:val="20"/>
          <w:lang w:val="en-GB"/>
        </w:rPr>
        <w:t xml:space="preserve">Warsaw’s </w:t>
      </w:r>
      <w:r w:rsidR="00B23D0A" w:rsidRPr="001530A4">
        <w:rPr>
          <w:b/>
          <w:bCs/>
          <w:sz w:val="20"/>
          <w:szCs w:val="20"/>
          <w:lang w:val="en-GB"/>
        </w:rPr>
        <w:t xml:space="preserve">overall </w:t>
      </w:r>
      <w:r w:rsidR="00EF45E0" w:rsidRPr="001530A4">
        <w:rPr>
          <w:b/>
          <w:bCs/>
          <w:sz w:val="20"/>
          <w:szCs w:val="20"/>
          <w:lang w:val="en-GB"/>
        </w:rPr>
        <w:t>vacancy rate</w:t>
      </w:r>
      <w:r w:rsidR="00B23D0A" w:rsidRPr="001530A4">
        <w:rPr>
          <w:b/>
          <w:bCs/>
          <w:sz w:val="20"/>
          <w:szCs w:val="20"/>
          <w:lang w:val="en-GB"/>
        </w:rPr>
        <w:t xml:space="preserve"> fell to 9.7%</w:t>
      </w:r>
      <w:r w:rsidR="00DF5E71" w:rsidRPr="001530A4">
        <w:rPr>
          <w:b/>
          <w:bCs/>
          <w:sz w:val="20"/>
          <w:szCs w:val="20"/>
          <w:lang w:val="en-GB"/>
        </w:rPr>
        <w:t xml:space="preserve">, with the central zone reporting </w:t>
      </w:r>
      <w:r w:rsidR="00292433">
        <w:rPr>
          <w:b/>
          <w:bCs/>
          <w:sz w:val="20"/>
          <w:szCs w:val="20"/>
          <w:lang w:val="en-GB"/>
        </w:rPr>
        <w:t xml:space="preserve">just </w:t>
      </w:r>
      <w:r w:rsidR="00DF5E71" w:rsidRPr="001530A4">
        <w:rPr>
          <w:b/>
          <w:bCs/>
          <w:sz w:val="20"/>
          <w:szCs w:val="20"/>
          <w:lang w:val="en-GB"/>
        </w:rPr>
        <w:t xml:space="preserve">6.9%. This, coupled with </w:t>
      </w:r>
      <w:r w:rsidR="00280DAC" w:rsidRPr="001530A4">
        <w:rPr>
          <w:b/>
          <w:bCs/>
          <w:sz w:val="20"/>
          <w:szCs w:val="20"/>
          <w:lang w:val="en-GB"/>
        </w:rPr>
        <w:t xml:space="preserve">new supply constraints and stable demand, is expected to lead to upward pressure on rental rates in the city centre. </w:t>
      </w:r>
      <w:r w:rsidR="006137DF">
        <w:rPr>
          <w:b/>
          <w:bCs/>
          <w:sz w:val="20"/>
          <w:szCs w:val="20"/>
          <w:lang w:val="en-GB"/>
        </w:rPr>
        <w:t>Interestingly, the third quarter saw a</w:t>
      </w:r>
      <w:r w:rsidR="008247B5">
        <w:rPr>
          <w:b/>
          <w:bCs/>
          <w:sz w:val="20"/>
          <w:szCs w:val="20"/>
          <w:lang w:val="en-GB"/>
        </w:rPr>
        <w:t xml:space="preserve"> notable shift in take-up, as new leases took the lead</w:t>
      </w:r>
      <w:r w:rsidR="001D11B6">
        <w:rPr>
          <w:b/>
          <w:bCs/>
          <w:sz w:val="20"/>
          <w:szCs w:val="20"/>
          <w:lang w:val="en-GB"/>
        </w:rPr>
        <w:t xml:space="preserve"> once again</w:t>
      </w:r>
      <w:r w:rsidR="008247B5">
        <w:rPr>
          <w:b/>
          <w:bCs/>
          <w:sz w:val="20"/>
          <w:szCs w:val="20"/>
          <w:lang w:val="en-GB"/>
        </w:rPr>
        <w:t xml:space="preserve">, representing 45% of year-to-date activity, </w:t>
      </w:r>
      <w:r w:rsidR="00201FDA">
        <w:rPr>
          <w:b/>
          <w:bCs/>
          <w:sz w:val="20"/>
          <w:szCs w:val="20"/>
          <w:lang w:val="en-GB"/>
        </w:rPr>
        <w:t>and</w:t>
      </w:r>
      <w:r w:rsidR="008247B5">
        <w:rPr>
          <w:b/>
          <w:bCs/>
          <w:sz w:val="20"/>
          <w:szCs w:val="20"/>
          <w:lang w:val="en-GB"/>
        </w:rPr>
        <w:t xml:space="preserve"> re</w:t>
      </w:r>
      <w:r w:rsidR="00201FDA">
        <w:rPr>
          <w:b/>
          <w:bCs/>
          <w:sz w:val="20"/>
          <w:szCs w:val="20"/>
          <w:lang w:val="en-GB"/>
        </w:rPr>
        <w:t>newals accounted for</w:t>
      </w:r>
      <w:r w:rsidR="001530A4" w:rsidRPr="001530A4">
        <w:rPr>
          <w:b/>
          <w:bCs/>
          <w:sz w:val="20"/>
          <w:szCs w:val="20"/>
          <w:lang w:val="en-GB"/>
        </w:rPr>
        <w:t xml:space="preserve"> 42%.</w:t>
      </w:r>
      <w:r w:rsidR="009044FF" w:rsidRPr="001530A4">
        <w:rPr>
          <w:b/>
          <w:bCs/>
          <w:sz w:val="20"/>
          <w:szCs w:val="20"/>
          <w:lang w:val="en-GB"/>
        </w:rPr>
        <w:t xml:space="preserve"> </w:t>
      </w:r>
    </w:p>
    <w:p w14:paraId="5779DF1A" w14:textId="5869411B" w:rsidR="002520B6" w:rsidRPr="001530A4" w:rsidRDefault="001937D9" w:rsidP="00773AAB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b/>
          <w:bCs/>
          <w:sz w:val="20"/>
          <w:szCs w:val="20"/>
          <w:lang w:val="en-GB"/>
        </w:rPr>
        <w:t>SUPPLY</w:t>
      </w:r>
      <w:r w:rsidR="002520B6" w:rsidRPr="001530A4">
        <w:rPr>
          <w:b/>
          <w:bCs/>
          <w:sz w:val="20"/>
          <w:szCs w:val="20"/>
          <w:lang w:val="en-GB"/>
        </w:rPr>
        <w:t xml:space="preserve">: </w:t>
      </w:r>
      <w:r w:rsidR="00447592" w:rsidRPr="001530A4">
        <w:rPr>
          <w:b/>
          <w:bCs/>
          <w:sz w:val="20"/>
          <w:szCs w:val="20"/>
          <w:lang w:val="en-GB"/>
        </w:rPr>
        <w:t xml:space="preserve">Office </w:t>
      </w:r>
      <w:r w:rsidR="00E1103D" w:rsidRPr="001530A4">
        <w:rPr>
          <w:b/>
          <w:bCs/>
          <w:sz w:val="20"/>
          <w:szCs w:val="20"/>
          <w:lang w:val="en-GB"/>
        </w:rPr>
        <w:t>construction remains stable</w:t>
      </w:r>
      <w:r w:rsidR="00C64C47" w:rsidRPr="001530A4">
        <w:rPr>
          <w:b/>
          <w:bCs/>
          <w:sz w:val="20"/>
          <w:szCs w:val="20"/>
          <w:lang w:val="en-GB"/>
        </w:rPr>
        <w:t xml:space="preserve"> at a</w:t>
      </w:r>
      <w:r w:rsidR="00E1103D" w:rsidRPr="001530A4">
        <w:rPr>
          <w:b/>
          <w:bCs/>
          <w:sz w:val="20"/>
          <w:szCs w:val="20"/>
          <w:lang w:val="en-GB"/>
        </w:rPr>
        <w:t xml:space="preserve"> low level</w:t>
      </w:r>
      <w:r w:rsidR="004F774A" w:rsidRPr="001530A4">
        <w:rPr>
          <w:b/>
          <w:bCs/>
          <w:sz w:val="20"/>
          <w:szCs w:val="20"/>
          <w:lang w:val="en-GB"/>
        </w:rPr>
        <w:t xml:space="preserve">, with several projects </w:t>
      </w:r>
      <w:r w:rsidR="00415B59" w:rsidRPr="001530A4">
        <w:rPr>
          <w:b/>
          <w:bCs/>
          <w:sz w:val="20"/>
          <w:szCs w:val="20"/>
          <w:lang w:val="en-GB"/>
        </w:rPr>
        <w:t>set</w:t>
      </w:r>
      <w:r w:rsidR="004F774A" w:rsidRPr="001530A4">
        <w:rPr>
          <w:b/>
          <w:bCs/>
          <w:sz w:val="20"/>
          <w:szCs w:val="20"/>
          <w:lang w:val="en-GB"/>
        </w:rPr>
        <w:t xml:space="preserve"> to break ground</w:t>
      </w:r>
    </w:p>
    <w:p w14:paraId="57EA2FED" w14:textId="130E0E5A" w:rsidR="009044FF" w:rsidRPr="001530A4" w:rsidRDefault="004F774A" w:rsidP="009044FF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sz w:val="20"/>
          <w:szCs w:val="20"/>
          <w:lang w:val="en-GB"/>
        </w:rPr>
        <w:t xml:space="preserve">In the third quarter of </w:t>
      </w:r>
      <w:r w:rsidR="009044FF" w:rsidRPr="001530A4">
        <w:rPr>
          <w:sz w:val="20"/>
          <w:szCs w:val="20"/>
          <w:lang w:val="en-GB"/>
        </w:rPr>
        <w:t>2025</w:t>
      </w:r>
      <w:r w:rsidRPr="001530A4">
        <w:rPr>
          <w:sz w:val="20"/>
          <w:szCs w:val="20"/>
          <w:lang w:val="en-GB"/>
        </w:rPr>
        <w:t xml:space="preserve">, </w:t>
      </w:r>
      <w:r w:rsidR="00F53291" w:rsidRPr="001530A4">
        <w:rPr>
          <w:sz w:val="20"/>
          <w:szCs w:val="20"/>
          <w:lang w:val="en-GB"/>
        </w:rPr>
        <w:t xml:space="preserve">Warsaw’s total office stock stood at </w:t>
      </w:r>
      <w:r w:rsidR="009044FF" w:rsidRPr="001530A4">
        <w:rPr>
          <w:sz w:val="20"/>
          <w:szCs w:val="20"/>
          <w:lang w:val="en-GB"/>
        </w:rPr>
        <w:t>6</w:t>
      </w:r>
      <w:r w:rsidR="00F53291" w:rsidRPr="001530A4">
        <w:rPr>
          <w:sz w:val="20"/>
          <w:szCs w:val="20"/>
          <w:lang w:val="en-GB"/>
        </w:rPr>
        <w:t>.</w:t>
      </w:r>
      <w:r w:rsidR="009044FF" w:rsidRPr="001530A4">
        <w:rPr>
          <w:sz w:val="20"/>
          <w:szCs w:val="20"/>
          <w:lang w:val="en-GB"/>
        </w:rPr>
        <w:t>25 m</w:t>
      </w:r>
      <w:r w:rsidR="00F53291" w:rsidRPr="001530A4">
        <w:rPr>
          <w:sz w:val="20"/>
          <w:szCs w:val="20"/>
          <w:lang w:val="en-GB"/>
        </w:rPr>
        <w:t>illion sqm</w:t>
      </w:r>
      <w:r w:rsidR="009044FF" w:rsidRPr="001530A4">
        <w:rPr>
          <w:sz w:val="20"/>
          <w:szCs w:val="20"/>
          <w:lang w:val="en-GB"/>
        </w:rPr>
        <w:t xml:space="preserve">. </w:t>
      </w:r>
      <w:r w:rsidR="00653D57" w:rsidRPr="001530A4">
        <w:rPr>
          <w:sz w:val="20"/>
          <w:szCs w:val="20"/>
          <w:lang w:val="en-GB"/>
        </w:rPr>
        <w:t xml:space="preserve">According to Cushman &amp; Wakefield, the Warsaw office market is </w:t>
      </w:r>
      <w:r w:rsidR="00F11DA6" w:rsidRPr="001530A4">
        <w:rPr>
          <w:sz w:val="20"/>
          <w:szCs w:val="20"/>
          <w:lang w:val="en-GB"/>
        </w:rPr>
        <w:t>projected to expand by approximately 50,000 sqm by the end of the year</w:t>
      </w:r>
      <w:r w:rsidR="0056367E" w:rsidRPr="001530A4">
        <w:rPr>
          <w:sz w:val="20"/>
          <w:szCs w:val="20"/>
          <w:lang w:val="en-GB"/>
        </w:rPr>
        <w:t xml:space="preserve"> across two projects</w:t>
      </w:r>
      <w:r w:rsidR="00C509C6">
        <w:rPr>
          <w:sz w:val="20"/>
          <w:szCs w:val="20"/>
          <w:lang w:val="en-GB"/>
        </w:rPr>
        <w:t>:</w:t>
      </w:r>
      <w:r w:rsidR="00415B59" w:rsidRPr="001530A4">
        <w:rPr>
          <w:sz w:val="20"/>
          <w:szCs w:val="20"/>
          <w:lang w:val="en-GB"/>
        </w:rPr>
        <w:t xml:space="preserve"> </w:t>
      </w:r>
      <w:r w:rsidR="009044FF" w:rsidRPr="001530A4">
        <w:rPr>
          <w:sz w:val="20"/>
          <w:szCs w:val="20"/>
          <w:lang w:val="en-GB"/>
        </w:rPr>
        <w:t xml:space="preserve">Studio A </w:t>
      </w:r>
      <w:r w:rsidR="0056367E" w:rsidRPr="001530A4">
        <w:rPr>
          <w:sz w:val="20"/>
          <w:szCs w:val="20"/>
          <w:lang w:val="en-GB"/>
        </w:rPr>
        <w:t>and</w:t>
      </w:r>
      <w:r w:rsidR="009044FF" w:rsidRPr="001530A4">
        <w:rPr>
          <w:sz w:val="20"/>
          <w:szCs w:val="20"/>
          <w:lang w:val="en-GB"/>
        </w:rPr>
        <w:t xml:space="preserve"> V Tower, </w:t>
      </w:r>
      <w:r w:rsidR="0056367E" w:rsidRPr="001530A4">
        <w:rPr>
          <w:sz w:val="20"/>
          <w:szCs w:val="20"/>
          <w:lang w:val="en-GB"/>
        </w:rPr>
        <w:t>both located in City Centre West</w:t>
      </w:r>
      <w:r w:rsidR="009044FF" w:rsidRPr="001530A4">
        <w:rPr>
          <w:sz w:val="20"/>
          <w:szCs w:val="20"/>
          <w:lang w:val="en-GB"/>
        </w:rPr>
        <w:t>.</w:t>
      </w:r>
    </w:p>
    <w:p w14:paraId="238C0780" w14:textId="318B70E5" w:rsidR="0095564E" w:rsidRPr="001530A4" w:rsidRDefault="00F54AC1" w:rsidP="009044FF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sz w:val="20"/>
          <w:szCs w:val="20"/>
          <w:lang w:val="en-GB"/>
        </w:rPr>
        <w:t>S</w:t>
      </w:r>
      <w:r w:rsidR="0056636F" w:rsidRPr="001530A4">
        <w:rPr>
          <w:sz w:val="20"/>
          <w:szCs w:val="20"/>
          <w:lang w:val="en-GB"/>
        </w:rPr>
        <w:t>everal large</w:t>
      </w:r>
      <w:r w:rsidR="00CD0124">
        <w:rPr>
          <w:sz w:val="20"/>
          <w:szCs w:val="20"/>
          <w:lang w:val="en-GB"/>
        </w:rPr>
        <w:t>r</w:t>
      </w:r>
      <w:r w:rsidR="0056636F" w:rsidRPr="001530A4">
        <w:rPr>
          <w:sz w:val="20"/>
          <w:szCs w:val="20"/>
          <w:lang w:val="en-GB"/>
        </w:rPr>
        <w:t xml:space="preserve"> projects are </w:t>
      </w:r>
      <w:r w:rsidRPr="001530A4">
        <w:rPr>
          <w:sz w:val="20"/>
          <w:szCs w:val="20"/>
          <w:lang w:val="en-GB"/>
        </w:rPr>
        <w:t xml:space="preserve">also </w:t>
      </w:r>
      <w:r w:rsidR="0056636F" w:rsidRPr="001530A4">
        <w:rPr>
          <w:sz w:val="20"/>
          <w:szCs w:val="20"/>
          <w:lang w:val="en-GB"/>
        </w:rPr>
        <w:t>underway, including</w:t>
      </w:r>
      <w:r w:rsidR="0095564E" w:rsidRPr="001530A4">
        <w:rPr>
          <w:sz w:val="20"/>
          <w:szCs w:val="20"/>
          <w:lang w:val="en-GB"/>
        </w:rPr>
        <w:t xml:space="preserve"> </w:t>
      </w:r>
      <w:proofErr w:type="spellStart"/>
      <w:r w:rsidR="00184CD5" w:rsidRPr="001530A4">
        <w:rPr>
          <w:sz w:val="20"/>
          <w:szCs w:val="20"/>
          <w:lang w:val="en-GB"/>
        </w:rPr>
        <w:t>Karimpol’s</w:t>
      </w:r>
      <w:proofErr w:type="spellEnd"/>
      <w:r w:rsidR="00184CD5" w:rsidRPr="001530A4">
        <w:rPr>
          <w:sz w:val="20"/>
          <w:szCs w:val="20"/>
          <w:lang w:val="en-GB"/>
        </w:rPr>
        <w:t xml:space="preserve"> </w:t>
      </w:r>
      <w:r w:rsidR="0095564E" w:rsidRPr="001530A4">
        <w:rPr>
          <w:sz w:val="20"/>
          <w:szCs w:val="20"/>
          <w:lang w:val="en-GB"/>
        </w:rPr>
        <w:t>Skyliner II</w:t>
      </w:r>
      <w:r w:rsidR="00184CD5" w:rsidRPr="001530A4">
        <w:rPr>
          <w:sz w:val="20"/>
          <w:szCs w:val="20"/>
          <w:lang w:val="en-GB"/>
        </w:rPr>
        <w:t xml:space="preserve">, and Upper One, </w:t>
      </w:r>
      <w:r w:rsidR="008F020D" w:rsidRPr="001530A4">
        <w:rPr>
          <w:sz w:val="20"/>
          <w:szCs w:val="20"/>
          <w:lang w:val="en-GB"/>
        </w:rPr>
        <w:t xml:space="preserve">the flagship office tower of </w:t>
      </w:r>
      <w:r w:rsidR="00184CD5" w:rsidRPr="001530A4">
        <w:rPr>
          <w:sz w:val="20"/>
          <w:szCs w:val="20"/>
          <w:lang w:val="en-GB"/>
        </w:rPr>
        <w:t>Strabag RE</w:t>
      </w:r>
      <w:r w:rsidR="0095564E" w:rsidRPr="001530A4">
        <w:rPr>
          <w:sz w:val="20"/>
          <w:szCs w:val="20"/>
          <w:lang w:val="en-GB"/>
        </w:rPr>
        <w:t>.</w:t>
      </w:r>
    </w:p>
    <w:p w14:paraId="5D8358BE" w14:textId="3A931E66" w:rsidR="00A462E8" w:rsidRPr="001530A4" w:rsidRDefault="00797340" w:rsidP="00A462E8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530A4">
        <w:rPr>
          <w:i/>
          <w:iCs/>
          <w:sz w:val="20"/>
          <w:szCs w:val="20"/>
          <w:lang w:val="en-GB"/>
        </w:rPr>
        <w:t>“</w:t>
      </w:r>
      <w:r w:rsidR="003B30F5" w:rsidRPr="003B30F5">
        <w:rPr>
          <w:i/>
          <w:iCs/>
          <w:sz w:val="20"/>
          <w:szCs w:val="20"/>
          <w:lang w:val="en-GB"/>
        </w:rPr>
        <w:t xml:space="preserve">With new </w:t>
      </w:r>
      <w:r w:rsidR="009A7E89" w:rsidRPr="001530A4">
        <w:rPr>
          <w:i/>
          <w:iCs/>
          <w:sz w:val="20"/>
          <w:szCs w:val="20"/>
          <w:lang w:val="en-GB"/>
        </w:rPr>
        <w:t>development</w:t>
      </w:r>
      <w:r w:rsidR="0016347E" w:rsidRPr="001530A4">
        <w:rPr>
          <w:i/>
          <w:iCs/>
          <w:sz w:val="20"/>
          <w:szCs w:val="20"/>
          <w:lang w:val="en-GB"/>
        </w:rPr>
        <w:t>s</w:t>
      </w:r>
      <w:r w:rsidR="009A7E89" w:rsidRPr="001530A4">
        <w:rPr>
          <w:i/>
          <w:iCs/>
          <w:sz w:val="20"/>
          <w:szCs w:val="20"/>
          <w:lang w:val="en-GB"/>
        </w:rPr>
        <w:t xml:space="preserve"> concentrated </w:t>
      </w:r>
      <w:r w:rsidR="003B30F5" w:rsidRPr="003B30F5">
        <w:rPr>
          <w:i/>
          <w:iCs/>
          <w:sz w:val="20"/>
          <w:szCs w:val="20"/>
          <w:lang w:val="en-GB"/>
        </w:rPr>
        <w:t xml:space="preserve">in the city centre, tenant caution </w:t>
      </w:r>
      <w:r w:rsidR="0016347E" w:rsidRPr="001530A4">
        <w:rPr>
          <w:i/>
          <w:iCs/>
          <w:sz w:val="20"/>
          <w:szCs w:val="20"/>
          <w:lang w:val="en-GB"/>
        </w:rPr>
        <w:t>in</w:t>
      </w:r>
      <w:r w:rsidR="003B30F5" w:rsidRPr="003B30F5">
        <w:rPr>
          <w:i/>
          <w:iCs/>
          <w:sz w:val="20"/>
          <w:szCs w:val="20"/>
          <w:lang w:val="en-GB"/>
        </w:rPr>
        <w:t xml:space="preserve"> relocati</w:t>
      </w:r>
      <w:r w:rsidR="0016347E" w:rsidRPr="001530A4">
        <w:rPr>
          <w:i/>
          <w:iCs/>
          <w:sz w:val="20"/>
          <w:szCs w:val="20"/>
          <w:lang w:val="en-GB"/>
        </w:rPr>
        <w:t>ng</w:t>
      </w:r>
      <w:r w:rsidR="003B30F5" w:rsidRPr="003B30F5">
        <w:rPr>
          <w:i/>
          <w:iCs/>
          <w:sz w:val="20"/>
          <w:szCs w:val="20"/>
          <w:lang w:val="en-GB"/>
        </w:rPr>
        <w:t xml:space="preserve">, and elevated construction and financing costs, new office supply is </w:t>
      </w:r>
      <w:r w:rsidR="0016347E" w:rsidRPr="001530A4">
        <w:rPr>
          <w:i/>
          <w:iCs/>
          <w:sz w:val="20"/>
          <w:szCs w:val="20"/>
          <w:lang w:val="en-GB"/>
        </w:rPr>
        <w:t>expected</w:t>
      </w:r>
      <w:r w:rsidR="003B30F5" w:rsidRPr="003B30F5">
        <w:rPr>
          <w:i/>
          <w:iCs/>
          <w:sz w:val="20"/>
          <w:szCs w:val="20"/>
          <w:lang w:val="en-GB"/>
        </w:rPr>
        <w:t xml:space="preserve"> to remain constrained in the coming years.</w:t>
      </w:r>
      <w:r w:rsidR="00110A6D" w:rsidRPr="001530A4">
        <w:rPr>
          <w:i/>
          <w:iCs/>
          <w:sz w:val="20"/>
          <w:szCs w:val="20"/>
          <w:lang w:val="en-GB"/>
        </w:rPr>
        <w:t xml:space="preserve"> That said,</w:t>
      </w:r>
      <w:r w:rsidR="000D0779" w:rsidRPr="001530A4">
        <w:rPr>
          <w:i/>
          <w:iCs/>
          <w:sz w:val="20"/>
          <w:szCs w:val="20"/>
          <w:lang w:val="en-GB"/>
        </w:rPr>
        <w:t xml:space="preserve"> </w:t>
      </w:r>
      <w:r w:rsidR="0024793A" w:rsidRPr="001530A4">
        <w:rPr>
          <w:i/>
          <w:iCs/>
          <w:sz w:val="20"/>
          <w:szCs w:val="20"/>
          <w:lang w:val="en-GB"/>
        </w:rPr>
        <w:t>construction</w:t>
      </w:r>
      <w:r w:rsidR="003B30F5" w:rsidRPr="001530A4">
        <w:rPr>
          <w:i/>
          <w:iCs/>
          <w:sz w:val="20"/>
          <w:szCs w:val="20"/>
          <w:lang w:val="en-GB"/>
        </w:rPr>
        <w:t xml:space="preserve"> work is set to begin </w:t>
      </w:r>
      <w:r w:rsidR="0024793A" w:rsidRPr="001530A4">
        <w:rPr>
          <w:i/>
          <w:iCs/>
          <w:sz w:val="20"/>
          <w:szCs w:val="20"/>
          <w:lang w:val="en-GB"/>
        </w:rPr>
        <w:t>soon</w:t>
      </w:r>
      <w:r w:rsidR="000D0779" w:rsidRPr="001530A4">
        <w:rPr>
          <w:i/>
          <w:iCs/>
          <w:sz w:val="20"/>
          <w:szCs w:val="20"/>
          <w:lang w:val="en-GB"/>
        </w:rPr>
        <w:t xml:space="preserve"> </w:t>
      </w:r>
      <w:r w:rsidR="003B30F5" w:rsidRPr="001530A4">
        <w:rPr>
          <w:i/>
          <w:iCs/>
          <w:sz w:val="20"/>
          <w:szCs w:val="20"/>
          <w:lang w:val="en-GB"/>
        </w:rPr>
        <w:t xml:space="preserve">on the second phase of </w:t>
      </w:r>
      <w:proofErr w:type="spellStart"/>
      <w:r w:rsidR="003B30F5" w:rsidRPr="001530A4">
        <w:rPr>
          <w:i/>
          <w:iCs/>
          <w:sz w:val="20"/>
          <w:szCs w:val="20"/>
          <w:lang w:val="en-GB"/>
        </w:rPr>
        <w:t>Ghelamco’s</w:t>
      </w:r>
      <w:proofErr w:type="spellEnd"/>
      <w:r w:rsidR="003B30F5" w:rsidRPr="001530A4">
        <w:rPr>
          <w:i/>
          <w:iCs/>
          <w:sz w:val="20"/>
          <w:szCs w:val="20"/>
          <w:lang w:val="en-GB"/>
        </w:rPr>
        <w:t xml:space="preserve"> VIBE, another office building within the </w:t>
      </w:r>
      <w:proofErr w:type="spellStart"/>
      <w:r w:rsidR="003B30F5" w:rsidRPr="001530A4">
        <w:rPr>
          <w:i/>
          <w:iCs/>
          <w:sz w:val="20"/>
          <w:szCs w:val="20"/>
          <w:lang w:val="en-GB"/>
        </w:rPr>
        <w:t>Towarowa</w:t>
      </w:r>
      <w:proofErr w:type="spellEnd"/>
      <w:r w:rsidR="003B30F5" w:rsidRPr="001530A4">
        <w:rPr>
          <w:i/>
          <w:iCs/>
          <w:sz w:val="20"/>
          <w:szCs w:val="20"/>
          <w:lang w:val="en-GB"/>
        </w:rPr>
        <w:t xml:space="preserve"> 22 complex, developed by Echo Investment/AFI, </w:t>
      </w:r>
      <w:r w:rsidR="00BE6C05" w:rsidRPr="001530A4">
        <w:rPr>
          <w:i/>
          <w:iCs/>
          <w:sz w:val="20"/>
          <w:szCs w:val="20"/>
          <w:lang w:val="en-GB"/>
        </w:rPr>
        <w:t xml:space="preserve">as well as </w:t>
      </w:r>
      <w:r w:rsidR="001645A3" w:rsidRPr="001530A4">
        <w:rPr>
          <w:i/>
          <w:iCs/>
          <w:sz w:val="20"/>
          <w:szCs w:val="20"/>
          <w:lang w:val="en-GB"/>
        </w:rPr>
        <w:t xml:space="preserve">the demolition </w:t>
      </w:r>
      <w:r w:rsidR="00BB5C50" w:rsidRPr="001530A4">
        <w:rPr>
          <w:i/>
          <w:iCs/>
          <w:sz w:val="20"/>
          <w:szCs w:val="20"/>
          <w:lang w:val="en-GB"/>
        </w:rPr>
        <w:t xml:space="preserve">of the </w:t>
      </w:r>
      <w:proofErr w:type="spellStart"/>
      <w:r w:rsidR="00BB5C50" w:rsidRPr="001530A4">
        <w:rPr>
          <w:i/>
          <w:iCs/>
          <w:sz w:val="20"/>
          <w:szCs w:val="20"/>
          <w:lang w:val="en-GB"/>
        </w:rPr>
        <w:t>Prosta</w:t>
      </w:r>
      <w:proofErr w:type="spellEnd"/>
      <w:r w:rsidR="00BB5C50" w:rsidRPr="001530A4">
        <w:rPr>
          <w:i/>
          <w:iCs/>
          <w:sz w:val="20"/>
          <w:szCs w:val="20"/>
          <w:lang w:val="en-GB"/>
        </w:rPr>
        <w:t xml:space="preserve"> 69 building, to be replaced by </w:t>
      </w:r>
      <w:r w:rsidR="00BE6C05" w:rsidRPr="001530A4">
        <w:rPr>
          <w:i/>
          <w:iCs/>
          <w:sz w:val="20"/>
          <w:szCs w:val="20"/>
          <w:lang w:val="en-GB"/>
        </w:rPr>
        <w:t>CPI’s LightOn</w:t>
      </w:r>
      <w:r w:rsidR="002F1853" w:rsidRPr="001530A4">
        <w:rPr>
          <w:i/>
          <w:iCs/>
          <w:sz w:val="20"/>
          <w:szCs w:val="20"/>
          <w:lang w:val="en-GB"/>
        </w:rPr>
        <w:t>,”</w:t>
      </w:r>
      <w:r w:rsidR="009044FF" w:rsidRPr="001530A4">
        <w:rPr>
          <w:sz w:val="20"/>
          <w:szCs w:val="20"/>
          <w:lang w:val="en-GB"/>
        </w:rPr>
        <w:t xml:space="preserve"> </w:t>
      </w:r>
      <w:r w:rsidR="002F1853" w:rsidRPr="001530A4">
        <w:rPr>
          <w:sz w:val="20"/>
          <w:szCs w:val="20"/>
          <w:lang w:val="en-GB"/>
        </w:rPr>
        <w:t>says</w:t>
      </w:r>
      <w:r w:rsidR="002520B6" w:rsidRPr="001530A4">
        <w:rPr>
          <w:sz w:val="20"/>
          <w:szCs w:val="20"/>
          <w:lang w:val="en-GB"/>
        </w:rPr>
        <w:t xml:space="preserve"> </w:t>
      </w:r>
      <w:r w:rsidR="00A462E8" w:rsidRPr="001530A4">
        <w:rPr>
          <w:rFonts w:eastAsia="Times New Roman"/>
          <w:b/>
          <w:bCs/>
          <w:sz w:val="20"/>
          <w:szCs w:val="20"/>
          <w:lang w:val="en-GB" w:eastAsia="en-US"/>
        </w:rPr>
        <w:t xml:space="preserve">Vitalii Arkhypenko, </w:t>
      </w:r>
      <w:r w:rsidR="002F1853" w:rsidRPr="001530A4">
        <w:rPr>
          <w:rFonts w:eastAsia="Times New Roman"/>
          <w:b/>
          <w:bCs/>
          <w:sz w:val="20"/>
          <w:szCs w:val="20"/>
          <w:lang w:val="en-GB" w:eastAsia="en-US"/>
        </w:rPr>
        <w:t>Market Analyst</w:t>
      </w:r>
      <w:r w:rsidR="00A462E8" w:rsidRPr="001530A4">
        <w:rPr>
          <w:rFonts w:eastAsia="Times New Roman"/>
          <w:b/>
          <w:bCs/>
          <w:sz w:val="20"/>
          <w:szCs w:val="20"/>
          <w:lang w:val="en-GB" w:eastAsia="en-US"/>
        </w:rPr>
        <w:t>, Cushman &amp; Wakefield</w:t>
      </w:r>
      <w:r w:rsidR="00A462E8" w:rsidRPr="001530A4">
        <w:rPr>
          <w:rFonts w:eastAsia="Times New Roman"/>
          <w:sz w:val="20"/>
          <w:szCs w:val="20"/>
          <w:lang w:val="en-GB" w:eastAsia="en-US"/>
        </w:rPr>
        <w:t>.</w:t>
      </w:r>
    </w:p>
    <w:p w14:paraId="3DA9C4EA" w14:textId="28B61637" w:rsidR="00985CC6" w:rsidRPr="001530A4" w:rsidRDefault="000273AD" w:rsidP="00CC64C7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b/>
          <w:bCs/>
          <w:sz w:val="20"/>
          <w:szCs w:val="20"/>
          <w:lang w:val="en-GB"/>
        </w:rPr>
        <w:t>TAKE-UP</w:t>
      </w:r>
      <w:r w:rsidR="00985CC6" w:rsidRPr="001530A4">
        <w:rPr>
          <w:b/>
          <w:bCs/>
          <w:sz w:val="20"/>
          <w:szCs w:val="20"/>
          <w:lang w:val="en-GB"/>
        </w:rPr>
        <w:t>:</w:t>
      </w:r>
      <w:r w:rsidR="00CC64C7" w:rsidRPr="001530A4">
        <w:rPr>
          <w:b/>
          <w:bCs/>
          <w:sz w:val="20"/>
          <w:szCs w:val="20"/>
          <w:lang w:val="en-GB"/>
        </w:rPr>
        <w:t xml:space="preserve"> </w:t>
      </w:r>
      <w:r w:rsidR="00172522" w:rsidRPr="001530A4">
        <w:rPr>
          <w:b/>
          <w:bCs/>
          <w:sz w:val="20"/>
          <w:szCs w:val="20"/>
          <w:lang w:val="en-GB"/>
        </w:rPr>
        <w:t>Le</w:t>
      </w:r>
      <w:r w:rsidR="005336AC" w:rsidRPr="001530A4">
        <w:rPr>
          <w:b/>
          <w:bCs/>
          <w:sz w:val="20"/>
          <w:szCs w:val="20"/>
          <w:lang w:val="en-GB"/>
        </w:rPr>
        <w:t>a</w:t>
      </w:r>
      <w:r w:rsidR="00172522" w:rsidRPr="001530A4">
        <w:rPr>
          <w:b/>
          <w:bCs/>
          <w:sz w:val="20"/>
          <w:szCs w:val="20"/>
          <w:lang w:val="en-GB"/>
        </w:rPr>
        <w:t>sing activity picks up</w:t>
      </w:r>
      <w:r w:rsidR="00CC64C7" w:rsidRPr="001530A4">
        <w:rPr>
          <w:b/>
          <w:bCs/>
          <w:sz w:val="20"/>
          <w:szCs w:val="20"/>
          <w:lang w:val="en-GB"/>
        </w:rPr>
        <w:t xml:space="preserve"> </w:t>
      </w:r>
    </w:p>
    <w:p w14:paraId="40AC9F62" w14:textId="520712A0" w:rsidR="00633A16" w:rsidRPr="001530A4" w:rsidRDefault="004A3133" w:rsidP="00CC64C7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sz w:val="20"/>
          <w:szCs w:val="20"/>
          <w:lang w:val="en-GB"/>
        </w:rPr>
        <w:t xml:space="preserve">Occupier activity in the Warsaw office market </w:t>
      </w:r>
      <w:r w:rsidR="00D01780" w:rsidRPr="001530A4">
        <w:rPr>
          <w:sz w:val="20"/>
          <w:szCs w:val="20"/>
          <w:lang w:val="en-GB"/>
        </w:rPr>
        <w:t>remain</w:t>
      </w:r>
      <w:r w:rsidR="00665987" w:rsidRPr="001530A4">
        <w:rPr>
          <w:sz w:val="20"/>
          <w:szCs w:val="20"/>
          <w:lang w:val="en-GB"/>
        </w:rPr>
        <w:t>ed</w:t>
      </w:r>
      <w:r w:rsidR="00D01780" w:rsidRPr="001530A4">
        <w:rPr>
          <w:sz w:val="20"/>
          <w:szCs w:val="20"/>
          <w:lang w:val="en-GB"/>
        </w:rPr>
        <w:t xml:space="preserve"> steady </w:t>
      </w:r>
      <w:r w:rsidR="00665987" w:rsidRPr="001530A4">
        <w:rPr>
          <w:sz w:val="20"/>
          <w:szCs w:val="20"/>
          <w:lang w:val="en-GB"/>
        </w:rPr>
        <w:t>in</w:t>
      </w:r>
      <w:r w:rsidR="00D01780" w:rsidRPr="001530A4">
        <w:rPr>
          <w:sz w:val="20"/>
          <w:szCs w:val="20"/>
          <w:lang w:val="en-GB"/>
        </w:rPr>
        <w:t xml:space="preserve"> the first three quarters of 2025, with </w:t>
      </w:r>
      <w:r w:rsidR="00E234D9" w:rsidRPr="001530A4">
        <w:rPr>
          <w:sz w:val="20"/>
          <w:szCs w:val="20"/>
          <w:lang w:val="en-GB"/>
        </w:rPr>
        <w:t>take-up showing</w:t>
      </w:r>
      <w:r w:rsidR="0055396A" w:rsidRPr="001530A4">
        <w:rPr>
          <w:sz w:val="20"/>
          <w:szCs w:val="20"/>
          <w:lang w:val="en-GB"/>
        </w:rPr>
        <w:t xml:space="preserve"> green</w:t>
      </w:r>
      <w:r w:rsidR="001D5266" w:rsidRPr="001530A4">
        <w:rPr>
          <w:sz w:val="20"/>
          <w:szCs w:val="20"/>
          <w:lang w:val="en-GB"/>
        </w:rPr>
        <w:t xml:space="preserve"> </w:t>
      </w:r>
      <w:r w:rsidR="0055396A" w:rsidRPr="001530A4">
        <w:rPr>
          <w:sz w:val="20"/>
          <w:szCs w:val="20"/>
          <w:lang w:val="en-GB"/>
        </w:rPr>
        <w:t xml:space="preserve">shoots </w:t>
      </w:r>
      <w:r w:rsidR="001D5266" w:rsidRPr="001530A4">
        <w:rPr>
          <w:sz w:val="20"/>
          <w:szCs w:val="20"/>
          <w:lang w:val="en-GB"/>
        </w:rPr>
        <w:t>of recovery</w:t>
      </w:r>
      <w:r w:rsidR="00F00FD2" w:rsidRPr="001530A4">
        <w:rPr>
          <w:sz w:val="20"/>
          <w:szCs w:val="20"/>
          <w:lang w:val="en-GB"/>
        </w:rPr>
        <w:t>, primarily driven by</w:t>
      </w:r>
      <w:r w:rsidR="001D5266" w:rsidRPr="001530A4">
        <w:rPr>
          <w:sz w:val="20"/>
          <w:szCs w:val="20"/>
          <w:lang w:val="en-GB"/>
        </w:rPr>
        <w:t xml:space="preserve"> smaller and medium-sized tenants</w:t>
      </w:r>
      <w:r w:rsidR="00F00FD2" w:rsidRPr="001530A4">
        <w:rPr>
          <w:sz w:val="20"/>
          <w:szCs w:val="20"/>
          <w:lang w:val="en-GB"/>
        </w:rPr>
        <w:t xml:space="preserve"> relocating</w:t>
      </w:r>
      <w:r w:rsidR="00633A16" w:rsidRPr="001530A4">
        <w:rPr>
          <w:sz w:val="20"/>
          <w:szCs w:val="20"/>
          <w:lang w:val="en-GB"/>
        </w:rPr>
        <w:t>.</w:t>
      </w:r>
    </w:p>
    <w:p w14:paraId="47635CD9" w14:textId="27C5E7FD" w:rsidR="0095564E" w:rsidRPr="001530A4" w:rsidRDefault="006D555F" w:rsidP="00CC64C7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i/>
          <w:iCs/>
          <w:sz w:val="20"/>
          <w:szCs w:val="20"/>
          <w:lang w:val="en-GB"/>
        </w:rPr>
        <w:t>“</w:t>
      </w:r>
      <w:r w:rsidR="00CF68A5" w:rsidRPr="001530A4">
        <w:rPr>
          <w:i/>
          <w:iCs/>
          <w:sz w:val="20"/>
          <w:szCs w:val="20"/>
          <w:lang w:val="en-GB"/>
        </w:rPr>
        <w:t xml:space="preserve">From </w:t>
      </w:r>
      <w:r w:rsidR="007126A6" w:rsidRPr="001530A4">
        <w:rPr>
          <w:i/>
          <w:iCs/>
          <w:sz w:val="20"/>
          <w:szCs w:val="20"/>
          <w:lang w:val="en-GB"/>
        </w:rPr>
        <w:t>January</w:t>
      </w:r>
      <w:r w:rsidR="00CF68A5" w:rsidRPr="001530A4">
        <w:rPr>
          <w:i/>
          <w:iCs/>
          <w:sz w:val="20"/>
          <w:szCs w:val="20"/>
          <w:lang w:val="en-GB"/>
        </w:rPr>
        <w:t xml:space="preserve"> to </w:t>
      </w:r>
      <w:r w:rsidR="007126A6" w:rsidRPr="001530A4">
        <w:rPr>
          <w:i/>
          <w:iCs/>
          <w:sz w:val="20"/>
          <w:szCs w:val="20"/>
          <w:lang w:val="en-GB"/>
        </w:rPr>
        <w:t>September 2025</w:t>
      </w:r>
      <w:r w:rsidR="00CF68A5" w:rsidRPr="001530A4">
        <w:rPr>
          <w:i/>
          <w:iCs/>
          <w:sz w:val="20"/>
          <w:szCs w:val="20"/>
          <w:lang w:val="en-GB"/>
        </w:rPr>
        <w:t xml:space="preserve">, leasing activity </w:t>
      </w:r>
      <w:r w:rsidR="009B1249" w:rsidRPr="001530A4">
        <w:rPr>
          <w:i/>
          <w:iCs/>
          <w:sz w:val="20"/>
          <w:szCs w:val="20"/>
          <w:lang w:val="en-GB"/>
        </w:rPr>
        <w:t xml:space="preserve">totalled </w:t>
      </w:r>
      <w:r w:rsidR="0095564E" w:rsidRPr="001530A4">
        <w:rPr>
          <w:i/>
          <w:iCs/>
          <w:sz w:val="20"/>
          <w:szCs w:val="20"/>
          <w:lang w:val="en-GB"/>
        </w:rPr>
        <w:t>486</w:t>
      </w:r>
      <w:r w:rsidR="00514920" w:rsidRPr="001530A4">
        <w:rPr>
          <w:i/>
          <w:iCs/>
          <w:sz w:val="20"/>
          <w:szCs w:val="20"/>
          <w:lang w:val="en-GB"/>
        </w:rPr>
        <w:t>,</w:t>
      </w:r>
      <w:r w:rsidR="0095564E" w:rsidRPr="001530A4">
        <w:rPr>
          <w:i/>
          <w:iCs/>
          <w:sz w:val="20"/>
          <w:szCs w:val="20"/>
          <w:lang w:val="en-GB"/>
        </w:rPr>
        <w:t xml:space="preserve">500 </w:t>
      </w:r>
      <w:r w:rsidR="00514920" w:rsidRPr="001530A4">
        <w:rPr>
          <w:i/>
          <w:iCs/>
          <w:sz w:val="20"/>
          <w:szCs w:val="20"/>
          <w:lang w:val="en-GB"/>
        </w:rPr>
        <w:t>sq</w:t>
      </w:r>
      <w:r w:rsidR="0095564E" w:rsidRPr="001530A4">
        <w:rPr>
          <w:i/>
          <w:iCs/>
          <w:sz w:val="20"/>
          <w:szCs w:val="20"/>
          <w:lang w:val="en-GB"/>
        </w:rPr>
        <w:t>m,</w:t>
      </w:r>
      <w:r w:rsidR="00D22821" w:rsidRPr="001530A4">
        <w:rPr>
          <w:i/>
          <w:iCs/>
          <w:sz w:val="20"/>
          <w:szCs w:val="20"/>
          <w:lang w:val="en-GB"/>
        </w:rPr>
        <w:t xml:space="preserve"> </w:t>
      </w:r>
      <w:r w:rsidR="00C3767E" w:rsidRPr="001530A4">
        <w:rPr>
          <w:i/>
          <w:iCs/>
          <w:sz w:val="20"/>
          <w:szCs w:val="20"/>
          <w:lang w:val="en-GB"/>
        </w:rPr>
        <w:t>just</w:t>
      </w:r>
      <w:r w:rsidR="00D22821" w:rsidRPr="001530A4">
        <w:rPr>
          <w:i/>
          <w:iCs/>
          <w:sz w:val="20"/>
          <w:szCs w:val="20"/>
          <w:lang w:val="en-GB"/>
        </w:rPr>
        <w:t xml:space="preserve"> 2% lower than in the same period in 2024. </w:t>
      </w:r>
      <w:r w:rsidR="00943858" w:rsidRPr="001530A4">
        <w:rPr>
          <w:i/>
          <w:iCs/>
          <w:sz w:val="20"/>
          <w:szCs w:val="20"/>
          <w:lang w:val="en-GB"/>
        </w:rPr>
        <w:t xml:space="preserve">Notably, </w:t>
      </w:r>
      <w:r w:rsidR="00131212">
        <w:rPr>
          <w:i/>
          <w:iCs/>
          <w:sz w:val="20"/>
          <w:szCs w:val="20"/>
          <w:lang w:val="en-GB"/>
        </w:rPr>
        <w:t xml:space="preserve">the key change compared with the previous quarter </w:t>
      </w:r>
      <w:r w:rsidR="005C30A0">
        <w:rPr>
          <w:i/>
          <w:iCs/>
          <w:sz w:val="20"/>
          <w:szCs w:val="20"/>
          <w:lang w:val="en-GB"/>
        </w:rPr>
        <w:t>wa</w:t>
      </w:r>
      <w:r w:rsidR="00131212">
        <w:rPr>
          <w:i/>
          <w:iCs/>
          <w:sz w:val="20"/>
          <w:szCs w:val="20"/>
          <w:lang w:val="en-GB"/>
        </w:rPr>
        <w:t xml:space="preserve">s </w:t>
      </w:r>
      <w:r w:rsidR="00F16186">
        <w:rPr>
          <w:i/>
          <w:iCs/>
          <w:sz w:val="20"/>
          <w:szCs w:val="20"/>
          <w:lang w:val="en-GB"/>
        </w:rPr>
        <w:t xml:space="preserve">in </w:t>
      </w:r>
      <w:r w:rsidR="00943858" w:rsidRPr="001530A4">
        <w:rPr>
          <w:i/>
          <w:iCs/>
          <w:sz w:val="20"/>
          <w:szCs w:val="20"/>
          <w:lang w:val="en-GB"/>
        </w:rPr>
        <w:t xml:space="preserve">take-up </w:t>
      </w:r>
      <w:r w:rsidR="008E11F5">
        <w:rPr>
          <w:i/>
          <w:iCs/>
          <w:sz w:val="20"/>
          <w:szCs w:val="20"/>
          <w:lang w:val="en-GB"/>
        </w:rPr>
        <w:t>by transaction type</w:t>
      </w:r>
      <w:r w:rsidR="00152955" w:rsidRPr="001530A4">
        <w:rPr>
          <w:i/>
          <w:iCs/>
          <w:sz w:val="20"/>
          <w:szCs w:val="20"/>
          <w:lang w:val="en-GB"/>
        </w:rPr>
        <w:t xml:space="preserve">, with new leases </w:t>
      </w:r>
      <w:r w:rsidR="00132198">
        <w:rPr>
          <w:i/>
          <w:iCs/>
          <w:sz w:val="20"/>
          <w:szCs w:val="20"/>
          <w:lang w:val="en-GB"/>
        </w:rPr>
        <w:t xml:space="preserve">once again </w:t>
      </w:r>
      <w:r w:rsidR="00152955" w:rsidRPr="001530A4">
        <w:rPr>
          <w:i/>
          <w:iCs/>
          <w:sz w:val="20"/>
          <w:szCs w:val="20"/>
          <w:lang w:val="en-GB"/>
        </w:rPr>
        <w:t>leading the way</w:t>
      </w:r>
      <w:r w:rsidR="00042444" w:rsidRPr="001530A4">
        <w:rPr>
          <w:i/>
          <w:iCs/>
          <w:sz w:val="20"/>
          <w:szCs w:val="20"/>
          <w:lang w:val="en-GB"/>
        </w:rPr>
        <w:t xml:space="preserve"> and accounting for 45% of the year-to-date tota</w:t>
      </w:r>
      <w:r w:rsidR="00596080" w:rsidRPr="001530A4">
        <w:rPr>
          <w:i/>
          <w:iCs/>
          <w:sz w:val="20"/>
          <w:szCs w:val="20"/>
          <w:lang w:val="en-GB"/>
        </w:rPr>
        <w:t>l, followed by renewals at 42%</w:t>
      </w:r>
      <w:r w:rsidR="00152955" w:rsidRPr="001530A4">
        <w:rPr>
          <w:i/>
          <w:iCs/>
          <w:sz w:val="20"/>
          <w:szCs w:val="20"/>
          <w:lang w:val="en-GB"/>
        </w:rPr>
        <w:t xml:space="preserve">. </w:t>
      </w:r>
      <w:r w:rsidR="00175D9C" w:rsidRPr="001530A4">
        <w:rPr>
          <w:i/>
          <w:iCs/>
          <w:sz w:val="20"/>
          <w:szCs w:val="20"/>
          <w:lang w:val="en-GB"/>
        </w:rPr>
        <w:t xml:space="preserve">Expansions made up 7% while owner-occupier deals contributed 6%. </w:t>
      </w:r>
      <w:r w:rsidR="00F77062" w:rsidRPr="001530A4">
        <w:rPr>
          <w:i/>
          <w:iCs/>
          <w:sz w:val="20"/>
          <w:szCs w:val="20"/>
          <w:lang w:val="en-GB"/>
        </w:rPr>
        <w:t xml:space="preserve">The largest transactions of the third quarter included </w:t>
      </w:r>
      <w:proofErr w:type="spellStart"/>
      <w:r w:rsidR="00F77062" w:rsidRPr="001530A4">
        <w:rPr>
          <w:i/>
          <w:iCs/>
          <w:sz w:val="20"/>
          <w:szCs w:val="20"/>
          <w:lang w:val="en-GB"/>
        </w:rPr>
        <w:t>Luxmed’s</w:t>
      </w:r>
      <w:proofErr w:type="spellEnd"/>
      <w:r w:rsidR="00F77062" w:rsidRPr="001530A4">
        <w:rPr>
          <w:i/>
          <w:iCs/>
          <w:sz w:val="20"/>
          <w:szCs w:val="20"/>
          <w:lang w:val="en-GB"/>
        </w:rPr>
        <w:t xml:space="preserve"> new lease for 5,600 sqm at</w:t>
      </w:r>
      <w:r w:rsidR="0095564E" w:rsidRPr="001530A4">
        <w:rPr>
          <w:i/>
          <w:iCs/>
          <w:sz w:val="20"/>
          <w:szCs w:val="20"/>
          <w:lang w:val="en-GB"/>
        </w:rPr>
        <w:t xml:space="preserve"> West Warsaw Office</w:t>
      </w:r>
      <w:r w:rsidR="00F77062" w:rsidRPr="001530A4">
        <w:rPr>
          <w:i/>
          <w:iCs/>
          <w:sz w:val="20"/>
          <w:szCs w:val="20"/>
          <w:lang w:val="en-GB"/>
        </w:rPr>
        <w:t xml:space="preserve"> and </w:t>
      </w:r>
      <w:r w:rsidR="00EE45B1" w:rsidRPr="001530A4">
        <w:rPr>
          <w:i/>
          <w:iCs/>
          <w:sz w:val="20"/>
          <w:szCs w:val="20"/>
          <w:lang w:val="en-GB"/>
        </w:rPr>
        <w:t xml:space="preserve">Alcon’s renewal of </w:t>
      </w:r>
      <w:r w:rsidR="005C30A0">
        <w:rPr>
          <w:i/>
          <w:iCs/>
          <w:sz w:val="20"/>
          <w:szCs w:val="20"/>
          <w:lang w:val="en-GB"/>
        </w:rPr>
        <w:t>its</w:t>
      </w:r>
      <w:r w:rsidR="00EE45B1" w:rsidRPr="001530A4">
        <w:rPr>
          <w:i/>
          <w:iCs/>
          <w:sz w:val="20"/>
          <w:szCs w:val="20"/>
          <w:lang w:val="en-GB"/>
        </w:rPr>
        <w:t xml:space="preserve"> 5,000 sqm leas</w:t>
      </w:r>
      <w:r w:rsidR="00691A7E" w:rsidRPr="001530A4">
        <w:rPr>
          <w:i/>
          <w:iCs/>
          <w:sz w:val="20"/>
          <w:szCs w:val="20"/>
          <w:lang w:val="en-GB"/>
        </w:rPr>
        <w:t>e</w:t>
      </w:r>
      <w:r w:rsidR="00EE45B1" w:rsidRPr="001530A4">
        <w:rPr>
          <w:i/>
          <w:iCs/>
          <w:sz w:val="20"/>
          <w:szCs w:val="20"/>
          <w:lang w:val="en-GB"/>
        </w:rPr>
        <w:t xml:space="preserve"> at </w:t>
      </w:r>
      <w:r w:rsidR="0095564E" w:rsidRPr="001530A4">
        <w:rPr>
          <w:i/>
          <w:iCs/>
          <w:sz w:val="20"/>
          <w:szCs w:val="20"/>
          <w:lang w:val="en-GB"/>
        </w:rPr>
        <w:t>New City</w:t>
      </w:r>
      <w:r w:rsidR="002B16FA" w:rsidRPr="001530A4">
        <w:rPr>
          <w:i/>
          <w:iCs/>
          <w:sz w:val="20"/>
          <w:szCs w:val="20"/>
          <w:lang w:val="en-GB"/>
        </w:rPr>
        <w:t>,”</w:t>
      </w:r>
      <w:r w:rsidR="003B0F97" w:rsidRPr="001530A4">
        <w:rPr>
          <w:sz w:val="20"/>
          <w:szCs w:val="20"/>
          <w:lang w:val="en-GB"/>
        </w:rPr>
        <w:t xml:space="preserve"> </w:t>
      </w:r>
      <w:r w:rsidR="002B16FA" w:rsidRPr="001530A4">
        <w:rPr>
          <w:sz w:val="20"/>
          <w:szCs w:val="20"/>
          <w:lang w:val="en-GB"/>
        </w:rPr>
        <w:t>comments</w:t>
      </w:r>
      <w:r w:rsidR="003B0F97" w:rsidRPr="001530A4">
        <w:rPr>
          <w:sz w:val="20"/>
          <w:szCs w:val="20"/>
          <w:lang w:val="en-GB"/>
        </w:rPr>
        <w:t xml:space="preserve"> </w:t>
      </w:r>
      <w:r w:rsidR="003B0F97" w:rsidRPr="001530A4">
        <w:rPr>
          <w:b/>
          <w:bCs/>
          <w:sz w:val="20"/>
          <w:szCs w:val="20"/>
          <w:lang w:val="en-GB"/>
        </w:rPr>
        <w:t>Ewa Derlatka-Chilewicz, Head of Research Poland</w:t>
      </w:r>
      <w:r w:rsidR="003B0F97" w:rsidRPr="001530A4">
        <w:rPr>
          <w:sz w:val="20"/>
          <w:szCs w:val="20"/>
          <w:lang w:val="en-GB"/>
        </w:rPr>
        <w:t xml:space="preserve">, </w:t>
      </w:r>
      <w:r w:rsidR="003B0F97" w:rsidRPr="001530A4">
        <w:rPr>
          <w:b/>
          <w:bCs/>
          <w:sz w:val="20"/>
          <w:szCs w:val="20"/>
          <w:lang w:val="en-GB"/>
        </w:rPr>
        <w:t>Cushman &amp; Wakefield.</w:t>
      </w:r>
    </w:p>
    <w:p w14:paraId="49EDC6C6" w14:textId="46B48E0F" w:rsidR="0095564E" w:rsidRPr="001530A4" w:rsidRDefault="005336AC" w:rsidP="00CC64C7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sz w:val="20"/>
          <w:szCs w:val="20"/>
          <w:lang w:val="en-GB"/>
        </w:rPr>
        <w:t xml:space="preserve">According to </w:t>
      </w:r>
      <w:r w:rsidR="0095564E" w:rsidRPr="001530A4">
        <w:rPr>
          <w:sz w:val="20"/>
          <w:szCs w:val="20"/>
          <w:lang w:val="en-GB"/>
        </w:rPr>
        <w:t xml:space="preserve">Cushman &amp; Wakefield, </w:t>
      </w:r>
      <w:r w:rsidR="00EA4C19" w:rsidRPr="001530A4">
        <w:rPr>
          <w:sz w:val="20"/>
          <w:szCs w:val="20"/>
          <w:lang w:val="en-GB"/>
        </w:rPr>
        <w:t xml:space="preserve">office demand is being driven by the rapid </w:t>
      </w:r>
      <w:r w:rsidR="001D28B8" w:rsidRPr="001530A4">
        <w:rPr>
          <w:sz w:val="20"/>
          <w:szCs w:val="20"/>
          <w:lang w:val="en-GB"/>
        </w:rPr>
        <w:t>growth</w:t>
      </w:r>
      <w:r w:rsidR="00EA4C19" w:rsidRPr="001530A4">
        <w:rPr>
          <w:sz w:val="20"/>
          <w:szCs w:val="20"/>
          <w:lang w:val="en-GB"/>
        </w:rPr>
        <w:t xml:space="preserve"> of shared service centres</w:t>
      </w:r>
      <w:r w:rsidR="00443798" w:rsidRPr="001530A4">
        <w:rPr>
          <w:sz w:val="20"/>
          <w:szCs w:val="20"/>
          <w:lang w:val="en-GB"/>
        </w:rPr>
        <w:t xml:space="preserve">, with </w:t>
      </w:r>
      <w:r w:rsidR="00C3099D">
        <w:rPr>
          <w:sz w:val="20"/>
          <w:szCs w:val="20"/>
          <w:lang w:val="en-GB"/>
        </w:rPr>
        <w:t xml:space="preserve">additional </w:t>
      </w:r>
      <w:r w:rsidR="00443798" w:rsidRPr="001530A4">
        <w:rPr>
          <w:sz w:val="20"/>
          <w:szCs w:val="20"/>
          <w:lang w:val="en-GB"/>
        </w:rPr>
        <w:t xml:space="preserve">upside potential also </w:t>
      </w:r>
      <w:r w:rsidR="008B0A0A" w:rsidRPr="001530A4">
        <w:rPr>
          <w:sz w:val="20"/>
          <w:szCs w:val="20"/>
          <w:lang w:val="en-GB"/>
        </w:rPr>
        <w:t xml:space="preserve">seen in </w:t>
      </w:r>
      <w:r w:rsidR="00F0389A" w:rsidRPr="001530A4">
        <w:rPr>
          <w:sz w:val="20"/>
          <w:szCs w:val="20"/>
          <w:lang w:val="en-GB"/>
        </w:rPr>
        <w:t xml:space="preserve">the IT, banking, pharmaceutical and public sectors. </w:t>
      </w:r>
      <w:r w:rsidR="007A2F9F" w:rsidRPr="001530A4">
        <w:rPr>
          <w:sz w:val="20"/>
          <w:szCs w:val="20"/>
          <w:lang w:val="en-GB"/>
        </w:rPr>
        <w:t xml:space="preserve">Occupier interest </w:t>
      </w:r>
      <w:r w:rsidR="009F0B9A">
        <w:rPr>
          <w:sz w:val="20"/>
          <w:szCs w:val="20"/>
          <w:lang w:val="en-GB"/>
        </w:rPr>
        <w:t>remains</w:t>
      </w:r>
      <w:r w:rsidR="007A2F9F" w:rsidRPr="001530A4">
        <w:rPr>
          <w:sz w:val="20"/>
          <w:szCs w:val="20"/>
          <w:lang w:val="en-GB"/>
        </w:rPr>
        <w:t xml:space="preserve"> focus</w:t>
      </w:r>
      <w:r w:rsidR="009F0B9A">
        <w:rPr>
          <w:sz w:val="20"/>
          <w:szCs w:val="20"/>
          <w:lang w:val="en-GB"/>
        </w:rPr>
        <w:t>ed</w:t>
      </w:r>
      <w:r w:rsidR="007A2F9F" w:rsidRPr="001530A4">
        <w:rPr>
          <w:sz w:val="20"/>
          <w:szCs w:val="20"/>
          <w:lang w:val="en-GB"/>
        </w:rPr>
        <w:t xml:space="preserve"> on the central zone, but </w:t>
      </w:r>
      <w:r w:rsidR="00BC2170" w:rsidRPr="001530A4">
        <w:rPr>
          <w:sz w:val="20"/>
          <w:szCs w:val="20"/>
          <w:lang w:val="en-GB"/>
        </w:rPr>
        <w:t>other locations such as</w:t>
      </w:r>
      <w:r w:rsidR="0095564E" w:rsidRPr="001530A4">
        <w:rPr>
          <w:sz w:val="20"/>
          <w:szCs w:val="20"/>
          <w:lang w:val="en-GB"/>
        </w:rPr>
        <w:t xml:space="preserve"> Służewiec </w:t>
      </w:r>
      <w:r w:rsidR="00BC2170" w:rsidRPr="001530A4">
        <w:rPr>
          <w:sz w:val="20"/>
          <w:szCs w:val="20"/>
          <w:lang w:val="en-GB"/>
        </w:rPr>
        <w:t>and</w:t>
      </w:r>
      <w:r w:rsidR="0095564E" w:rsidRPr="001530A4">
        <w:rPr>
          <w:sz w:val="20"/>
          <w:szCs w:val="20"/>
          <w:lang w:val="en-GB"/>
        </w:rPr>
        <w:t xml:space="preserve"> </w:t>
      </w:r>
      <w:r w:rsidR="00A50BEF" w:rsidRPr="001530A4">
        <w:rPr>
          <w:sz w:val="20"/>
          <w:szCs w:val="20"/>
          <w:lang w:val="en-GB"/>
        </w:rPr>
        <w:t xml:space="preserve">the </w:t>
      </w:r>
      <w:r w:rsidR="0095564E" w:rsidRPr="001530A4">
        <w:rPr>
          <w:sz w:val="20"/>
          <w:szCs w:val="20"/>
          <w:lang w:val="en-GB"/>
        </w:rPr>
        <w:t>Jerozolimski</w:t>
      </w:r>
      <w:r w:rsidR="00BC2170" w:rsidRPr="001530A4">
        <w:rPr>
          <w:sz w:val="20"/>
          <w:szCs w:val="20"/>
          <w:lang w:val="en-GB"/>
        </w:rPr>
        <w:t xml:space="preserve">e Corridor </w:t>
      </w:r>
      <w:r w:rsidR="00A058E3" w:rsidRPr="001530A4">
        <w:rPr>
          <w:sz w:val="20"/>
          <w:szCs w:val="20"/>
          <w:lang w:val="en-GB"/>
        </w:rPr>
        <w:t xml:space="preserve">continue to offer </w:t>
      </w:r>
      <w:r w:rsidR="00BC2170" w:rsidRPr="001530A4">
        <w:rPr>
          <w:sz w:val="20"/>
          <w:szCs w:val="20"/>
          <w:lang w:val="en-GB"/>
        </w:rPr>
        <w:t>attractive</w:t>
      </w:r>
      <w:r w:rsidR="00832329">
        <w:rPr>
          <w:sz w:val="20"/>
          <w:szCs w:val="20"/>
          <w:lang w:val="en-GB"/>
        </w:rPr>
        <w:t>,</w:t>
      </w:r>
      <w:r w:rsidR="00BC2170" w:rsidRPr="001530A4">
        <w:rPr>
          <w:sz w:val="20"/>
          <w:szCs w:val="20"/>
          <w:lang w:val="en-GB"/>
        </w:rPr>
        <w:t xml:space="preserve"> competitively</w:t>
      </w:r>
      <w:r w:rsidR="00142752" w:rsidRPr="001530A4">
        <w:rPr>
          <w:sz w:val="20"/>
          <w:szCs w:val="20"/>
          <w:lang w:val="en-GB"/>
        </w:rPr>
        <w:t xml:space="preserve"> </w:t>
      </w:r>
      <w:r w:rsidR="00BC2170" w:rsidRPr="001530A4">
        <w:rPr>
          <w:sz w:val="20"/>
          <w:szCs w:val="20"/>
          <w:lang w:val="en-GB"/>
        </w:rPr>
        <w:t>priced alternatives</w:t>
      </w:r>
      <w:r w:rsidR="00901AD4">
        <w:rPr>
          <w:sz w:val="20"/>
          <w:szCs w:val="20"/>
          <w:lang w:val="en-GB"/>
        </w:rPr>
        <w:t xml:space="preserve"> – </w:t>
      </w:r>
      <w:r w:rsidR="000C20B4" w:rsidRPr="001530A4">
        <w:rPr>
          <w:sz w:val="20"/>
          <w:szCs w:val="20"/>
          <w:lang w:val="en-GB"/>
        </w:rPr>
        <w:t xml:space="preserve">viable </w:t>
      </w:r>
      <w:r w:rsidR="001417EA">
        <w:rPr>
          <w:sz w:val="20"/>
          <w:szCs w:val="20"/>
          <w:lang w:val="en-GB"/>
        </w:rPr>
        <w:t>options</w:t>
      </w:r>
      <w:r w:rsidR="00165FB8" w:rsidRPr="001530A4">
        <w:rPr>
          <w:sz w:val="20"/>
          <w:szCs w:val="20"/>
          <w:lang w:val="en-GB"/>
        </w:rPr>
        <w:t xml:space="preserve"> for both large corporations and smaller companies entering the market</w:t>
      </w:r>
      <w:r w:rsidR="0095564E" w:rsidRPr="001530A4">
        <w:rPr>
          <w:sz w:val="20"/>
          <w:szCs w:val="20"/>
          <w:lang w:val="en-GB"/>
        </w:rPr>
        <w:t>.</w:t>
      </w:r>
    </w:p>
    <w:p w14:paraId="41EF80E2" w14:textId="17BABBBB" w:rsidR="0095564E" w:rsidRPr="001530A4" w:rsidRDefault="00142752" w:rsidP="00CC64C7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i/>
          <w:iCs/>
          <w:sz w:val="20"/>
          <w:szCs w:val="20"/>
          <w:lang w:val="en-GB"/>
        </w:rPr>
        <w:lastRenderedPageBreak/>
        <w:t>“</w:t>
      </w:r>
      <w:r w:rsidR="0099767D" w:rsidRPr="001530A4">
        <w:rPr>
          <w:i/>
          <w:iCs/>
          <w:sz w:val="20"/>
          <w:szCs w:val="20"/>
          <w:lang w:val="en-GB"/>
        </w:rPr>
        <w:t>O</w:t>
      </w:r>
      <w:r w:rsidR="007D6C4B" w:rsidRPr="001530A4">
        <w:rPr>
          <w:i/>
          <w:iCs/>
          <w:sz w:val="20"/>
          <w:szCs w:val="20"/>
          <w:lang w:val="en-GB"/>
        </w:rPr>
        <w:t xml:space="preserve">ccupier activity </w:t>
      </w:r>
      <w:r w:rsidR="00A60BBB" w:rsidRPr="001530A4">
        <w:rPr>
          <w:i/>
          <w:iCs/>
          <w:sz w:val="20"/>
          <w:szCs w:val="20"/>
          <w:lang w:val="en-GB"/>
        </w:rPr>
        <w:t xml:space="preserve">in the quarters ahead </w:t>
      </w:r>
      <w:r w:rsidR="007D6C4B" w:rsidRPr="001530A4">
        <w:rPr>
          <w:i/>
          <w:iCs/>
          <w:sz w:val="20"/>
          <w:szCs w:val="20"/>
          <w:lang w:val="en-GB"/>
        </w:rPr>
        <w:t xml:space="preserve">is expected </w:t>
      </w:r>
      <w:r w:rsidR="004234D2" w:rsidRPr="001530A4">
        <w:rPr>
          <w:i/>
          <w:iCs/>
          <w:sz w:val="20"/>
          <w:szCs w:val="20"/>
          <w:lang w:val="en-GB"/>
        </w:rPr>
        <w:t>to</w:t>
      </w:r>
      <w:r w:rsidR="00A60BBB" w:rsidRPr="001530A4">
        <w:rPr>
          <w:i/>
          <w:iCs/>
          <w:sz w:val="20"/>
          <w:szCs w:val="20"/>
          <w:lang w:val="en-GB"/>
        </w:rPr>
        <w:t xml:space="preserve"> </w:t>
      </w:r>
      <w:r w:rsidRPr="001530A4">
        <w:rPr>
          <w:i/>
          <w:iCs/>
          <w:sz w:val="20"/>
          <w:szCs w:val="20"/>
          <w:lang w:val="en-GB"/>
        </w:rPr>
        <w:t>remain broadly</w:t>
      </w:r>
      <w:r w:rsidR="007F24BF" w:rsidRPr="001530A4">
        <w:rPr>
          <w:i/>
          <w:iCs/>
          <w:sz w:val="20"/>
          <w:szCs w:val="20"/>
          <w:lang w:val="en-GB"/>
        </w:rPr>
        <w:t xml:space="preserve"> in lin</w:t>
      </w:r>
      <w:r w:rsidR="00BE0719" w:rsidRPr="001530A4">
        <w:rPr>
          <w:i/>
          <w:iCs/>
          <w:sz w:val="20"/>
          <w:szCs w:val="20"/>
          <w:lang w:val="en-GB"/>
        </w:rPr>
        <w:t>e</w:t>
      </w:r>
      <w:r w:rsidR="007F24BF" w:rsidRPr="001530A4">
        <w:rPr>
          <w:i/>
          <w:iCs/>
          <w:sz w:val="20"/>
          <w:szCs w:val="20"/>
          <w:lang w:val="en-GB"/>
        </w:rPr>
        <w:t xml:space="preserve"> with the </w:t>
      </w:r>
      <w:r w:rsidR="00A60BBB" w:rsidRPr="001530A4">
        <w:rPr>
          <w:i/>
          <w:iCs/>
          <w:sz w:val="20"/>
          <w:szCs w:val="20"/>
          <w:lang w:val="en-GB"/>
        </w:rPr>
        <w:t>2023–2024</w:t>
      </w:r>
      <w:r w:rsidRPr="001530A4">
        <w:rPr>
          <w:i/>
          <w:iCs/>
          <w:sz w:val="20"/>
          <w:szCs w:val="20"/>
          <w:lang w:val="en-GB"/>
        </w:rPr>
        <w:t xml:space="preserve"> levels</w:t>
      </w:r>
      <w:r w:rsidR="00BE0719" w:rsidRPr="001530A4">
        <w:rPr>
          <w:i/>
          <w:iCs/>
          <w:sz w:val="20"/>
          <w:szCs w:val="20"/>
          <w:lang w:val="en-GB"/>
        </w:rPr>
        <w:t xml:space="preserve">. It will, however, </w:t>
      </w:r>
      <w:r w:rsidR="00773687" w:rsidRPr="001530A4">
        <w:rPr>
          <w:i/>
          <w:iCs/>
          <w:sz w:val="20"/>
          <w:szCs w:val="20"/>
          <w:lang w:val="en-GB"/>
        </w:rPr>
        <w:t>continue to be influenced</w:t>
      </w:r>
      <w:r w:rsidR="00ED5DB1" w:rsidRPr="001530A4">
        <w:rPr>
          <w:i/>
          <w:iCs/>
          <w:sz w:val="20"/>
          <w:szCs w:val="20"/>
          <w:lang w:val="en-GB"/>
        </w:rPr>
        <w:t xml:space="preserve"> by overall economic </w:t>
      </w:r>
      <w:r w:rsidR="0080672A">
        <w:rPr>
          <w:i/>
          <w:iCs/>
          <w:sz w:val="20"/>
          <w:szCs w:val="20"/>
          <w:lang w:val="en-GB"/>
        </w:rPr>
        <w:t>conditions</w:t>
      </w:r>
      <w:r w:rsidR="00ED5DB1" w:rsidRPr="001530A4">
        <w:rPr>
          <w:i/>
          <w:iCs/>
          <w:sz w:val="20"/>
          <w:szCs w:val="20"/>
          <w:lang w:val="en-GB"/>
        </w:rPr>
        <w:t xml:space="preserve"> and the expansion and cost</w:t>
      </w:r>
      <w:r w:rsidR="00773687" w:rsidRPr="001530A4">
        <w:rPr>
          <w:i/>
          <w:iCs/>
          <w:sz w:val="20"/>
          <w:szCs w:val="20"/>
          <w:lang w:val="en-GB"/>
        </w:rPr>
        <w:t>-</w:t>
      </w:r>
      <w:r w:rsidR="00ED5DB1" w:rsidRPr="001530A4">
        <w:rPr>
          <w:i/>
          <w:iCs/>
          <w:sz w:val="20"/>
          <w:szCs w:val="20"/>
          <w:lang w:val="en-GB"/>
        </w:rPr>
        <w:t>optimisation strategies of multinational companies</w:t>
      </w:r>
      <w:r w:rsidR="002B16FA" w:rsidRPr="001530A4">
        <w:rPr>
          <w:i/>
          <w:iCs/>
          <w:sz w:val="20"/>
          <w:szCs w:val="20"/>
          <w:lang w:val="en-GB"/>
        </w:rPr>
        <w:t>,”</w:t>
      </w:r>
      <w:r w:rsidR="003B0F97" w:rsidRPr="001530A4">
        <w:rPr>
          <w:sz w:val="20"/>
          <w:szCs w:val="20"/>
          <w:lang w:val="en-GB"/>
        </w:rPr>
        <w:t xml:space="preserve"> </w:t>
      </w:r>
      <w:r w:rsidR="002B16FA" w:rsidRPr="001530A4">
        <w:rPr>
          <w:sz w:val="20"/>
          <w:szCs w:val="20"/>
          <w:lang w:val="en-GB"/>
        </w:rPr>
        <w:t>adds</w:t>
      </w:r>
      <w:r w:rsidR="003B0F97" w:rsidRPr="001530A4">
        <w:rPr>
          <w:sz w:val="20"/>
          <w:szCs w:val="20"/>
          <w:lang w:val="en-GB"/>
        </w:rPr>
        <w:t xml:space="preserve"> </w:t>
      </w:r>
      <w:r w:rsidR="003B0F97" w:rsidRPr="001530A4">
        <w:rPr>
          <w:b/>
          <w:bCs/>
          <w:sz w:val="20"/>
          <w:szCs w:val="20"/>
          <w:lang w:val="en-GB"/>
        </w:rPr>
        <w:t>Ewa Derlatka-Chilewicz</w:t>
      </w:r>
      <w:r w:rsidR="003B0F97" w:rsidRPr="001530A4">
        <w:rPr>
          <w:sz w:val="20"/>
          <w:szCs w:val="20"/>
          <w:lang w:val="en-GB"/>
        </w:rPr>
        <w:t>.</w:t>
      </w:r>
    </w:p>
    <w:p w14:paraId="6DBFF3E9" w14:textId="221A0962" w:rsidR="00985CC6" w:rsidRPr="001530A4" w:rsidRDefault="009B633B" w:rsidP="00CC64C7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1530A4">
        <w:rPr>
          <w:rFonts w:eastAsia="Times New Roman"/>
          <w:b/>
          <w:bCs/>
          <w:sz w:val="20"/>
          <w:szCs w:val="20"/>
          <w:lang w:val="en-GB" w:eastAsia="en-US"/>
        </w:rPr>
        <w:t>VACANCIES</w:t>
      </w:r>
      <w:r w:rsidR="00985CC6" w:rsidRPr="001530A4">
        <w:rPr>
          <w:rFonts w:eastAsia="Times New Roman"/>
          <w:b/>
          <w:bCs/>
          <w:sz w:val="20"/>
          <w:szCs w:val="20"/>
          <w:lang w:val="en-GB" w:eastAsia="en-US"/>
        </w:rPr>
        <w:t xml:space="preserve">: </w:t>
      </w:r>
      <w:r w:rsidR="008C1ECC" w:rsidRPr="001530A4">
        <w:rPr>
          <w:rFonts w:eastAsia="Times New Roman"/>
          <w:b/>
          <w:bCs/>
          <w:sz w:val="20"/>
          <w:szCs w:val="20"/>
          <w:lang w:val="en-GB" w:eastAsia="en-US"/>
        </w:rPr>
        <w:t>Market absorbs office space</w:t>
      </w:r>
    </w:p>
    <w:p w14:paraId="58BF66D3" w14:textId="06B079D4" w:rsidR="003B0F97" w:rsidRPr="001530A4" w:rsidRDefault="008C1ECC" w:rsidP="00CC64C7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530A4">
        <w:rPr>
          <w:rFonts w:eastAsia="Times New Roman"/>
          <w:sz w:val="20"/>
          <w:szCs w:val="20"/>
          <w:lang w:val="en-GB" w:eastAsia="en-US"/>
        </w:rPr>
        <w:t>At the end of September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 xml:space="preserve"> 2025</w:t>
      </w:r>
      <w:r w:rsidRPr="001530A4">
        <w:rPr>
          <w:rFonts w:eastAsia="Times New Roman"/>
          <w:sz w:val="20"/>
          <w:szCs w:val="20"/>
          <w:lang w:val="en-GB" w:eastAsia="en-US"/>
        </w:rPr>
        <w:t xml:space="preserve">, </w:t>
      </w:r>
      <w:r w:rsidR="00EE34E7" w:rsidRPr="001530A4">
        <w:rPr>
          <w:rFonts w:eastAsia="Times New Roman"/>
          <w:sz w:val="20"/>
          <w:szCs w:val="20"/>
          <w:lang w:val="en-GB" w:eastAsia="en-US"/>
        </w:rPr>
        <w:t xml:space="preserve">Warsaw’s vacancy rate stood at 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>9</w:t>
      </w:r>
      <w:r w:rsidR="003C05AF" w:rsidRPr="001530A4">
        <w:rPr>
          <w:rFonts w:eastAsia="Times New Roman"/>
          <w:sz w:val="20"/>
          <w:szCs w:val="20"/>
          <w:lang w:val="en-GB" w:eastAsia="en-US"/>
        </w:rPr>
        <w:t>.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 xml:space="preserve">7%, </w:t>
      </w:r>
      <w:r w:rsidR="003C05AF" w:rsidRPr="001530A4">
        <w:rPr>
          <w:rFonts w:eastAsia="Times New Roman"/>
          <w:sz w:val="20"/>
          <w:szCs w:val="20"/>
          <w:lang w:val="en-GB" w:eastAsia="en-US"/>
        </w:rPr>
        <w:t>down 1 pp year-on-year and 1.1 pp quarter-on-quarter</w:t>
      </w:r>
      <w:r w:rsidR="0019650E" w:rsidRPr="001530A4">
        <w:rPr>
          <w:rFonts w:eastAsia="Times New Roman"/>
          <w:sz w:val="20"/>
          <w:szCs w:val="20"/>
          <w:lang w:val="en-GB" w:eastAsia="en-US"/>
        </w:rPr>
        <w:t xml:space="preserve">, with office availability shrinking to </w:t>
      </w:r>
      <w:r w:rsidR="00C77D77" w:rsidRPr="001530A4">
        <w:rPr>
          <w:rFonts w:eastAsia="Times New Roman"/>
          <w:sz w:val="20"/>
          <w:szCs w:val="20"/>
          <w:lang w:val="en-GB" w:eastAsia="en-US"/>
        </w:rPr>
        <w:t xml:space="preserve">just under 606,000 sqm. This decline was driven by both </w:t>
      </w:r>
      <w:r w:rsidR="00080DF1">
        <w:rPr>
          <w:rFonts w:eastAsia="Times New Roman"/>
          <w:sz w:val="20"/>
          <w:szCs w:val="20"/>
          <w:lang w:val="en-GB" w:eastAsia="en-US"/>
        </w:rPr>
        <w:t>steady</w:t>
      </w:r>
      <w:r w:rsidR="00C77D77" w:rsidRPr="001530A4">
        <w:rPr>
          <w:rFonts w:eastAsia="Times New Roman"/>
          <w:sz w:val="20"/>
          <w:szCs w:val="20"/>
          <w:lang w:val="en-GB" w:eastAsia="en-US"/>
        </w:rPr>
        <w:t xml:space="preserve"> occupier demand and </w:t>
      </w:r>
      <w:r w:rsidR="00B10F9F" w:rsidRPr="001530A4">
        <w:rPr>
          <w:rFonts w:eastAsia="Times New Roman"/>
          <w:sz w:val="20"/>
          <w:szCs w:val="20"/>
          <w:lang w:val="en-GB" w:eastAsia="en-US"/>
        </w:rPr>
        <w:t xml:space="preserve">the </w:t>
      </w:r>
      <w:r w:rsidR="00331D04">
        <w:rPr>
          <w:rFonts w:eastAsia="Times New Roman"/>
          <w:sz w:val="20"/>
          <w:szCs w:val="20"/>
          <w:lang w:val="en-GB" w:eastAsia="en-US"/>
        </w:rPr>
        <w:t>withdrawal</w:t>
      </w:r>
      <w:r w:rsidR="00B10F9F" w:rsidRPr="001530A4">
        <w:rPr>
          <w:rFonts w:eastAsia="Times New Roman"/>
          <w:sz w:val="20"/>
          <w:szCs w:val="20"/>
          <w:lang w:val="en-GB" w:eastAsia="en-US"/>
        </w:rPr>
        <w:t xml:space="preserve"> of several buildings from stock for repurposing for residential use, mostly in non-central locations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>.</w:t>
      </w:r>
    </w:p>
    <w:p w14:paraId="41D88272" w14:textId="3CCC60DF" w:rsidR="003B0F97" w:rsidRPr="001530A4" w:rsidRDefault="008103CB" w:rsidP="00CC64C7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“The fall </w:t>
      </w:r>
      <w:r w:rsidR="008D703C">
        <w:rPr>
          <w:rFonts w:eastAsia="Times New Roman"/>
          <w:i/>
          <w:iCs/>
          <w:sz w:val="20"/>
          <w:szCs w:val="20"/>
          <w:lang w:val="en-GB" w:eastAsia="en-US"/>
        </w:rPr>
        <w:t>in</w:t>
      </w:r>
      <w:r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 the overall vacancy rate below 10% send</w:t>
      </w:r>
      <w:r w:rsidR="002E38B1">
        <w:rPr>
          <w:rFonts w:eastAsia="Times New Roman"/>
          <w:i/>
          <w:iCs/>
          <w:sz w:val="20"/>
          <w:szCs w:val="20"/>
          <w:lang w:val="en-GB" w:eastAsia="en-US"/>
        </w:rPr>
        <w:t>s</w:t>
      </w:r>
      <w:r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 an important signal to the market, but </w:t>
      </w:r>
      <w:r w:rsidR="005F4068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tracking </w:t>
      </w:r>
      <w:r w:rsidR="00A97BA3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its </w:t>
      </w:r>
      <w:r w:rsidR="003C0608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variations </w:t>
      </w:r>
      <w:r w:rsidR="005F4068" w:rsidRPr="001530A4">
        <w:rPr>
          <w:rFonts w:eastAsia="Times New Roman"/>
          <w:i/>
          <w:iCs/>
          <w:sz w:val="20"/>
          <w:szCs w:val="20"/>
          <w:lang w:val="en-GB" w:eastAsia="en-US"/>
        </w:rPr>
        <w:t>is</w:t>
      </w:r>
      <w:r w:rsidR="003C0608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A97BA3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key. </w:t>
      </w:r>
      <w:r w:rsidR="00AB7EA3" w:rsidRPr="001530A4">
        <w:rPr>
          <w:rFonts w:eastAsia="Times New Roman"/>
          <w:i/>
          <w:iCs/>
          <w:sz w:val="20"/>
          <w:szCs w:val="20"/>
          <w:lang w:val="en-GB" w:eastAsia="en-US"/>
        </w:rPr>
        <w:t>In c</w:t>
      </w:r>
      <w:r w:rsidR="00A97BA3" w:rsidRPr="001530A4">
        <w:rPr>
          <w:rFonts w:eastAsia="Times New Roman"/>
          <w:i/>
          <w:iCs/>
          <w:sz w:val="20"/>
          <w:szCs w:val="20"/>
          <w:lang w:val="en-GB" w:eastAsia="en-US"/>
        </w:rPr>
        <w:t>entral locations</w:t>
      </w:r>
      <w:r w:rsidR="00C91FC4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, where vacancies account </w:t>
      </w:r>
      <w:r w:rsidR="00B3512D">
        <w:rPr>
          <w:rFonts w:eastAsia="Times New Roman"/>
          <w:i/>
          <w:iCs/>
          <w:sz w:val="20"/>
          <w:szCs w:val="20"/>
          <w:lang w:val="en-GB" w:eastAsia="en-US"/>
        </w:rPr>
        <w:t>for</w:t>
      </w:r>
      <w:r w:rsidR="00B3512D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C91FC4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just 6.9% of total stock, </w:t>
      </w:r>
      <w:r w:rsidR="00AB7EA3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the market is </w:t>
      </w:r>
      <w:r w:rsidR="00C91FC4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tightening, </w:t>
      </w:r>
      <w:r w:rsidR="00C72CE9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benefiting landlords. Meanwhile, </w:t>
      </w:r>
      <w:r w:rsidR="0075119F" w:rsidRPr="001530A4">
        <w:rPr>
          <w:rFonts w:eastAsia="Times New Roman"/>
          <w:i/>
          <w:iCs/>
          <w:sz w:val="20"/>
          <w:szCs w:val="20"/>
          <w:lang w:val="en-GB" w:eastAsia="en-US"/>
        </w:rPr>
        <w:t>non-central locations, with 12.1%</w:t>
      </w:r>
      <w:r w:rsidR="002878B7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 of vacant stock, </w:t>
      </w:r>
      <w:r w:rsidR="00512FDA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continue to </w:t>
      </w:r>
      <w:r w:rsidR="00D026A4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offer tenants more room for negotiation and </w:t>
      </w:r>
      <w:r w:rsidR="00B86D76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serve as </w:t>
      </w:r>
      <w:r w:rsidR="00D026A4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a strategic alternative for companies seeking </w:t>
      </w:r>
      <w:r w:rsidR="00B86D76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to </w:t>
      </w:r>
      <w:r w:rsidR="00D026A4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optimise </w:t>
      </w:r>
      <w:r w:rsidR="00896E78" w:rsidRPr="001530A4">
        <w:rPr>
          <w:rFonts w:eastAsia="Times New Roman"/>
          <w:i/>
          <w:iCs/>
          <w:sz w:val="20"/>
          <w:szCs w:val="20"/>
          <w:lang w:val="en-GB" w:eastAsia="en-US"/>
        </w:rPr>
        <w:t>occupancy costs wh</w:t>
      </w:r>
      <w:r w:rsidR="003427F8" w:rsidRPr="001530A4">
        <w:rPr>
          <w:rFonts w:eastAsia="Times New Roman"/>
          <w:i/>
          <w:iCs/>
          <w:sz w:val="20"/>
          <w:szCs w:val="20"/>
          <w:lang w:val="en-GB" w:eastAsia="en-US"/>
        </w:rPr>
        <w:t>ile</w:t>
      </w:r>
      <w:r w:rsidR="00896E78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 remaining in </w:t>
      </w:r>
      <w:r w:rsidR="00644B83">
        <w:rPr>
          <w:rFonts w:eastAsia="Times New Roman"/>
          <w:i/>
          <w:iCs/>
          <w:sz w:val="20"/>
          <w:szCs w:val="20"/>
          <w:lang w:val="en-GB" w:eastAsia="en-US"/>
        </w:rPr>
        <w:t>attractive</w:t>
      </w:r>
      <w:r w:rsidR="00644B83" w:rsidRPr="001530A4">
        <w:rPr>
          <w:rFonts w:eastAsia="Times New Roman"/>
          <w:i/>
          <w:iCs/>
          <w:sz w:val="20"/>
          <w:szCs w:val="20"/>
          <w:lang w:val="en-GB" w:eastAsia="en-US"/>
        </w:rPr>
        <w:t xml:space="preserve"> </w:t>
      </w:r>
      <w:r w:rsidR="003F1596" w:rsidRPr="001530A4">
        <w:rPr>
          <w:rFonts w:eastAsia="Times New Roman"/>
          <w:i/>
          <w:iCs/>
          <w:sz w:val="20"/>
          <w:szCs w:val="20"/>
          <w:lang w:val="en-GB" w:eastAsia="en-US"/>
        </w:rPr>
        <w:t>areas</w:t>
      </w:r>
      <w:r w:rsidR="002B16FA" w:rsidRPr="001530A4">
        <w:rPr>
          <w:rFonts w:eastAsia="Times New Roman"/>
          <w:i/>
          <w:iCs/>
          <w:sz w:val="20"/>
          <w:szCs w:val="20"/>
          <w:lang w:val="en-GB" w:eastAsia="en-US"/>
        </w:rPr>
        <w:t>,”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 xml:space="preserve"> </w:t>
      </w:r>
      <w:r w:rsidR="002B16FA" w:rsidRPr="001530A4">
        <w:rPr>
          <w:rFonts w:eastAsia="Times New Roman"/>
          <w:sz w:val="20"/>
          <w:szCs w:val="20"/>
          <w:lang w:val="en-GB" w:eastAsia="en-US"/>
        </w:rPr>
        <w:t>comments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 xml:space="preserve"> </w:t>
      </w:r>
      <w:r w:rsidR="003B0F97" w:rsidRPr="001530A4">
        <w:rPr>
          <w:rFonts w:eastAsia="Times New Roman"/>
          <w:b/>
          <w:bCs/>
          <w:sz w:val="20"/>
          <w:szCs w:val="20"/>
          <w:lang w:val="en-GB" w:eastAsia="en-US"/>
        </w:rPr>
        <w:t>Vitalii Arkhypenko</w:t>
      </w:r>
      <w:r w:rsidR="00A462E8" w:rsidRPr="001530A4">
        <w:rPr>
          <w:rFonts w:eastAsia="Times New Roman"/>
          <w:b/>
          <w:bCs/>
          <w:sz w:val="20"/>
          <w:szCs w:val="20"/>
          <w:lang w:val="en-GB" w:eastAsia="en-US"/>
        </w:rPr>
        <w:t>.</w:t>
      </w:r>
    </w:p>
    <w:p w14:paraId="2A11286E" w14:textId="1A235D15" w:rsidR="003B0F97" w:rsidRPr="001530A4" w:rsidRDefault="00EF401A" w:rsidP="00CC64C7">
      <w:pPr>
        <w:spacing w:line="240" w:lineRule="auto"/>
        <w:jc w:val="both"/>
        <w:rPr>
          <w:rFonts w:eastAsia="Times New Roman"/>
          <w:sz w:val="20"/>
          <w:szCs w:val="20"/>
          <w:lang w:val="en-GB" w:eastAsia="en-US"/>
        </w:rPr>
      </w:pPr>
      <w:r w:rsidRPr="001530A4">
        <w:rPr>
          <w:rFonts w:eastAsia="Times New Roman"/>
          <w:sz w:val="20"/>
          <w:szCs w:val="20"/>
          <w:lang w:val="en-GB" w:eastAsia="en-US"/>
        </w:rPr>
        <w:t xml:space="preserve">According to 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 xml:space="preserve">Cushman &amp; Wakefield, </w:t>
      </w:r>
      <w:r w:rsidR="00C01EFB" w:rsidRPr="001530A4">
        <w:rPr>
          <w:rFonts w:eastAsia="Times New Roman"/>
          <w:sz w:val="20"/>
          <w:szCs w:val="20"/>
          <w:lang w:val="en-GB" w:eastAsia="en-US"/>
        </w:rPr>
        <w:t>with new office supply expected to remain constrained</w:t>
      </w:r>
      <w:r w:rsidR="009859EC" w:rsidRPr="001530A4">
        <w:rPr>
          <w:rFonts w:eastAsia="Times New Roman"/>
          <w:sz w:val="20"/>
          <w:szCs w:val="20"/>
          <w:lang w:val="en-GB" w:eastAsia="en-US"/>
        </w:rPr>
        <w:t>, Warsaw’s vacancy rate is likely to continue compress</w:t>
      </w:r>
      <w:r w:rsidR="003F1596" w:rsidRPr="001530A4">
        <w:rPr>
          <w:rFonts w:eastAsia="Times New Roman"/>
          <w:sz w:val="20"/>
          <w:szCs w:val="20"/>
          <w:lang w:val="en-GB" w:eastAsia="en-US"/>
        </w:rPr>
        <w:t>ing</w:t>
      </w:r>
      <w:r w:rsidR="009859EC" w:rsidRPr="001530A4">
        <w:rPr>
          <w:rFonts w:eastAsia="Times New Roman"/>
          <w:sz w:val="20"/>
          <w:szCs w:val="20"/>
          <w:lang w:val="en-GB" w:eastAsia="en-US"/>
        </w:rPr>
        <w:t xml:space="preserve"> i</w:t>
      </w:r>
      <w:r w:rsidR="001E0643" w:rsidRPr="001530A4">
        <w:rPr>
          <w:rFonts w:eastAsia="Times New Roman"/>
          <w:sz w:val="20"/>
          <w:szCs w:val="20"/>
          <w:lang w:val="en-GB" w:eastAsia="en-US"/>
        </w:rPr>
        <w:t xml:space="preserve">n 2026 and 2027, </w:t>
      </w:r>
      <w:r w:rsidR="00007538" w:rsidRPr="001530A4">
        <w:rPr>
          <w:rFonts w:eastAsia="Times New Roman"/>
          <w:sz w:val="20"/>
          <w:szCs w:val="20"/>
          <w:lang w:val="en-GB" w:eastAsia="en-US"/>
        </w:rPr>
        <w:t>allowing</w:t>
      </w:r>
      <w:r w:rsidR="001E0643" w:rsidRPr="001530A4">
        <w:rPr>
          <w:rFonts w:eastAsia="Times New Roman"/>
          <w:sz w:val="20"/>
          <w:szCs w:val="20"/>
          <w:lang w:val="en-GB" w:eastAsia="en-US"/>
        </w:rPr>
        <w:t xml:space="preserve"> the market to absorb surplus office space. </w:t>
      </w:r>
      <w:r w:rsidR="00635F8D" w:rsidRPr="001530A4">
        <w:rPr>
          <w:rFonts w:eastAsia="Times New Roman"/>
          <w:sz w:val="20"/>
          <w:szCs w:val="20"/>
          <w:lang w:val="en-GB" w:eastAsia="en-US"/>
        </w:rPr>
        <w:t>Any further decline in office availability in central location</w:t>
      </w:r>
      <w:r w:rsidR="00D5139B" w:rsidRPr="001530A4">
        <w:rPr>
          <w:rFonts w:eastAsia="Times New Roman"/>
          <w:sz w:val="20"/>
          <w:szCs w:val="20"/>
          <w:lang w:val="en-GB" w:eastAsia="en-US"/>
        </w:rPr>
        <w:t>s</w:t>
      </w:r>
      <w:r w:rsidR="00635F8D" w:rsidRPr="001530A4">
        <w:rPr>
          <w:rFonts w:eastAsia="Times New Roman"/>
          <w:sz w:val="20"/>
          <w:szCs w:val="20"/>
          <w:lang w:val="en-GB" w:eastAsia="en-US"/>
        </w:rPr>
        <w:t xml:space="preserve"> </w:t>
      </w:r>
      <w:r w:rsidR="006A2A36" w:rsidRPr="001530A4">
        <w:rPr>
          <w:rFonts w:eastAsia="Times New Roman"/>
          <w:sz w:val="20"/>
          <w:szCs w:val="20"/>
          <w:lang w:val="en-GB" w:eastAsia="en-US"/>
        </w:rPr>
        <w:t xml:space="preserve">may </w:t>
      </w:r>
      <w:r w:rsidR="00C72E79">
        <w:rPr>
          <w:rFonts w:eastAsia="Times New Roman"/>
          <w:sz w:val="20"/>
          <w:szCs w:val="20"/>
          <w:lang w:val="en-GB" w:eastAsia="en-US"/>
        </w:rPr>
        <w:t xml:space="preserve">both </w:t>
      </w:r>
      <w:r w:rsidR="006A2A36" w:rsidRPr="001530A4">
        <w:rPr>
          <w:rFonts w:eastAsia="Times New Roman"/>
          <w:sz w:val="20"/>
          <w:szCs w:val="20"/>
          <w:lang w:val="en-GB" w:eastAsia="en-US"/>
        </w:rPr>
        <w:t xml:space="preserve">fuel rental growth </w:t>
      </w:r>
      <w:r w:rsidR="00A23C96">
        <w:rPr>
          <w:rFonts w:eastAsia="Times New Roman"/>
          <w:sz w:val="20"/>
          <w:szCs w:val="20"/>
          <w:lang w:val="en-GB" w:eastAsia="en-US"/>
        </w:rPr>
        <w:t>and</w:t>
      </w:r>
      <w:r w:rsidR="00A87BBC">
        <w:rPr>
          <w:rFonts w:eastAsia="Times New Roman"/>
          <w:sz w:val="20"/>
          <w:szCs w:val="20"/>
          <w:lang w:val="en-GB" w:eastAsia="en-US"/>
        </w:rPr>
        <w:t xml:space="preserve"> </w:t>
      </w:r>
      <w:r w:rsidR="00DF51E6" w:rsidRPr="001530A4">
        <w:rPr>
          <w:rFonts w:eastAsia="Times New Roman"/>
          <w:sz w:val="20"/>
          <w:szCs w:val="20"/>
          <w:lang w:val="en-GB" w:eastAsia="en-US"/>
        </w:rPr>
        <w:t xml:space="preserve">drive </w:t>
      </w:r>
      <w:r w:rsidR="001702CE">
        <w:rPr>
          <w:rFonts w:eastAsia="Times New Roman"/>
          <w:sz w:val="20"/>
          <w:szCs w:val="20"/>
          <w:lang w:val="en-GB" w:eastAsia="en-US"/>
        </w:rPr>
        <w:t xml:space="preserve">the </w:t>
      </w:r>
      <w:r w:rsidR="00DF51E6" w:rsidRPr="001530A4">
        <w:rPr>
          <w:rFonts w:eastAsia="Times New Roman"/>
          <w:sz w:val="20"/>
          <w:szCs w:val="20"/>
          <w:lang w:val="en-GB" w:eastAsia="en-US"/>
        </w:rPr>
        <w:t xml:space="preserve">refurbishment of </w:t>
      </w:r>
      <w:r w:rsidR="00DB006F" w:rsidRPr="001530A4">
        <w:rPr>
          <w:rFonts w:eastAsia="Times New Roman"/>
          <w:sz w:val="20"/>
          <w:szCs w:val="20"/>
          <w:lang w:val="en-GB" w:eastAsia="en-US"/>
        </w:rPr>
        <w:t>older properties</w:t>
      </w:r>
      <w:r w:rsidR="001702CE">
        <w:rPr>
          <w:rFonts w:eastAsia="Times New Roman"/>
          <w:sz w:val="20"/>
          <w:szCs w:val="20"/>
          <w:lang w:val="en-GB" w:eastAsia="en-US"/>
        </w:rPr>
        <w:t>, helping them</w:t>
      </w:r>
      <w:r w:rsidR="00DE1EDB" w:rsidRPr="001530A4">
        <w:rPr>
          <w:rFonts w:eastAsia="Times New Roman"/>
          <w:sz w:val="20"/>
          <w:szCs w:val="20"/>
          <w:lang w:val="en-GB" w:eastAsia="en-US"/>
        </w:rPr>
        <w:t xml:space="preserve"> compete more effectively</w:t>
      </w:r>
      <w:r w:rsidR="00007538" w:rsidRPr="001530A4">
        <w:rPr>
          <w:rFonts w:eastAsia="Times New Roman"/>
          <w:sz w:val="20"/>
          <w:szCs w:val="20"/>
          <w:lang w:val="en-GB" w:eastAsia="en-US"/>
        </w:rPr>
        <w:t xml:space="preserve"> for tenants</w:t>
      </w:r>
      <w:r w:rsidR="003B0F97" w:rsidRPr="001530A4">
        <w:rPr>
          <w:rFonts w:eastAsia="Times New Roman"/>
          <w:sz w:val="20"/>
          <w:szCs w:val="20"/>
          <w:lang w:val="en-GB" w:eastAsia="en-US"/>
        </w:rPr>
        <w:t>.</w:t>
      </w:r>
    </w:p>
    <w:p w14:paraId="15909ECC" w14:textId="5E2DA340" w:rsidR="008C6651" w:rsidRPr="001530A4" w:rsidRDefault="00A00D86" w:rsidP="00CC64C7">
      <w:pPr>
        <w:spacing w:line="240" w:lineRule="auto"/>
        <w:jc w:val="both"/>
        <w:rPr>
          <w:b/>
          <w:bCs/>
          <w:sz w:val="20"/>
          <w:szCs w:val="20"/>
          <w:lang w:val="en-GB"/>
        </w:rPr>
      </w:pPr>
      <w:r w:rsidRPr="001530A4">
        <w:rPr>
          <w:rFonts w:eastAsia="Times New Roman"/>
          <w:b/>
          <w:bCs/>
          <w:sz w:val="20"/>
          <w:szCs w:val="20"/>
          <w:lang w:val="en-GB" w:eastAsia="en-US"/>
        </w:rPr>
        <w:t>RENTS</w:t>
      </w:r>
      <w:r w:rsidR="00675B1B" w:rsidRPr="001530A4">
        <w:rPr>
          <w:rFonts w:eastAsia="Times New Roman"/>
          <w:b/>
          <w:bCs/>
          <w:sz w:val="20"/>
          <w:szCs w:val="20"/>
          <w:lang w:val="en-GB" w:eastAsia="en-US"/>
        </w:rPr>
        <w:t xml:space="preserve">: </w:t>
      </w:r>
      <w:r w:rsidRPr="001530A4">
        <w:rPr>
          <w:rFonts w:eastAsia="Times New Roman"/>
          <w:b/>
          <w:bCs/>
          <w:sz w:val="20"/>
          <w:szCs w:val="20"/>
          <w:lang w:val="en-GB" w:eastAsia="en-US"/>
        </w:rPr>
        <w:t>Upward trend in central locations continues</w:t>
      </w:r>
    </w:p>
    <w:p w14:paraId="321FE0DC" w14:textId="4C843ED4" w:rsidR="003B0F97" w:rsidRPr="001530A4" w:rsidRDefault="00A00D86" w:rsidP="00CC64C7">
      <w:pPr>
        <w:spacing w:line="240" w:lineRule="auto"/>
        <w:jc w:val="both"/>
        <w:rPr>
          <w:sz w:val="20"/>
          <w:szCs w:val="20"/>
          <w:lang w:val="en-GB"/>
        </w:rPr>
      </w:pPr>
      <w:r w:rsidRPr="001530A4">
        <w:rPr>
          <w:sz w:val="20"/>
          <w:szCs w:val="20"/>
          <w:lang w:val="en-GB"/>
        </w:rPr>
        <w:t>In September</w:t>
      </w:r>
      <w:r w:rsidR="003B0F97" w:rsidRPr="001530A4">
        <w:rPr>
          <w:sz w:val="20"/>
          <w:szCs w:val="20"/>
          <w:lang w:val="en-GB"/>
        </w:rPr>
        <w:t xml:space="preserve"> 2025</w:t>
      </w:r>
      <w:r w:rsidRPr="001530A4">
        <w:rPr>
          <w:sz w:val="20"/>
          <w:szCs w:val="20"/>
          <w:lang w:val="en-GB"/>
        </w:rPr>
        <w:t xml:space="preserve">, </w:t>
      </w:r>
      <w:r w:rsidR="008E511E" w:rsidRPr="001530A4">
        <w:rPr>
          <w:sz w:val="20"/>
          <w:szCs w:val="20"/>
          <w:lang w:val="en-GB"/>
        </w:rPr>
        <w:t>prime office rents in Warsaw stood at EUR 22.00-27.00/sqm/month in the Centre and at EUR 13.50-17.00/sqm/month in non-central locations. The strongest rental growth was recorded for new office completions in the Centre. By contrast, office rents in existing buildings with high occupancy levels – in both core and peripheral locations – rose largely in line with inflation, driven by the indexation of asking rents</w:t>
      </w:r>
      <w:r w:rsidR="003B0F97" w:rsidRPr="001530A4">
        <w:rPr>
          <w:sz w:val="20"/>
          <w:szCs w:val="20"/>
          <w:lang w:val="en-GB"/>
        </w:rPr>
        <w:t>.</w:t>
      </w:r>
    </w:p>
    <w:p w14:paraId="5442342A" w14:textId="59B6B74F" w:rsidR="00096548" w:rsidRPr="001530A4" w:rsidRDefault="000B1202" w:rsidP="00CC64C7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1530A4">
        <w:rPr>
          <w:sz w:val="20"/>
          <w:szCs w:val="20"/>
          <w:lang w:val="en-GB"/>
        </w:rPr>
        <w:t>Looking ahead, Cushman &amp; Wakefield expects u</w:t>
      </w:r>
      <w:r w:rsidR="00791F98" w:rsidRPr="001530A4">
        <w:rPr>
          <w:sz w:val="20"/>
          <w:szCs w:val="20"/>
          <w:lang w:val="en-GB"/>
        </w:rPr>
        <w:t xml:space="preserve">pward pressure </w:t>
      </w:r>
      <w:r w:rsidR="007F396B" w:rsidRPr="001530A4">
        <w:rPr>
          <w:sz w:val="20"/>
          <w:szCs w:val="20"/>
          <w:lang w:val="en-GB"/>
        </w:rPr>
        <w:t xml:space="preserve">on rents to continue in the coming quarters, particularly for projects under construction and prime </w:t>
      </w:r>
      <w:r w:rsidR="00C50806" w:rsidRPr="001530A4">
        <w:rPr>
          <w:sz w:val="20"/>
          <w:szCs w:val="20"/>
          <w:lang w:val="en-GB"/>
        </w:rPr>
        <w:t>office building</w:t>
      </w:r>
      <w:r w:rsidR="009D574A" w:rsidRPr="001530A4">
        <w:rPr>
          <w:sz w:val="20"/>
          <w:szCs w:val="20"/>
          <w:lang w:val="en-GB"/>
        </w:rPr>
        <w:t>s</w:t>
      </w:r>
      <w:r w:rsidR="00C50806" w:rsidRPr="001530A4">
        <w:rPr>
          <w:sz w:val="20"/>
          <w:szCs w:val="20"/>
          <w:lang w:val="en-GB"/>
        </w:rPr>
        <w:t xml:space="preserve"> in the Centre. Meanwhile, intensif</w:t>
      </w:r>
      <w:r w:rsidR="00E73237" w:rsidRPr="001530A4">
        <w:rPr>
          <w:sz w:val="20"/>
          <w:szCs w:val="20"/>
          <w:lang w:val="en-GB"/>
        </w:rPr>
        <w:t>ied</w:t>
      </w:r>
      <w:r w:rsidR="00C50806" w:rsidRPr="001530A4">
        <w:rPr>
          <w:sz w:val="20"/>
          <w:szCs w:val="20"/>
          <w:lang w:val="en-GB"/>
        </w:rPr>
        <w:t xml:space="preserve"> competition and </w:t>
      </w:r>
      <w:r w:rsidR="007F522E">
        <w:rPr>
          <w:sz w:val="20"/>
          <w:szCs w:val="20"/>
          <w:lang w:val="en-GB"/>
        </w:rPr>
        <w:t>relatively higher</w:t>
      </w:r>
      <w:r w:rsidR="0036739F" w:rsidRPr="001530A4">
        <w:rPr>
          <w:sz w:val="20"/>
          <w:szCs w:val="20"/>
          <w:lang w:val="en-GB"/>
        </w:rPr>
        <w:t xml:space="preserve"> vacancy levels are likely to keep rental rates</w:t>
      </w:r>
      <w:r w:rsidR="00CE541D" w:rsidRPr="001530A4">
        <w:rPr>
          <w:sz w:val="20"/>
          <w:szCs w:val="20"/>
          <w:lang w:val="en-GB"/>
        </w:rPr>
        <w:t xml:space="preserve"> </w:t>
      </w:r>
      <w:r w:rsidR="00D96C56" w:rsidRPr="001530A4">
        <w:rPr>
          <w:sz w:val="20"/>
          <w:szCs w:val="20"/>
          <w:lang w:val="en-GB"/>
        </w:rPr>
        <w:t>relatively</w:t>
      </w:r>
      <w:r w:rsidR="00CE541D" w:rsidRPr="001530A4">
        <w:rPr>
          <w:sz w:val="20"/>
          <w:szCs w:val="20"/>
          <w:lang w:val="en-GB"/>
        </w:rPr>
        <w:t xml:space="preserve"> stable </w:t>
      </w:r>
      <w:r w:rsidR="00BC3E84">
        <w:rPr>
          <w:sz w:val="20"/>
          <w:szCs w:val="20"/>
          <w:lang w:val="en-GB"/>
        </w:rPr>
        <w:t xml:space="preserve">at most </w:t>
      </w:r>
      <w:r w:rsidR="00F83F9C">
        <w:rPr>
          <w:sz w:val="20"/>
          <w:szCs w:val="20"/>
          <w:lang w:val="en-GB"/>
        </w:rPr>
        <w:t xml:space="preserve">office buildings </w:t>
      </w:r>
      <w:r w:rsidR="00CE541D" w:rsidRPr="001530A4">
        <w:rPr>
          <w:sz w:val="20"/>
          <w:szCs w:val="20"/>
          <w:lang w:val="en-GB"/>
        </w:rPr>
        <w:t>in non-central locations</w:t>
      </w:r>
      <w:r w:rsidR="003B0F97" w:rsidRPr="001530A4">
        <w:rPr>
          <w:sz w:val="20"/>
          <w:szCs w:val="20"/>
          <w:lang w:val="en-GB"/>
        </w:rPr>
        <w:t>.</w:t>
      </w:r>
    </w:p>
    <w:p w14:paraId="6C7874CE" w14:textId="08AB832C" w:rsidR="00AC62A5" w:rsidRPr="001530A4" w:rsidRDefault="00AC62A5" w:rsidP="00AC62A5">
      <w:pPr>
        <w:jc w:val="center"/>
        <w:rPr>
          <w:sz w:val="16"/>
          <w:szCs w:val="16"/>
          <w:lang w:val="en-GB"/>
        </w:rPr>
      </w:pPr>
      <w:r w:rsidRPr="001530A4">
        <w:rPr>
          <w:rFonts w:eastAsia="Times New Roman"/>
          <w:sz w:val="16"/>
          <w:szCs w:val="16"/>
          <w:lang w:val="en-GB" w:eastAsia="en-US"/>
        </w:rPr>
        <w:t xml:space="preserve">- </w:t>
      </w:r>
      <w:r w:rsidRPr="001530A4">
        <w:rPr>
          <w:rFonts w:eastAsia="Times New Roman"/>
          <w:b/>
          <w:bCs/>
          <w:sz w:val="16"/>
          <w:szCs w:val="16"/>
          <w:lang w:val="en-GB" w:eastAsia="en-US"/>
        </w:rPr>
        <w:t>E</w:t>
      </w:r>
      <w:r w:rsidR="002B16FA" w:rsidRPr="001530A4">
        <w:rPr>
          <w:rFonts w:eastAsia="Times New Roman"/>
          <w:b/>
          <w:bCs/>
          <w:sz w:val="16"/>
          <w:szCs w:val="16"/>
          <w:lang w:val="en-GB" w:eastAsia="en-US"/>
        </w:rPr>
        <w:t>NDS</w:t>
      </w:r>
      <w:r w:rsidRPr="001530A4">
        <w:rPr>
          <w:rFonts w:eastAsia="Times New Roman"/>
          <w:b/>
          <w:bCs/>
          <w:sz w:val="16"/>
          <w:szCs w:val="16"/>
          <w:lang w:val="en-GB" w:eastAsia="en-US"/>
        </w:rPr>
        <w:t xml:space="preserve"> -</w:t>
      </w:r>
    </w:p>
    <w:p w14:paraId="330F4936" w14:textId="77777777" w:rsidR="00AC62A5" w:rsidRPr="001530A4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</w:p>
    <w:p w14:paraId="482909FA" w14:textId="2EEC0D6F" w:rsidR="004B3D1A" w:rsidRPr="001530A4" w:rsidRDefault="002B16F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val="en-GB" w:eastAsia="en-US"/>
        </w:rPr>
      </w:pPr>
      <w:r w:rsidRPr="001530A4">
        <w:rPr>
          <w:b/>
          <w:sz w:val="16"/>
          <w:szCs w:val="16"/>
          <w:lang w:val="en-GB"/>
        </w:rPr>
        <w:t>About</w:t>
      </w:r>
      <w:r w:rsidR="004B3D1A" w:rsidRPr="001530A4">
        <w:rPr>
          <w:b/>
          <w:sz w:val="16"/>
          <w:szCs w:val="16"/>
          <w:lang w:val="en-GB"/>
        </w:rPr>
        <w:t xml:space="preserve"> Cushman &amp; Wakefiel</w:t>
      </w:r>
      <w:r w:rsidR="00AC6DF8" w:rsidRPr="001530A4">
        <w:rPr>
          <w:b/>
          <w:sz w:val="16"/>
          <w:szCs w:val="16"/>
          <w:lang w:val="en-GB"/>
        </w:rPr>
        <w:t>d</w:t>
      </w:r>
    </w:p>
    <w:p w14:paraId="720766D1" w14:textId="2384F073" w:rsidR="00AC62A5" w:rsidRPr="001530A4" w:rsidRDefault="002B16FA" w:rsidP="00AC62A5">
      <w:pPr>
        <w:jc w:val="both"/>
        <w:rPr>
          <w:bCs/>
          <w:sz w:val="16"/>
          <w:szCs w:val="16"/>
          <w:lang w:val="en-GB"/>
        </w:rPr>
      </w:pPr>
      <w:r w:rsidRPr="001530A4">
        <w:rPr>
          <w:sz w:val="16"/>
          <w:szCs w:val="16"/>
          <w:lang w:val="en-GB"/>
        </w:rPr>
        <w:t xml:space="preserve">Cushman &amp; Wakefield (NYSE: </w:t>
      </w:r>
      <w:proofErr w:type="spellStart"/>
      <w:r w:rsidRPr="001530A4">
        <w:rPr>
          <w:sz w:val="16"/>
          <w:szCs w:val="16"/>
          <w:lang w:val="en-GB"/>
        </w:rPr>
        <w:t>CWK</w:t>
      </w:r>
      <w:proofErr w:type="spellEnd"/>
      <w:r w:rsidRPr="001530A4">
        <w:rPr>
          <w:sz w:val="16"/>
          <w:szCs w:val="16"/>
          <w:lang w:val="en-GB"/>
        </w:rPr>
        <w:t>) is a leading global commercial real estate services firm for property owners and occupiers with approximately 52,000 employees in nearly 400 offices and 60 countries. In 2024, the firm reported revenue of $9.4 billion across its core service lines of Services, Leasing, Capital markets, and Valuation and other. Built around the belief that </w:t>
      </w:r>
      <w:r w:rsidRPr="001530A4">
        <w:rPr>
          <w:i/>
          <w:iCs/>
          <w:sz w:val="16"/>
          <w:szCs w:val="16"/>
          <w:lang w:val="en-GB"/>
        </w:rPr>
        <w:t>Better never settles</w:t>
      </w:r>
      <w:r w:rsidRPr="001530A4">
        <w:rPr>
          <w:sz w:val="16"/>
          <w:szCs w:val="16"/>
          <w:lang w:val="en-GB"/>
        </w:rPr>
        <w:t xml:space="preserve">, the firm receives numerous industry and business accolades for its award-winning culture. For additional information, visit </w:t>
      </w:r>
      <w:hyperlink r:id="rId11" w:tgtFrame="_blank" w:tooltip="http://www.cushmanwakefield.com" w:history="1">
        <w:r w:rsidR="00AC62A5" w:rsidRPr="001530A4">
          <w:rPr>
            <w:rStyle w:val="Hipercze"/>
            <w:bCs/>
            <w:sz w:val="16"/>
            <w:szCs w:val="16"/>
            <w:lang w:val="en-GB"/>
          </w:rPr>
          <w:t>www.cushmanwakefield.com</w:t>
        </w:r>
      </w:hyperlink>
      <w:r w:rsidR="00AC62A5" w:rsidRPr="001530A4">
        <w:rPr>
          <w:bCs/>
          <w:sz w:val="16"/>
          <w:szCs w:val="16"/>
          <w:lang w:val="en-GB"/>
        </w:rPr>
        <w:t>.</w:t>
      </w:r>
    </w:p>
    <w:p w14:paraId="64A83442" w14:textId="5CD6CB13" w:rsidR="00BC2537" w:rsidRPr="001530A4" w:rsidRDefault="00BC2537" w:rsidP="0017521E">
      <w:pPr>
        <w:jc w:val="center"/>
        <w:rPr>
          <w:sz w:val="16"/>
          <w:szCs w:val="16"/>
          <w:lang w:val="en-GB"/>
        </w:rPr>
      </w:pPr>
    </w:p>
    <w:sectPr w:rsidR="00BC2537" w:rsidRPr="001530A4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D34E" w14:textId="77777777" w:rsidR="00C003B3" w:rsidRDefault="00C003B3">
      <w:pPr>
        <w:spacing w:after="0" w:line="240" w:lineRule="auto"/>
      </w:pPr>
      <w:r>
        <w:separator/>
      </w:r>
    </w:p>
  </w:endnote>
  <w:endnote w:type="continuationSeparator" w:id="0">
    <w:p w14:paraId="2FFA6055" w14:textId="77777777" w:rsidR="00C003B3" w:rsidRDefault="00C003B3">
      <w:pPr>
        <w:spacing w:after="0" w:line="240" w:lineRule="auto"/>
      </w:pPr>
      <w:r>
        <w:continuationSeparator/>
      </w:r>
    </w:p>
  </w:endnote>
  <w:endnote w:type="continuationNotice" w:id="1">
    <w:p w14:paraId="60B50A7A" w14:textId="77777777" w:rsidR="00C003B3" w:rsidRDefault="00C00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06592B8" w:rsidR="00025C81" w:rsidRPr="00C8277A" w:rsidRDefault="002B16FA" w:rsidP="00B924E3">
          <w:pPr>
            <w:pStyle w:val="Nagwek2"/>
            <w:rPr>
              <w:rFonts w:ascii="Arial" w:hAnsi="Arial" w:cs="Arial"/>
              <w:color w:val="000000" w:themeColor="text1"/>
            </w:rPr>
          </w:pPr>
          <w:r w:rsidRPr="002B16FA">
            <w:rPr>
              <w:rFonts w:ascii="Arial" w:hAnsi="Arial" w:cs="Arial"/>
              <w:color w:val="000000" w:themeColor="text1"/>
              <w:lang w:val="en-GB"/>
            </w:rPr>
            <w:t>For Further Information Contact</w:t>
          </w:r>
          <w:r w:rsidR="001A4929" w:rsidRPr="00C8277A">
            <w:rPr>
              <w:rFonts w:ascii="Arial" w:hAnsi="Arial" w:cs="Arial"/>
              <w:color w:val="000000" w:themeColor="text1"/>
            </w:rPr>
            <w:t>:</w:t>
          </w:r>
        </w:p>
      </w:tc>
    </w:tr>
    <w:tr w:rsidR="00C8277A" w:rsidRPr="00A27CE2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3467"/>
            <w:gridCol w:w="3763"/>
            <w:gridCol w:w="2865"/>
          </w:tblGrid>
          <w:tr w:rsidR="00C8277A" w:rsidRPr="00A27CE2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ela-Siatka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A27CE2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2F1853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2F1853">
                        <w:rPr>
                          <w:color w:val="696B6B"/>
                          <w:szCs w:val="18"/>
                          <w:u w:color="696B6B"/>
                          <w:lang w:val="pl-PL"/>
                        </w:rPr>
                        <w:t>Karolina Samczyńska-Fiślak</w:t>
                      </w:r>
                    </w:p>
                    <w:p w14:paraId="03FB117E" w14:textId="77777777" w:rsidR="00025C81" w:rsidRPr="002F1853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</w:pPr>
                      <w:r w:rsidRPr="002F1853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pl-PL"/>
                        </w:rPr>
                        <w:t xml:space="preserve">Cushman &amp; Wakefield </w:t>
                      </w:r>
                    </w:p>
                    <w:p w14:paraId="51DAB7AF" w14:textId="799868C8" w:rsidR="00025C81" w:rsidRPr="002F1853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  <w:lang w:val="pl-PL"/>
                        </w:rPr>
                      </w:pPr>
                      <w:r w:rsidRPr="002F1853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 xml:space="preserve">Tel: + 48 22 820 20 20; </w:t>
                      </w:r>
                      <w:r w:rsidR="00AF11EE" w:rsidRPr="002F1853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  <w:lang w:val="pl-PL"/>
                        </w:rPr>
                        <w:t>691 060 202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e-mail: </w:t>
                      </w:r>
                      <w:r>
                        <w:fldChar w:fldCharType="begin"/>
                      </w:r>
                      <w:r w:rsidRPr="00A27CE2">
                        <w:rPr>
                          <w:lang w:val="de-DE"/>
                        </w:rPr>
                        <w:instrText>HYPERLINK "mailto:media.poland@cushwake.pl"</w:instrText>
                      </w:r>
                      <w:r>
                        <w:fldChar w:fldCharType="separate"/>
                      </w:r>
                      <w:r w:rsidRPr="009D1ABC">
                        <w:rPr>
                          <w:rStyle w:val="Hyperlink0"/>
                          <w:lang w:val="de-AT"/>
                        </w:rPr>
                        <w:t>media.poland@cushwake.pl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2F1853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de-DE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2F1853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de-DE"/>
                  </w:rPr>
                </w:pPr>
              </w:p>
              <w:p w14:paraId="0D0425FA" w14:textId="77777777" w:rsidR="00025C81" w:rsidRPr="002F1853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de-DE"/>
                  </w:rPr>
                </w:pPr>
              </w:p>
            </w:tc>
          </w:tr>
        </w:tbl>
        <w:p w14:paraId="51226427" w14:textId="794B06BC" w:rsidR="00025C81" w:rsidRPr="002F1853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de-DE"/>
            </w:rPr>
          </w:pPr>
        </w:p>
      </w:tc>
    </w:tr>
  </w:tbl>
  <w:p w14:paraId="6A6BD428" w14:textId="77777777" w:rsidR="00025C81" w:rsidRPr="002F1853" w:rsidRDefault="00025C81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Nagwek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>Media Contact: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A27CE2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>
            <w:fldChar w:fldCharType="begin"/>
          </w:r>
          <w:r w:rsidRPr="00A27CE2">
            <w:rPr>
              <w:lang w:val="en-US"/>
            </w:rPr>
            <w:instrText>HYPERLINK "mailto:first.last@cushwake.com"</w:instrText>
          </w:r>
          <w:r>
            <w:fldChar w:fldCharType="separate"/>
          </w:r>
          <w:r w:rsidRPr="00D4241D">
            <w:rPr>
              <w:rStyle w:val="Hipercze"/>
              <w:sz w:val="18"/>
              <w:szCs w:val="18"/>
              <w:lang w:val="en-GB"/>
            </w:rPr>
            <w:t>first.last@cushwake.com</w:t>
          </w:r>
          <w:r>
            <w:fldChar w:fldCharType="end"/>
          </w:r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75E3" w14:textId="77777777" w:rsidR="00C003B3" w:rsidRDefault="00C003B3">
      <w:pPr>
        <w:spacing w:after="0" w:line="240" w:lineRule="auto"/>
      </w:pPr>
      <w:r>
        <w:separator/>
      </w:r>
    </w:p>
  </w:footnote>
  <w:footnote w:type="continuationSeparator" w:id="0">
    <w:p w14:paraId="6325115D" w14:textId="77777777" w:rsidR="00C003B3" w:rsidRDefault="00C003B3">
      <w:pPr>
        <w:spacing w:after="0" w:line="240" w:lineRule="auto"/>
      </w:pPr>
      <w:r>
        <w:continuationSeparator/>
      </w:r>
    </w:p>
  </w:footnote>
  <w:footnote w:type="continuationNotice" w:id="1">
    <w:p w14:paraId="57289293" w14:textId="77777777" w:rsidR="00C003B3" w:rsidRDefault="00C00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553438">
    <w:abstractNumId w:val="3"/>
  </w:num>
  <w:num w:numId="2" w16cid:durableId="1044217238">
    <w:abstractNumId w:val="0"/>
  </w:num>
  <w:num w:numId="3" w16cid:durableId="1344088390">
    <w:abstractNumId w:val="2"/>
  </w:num>
  <w:num w:numId="4" w16cid:durableId="131460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4F73"/>
    <w:rsid w:val="00005387"/>
    <w:rsid w:val="00005FD5"/>
    <w:rsid w:val="00007243"/>
    <w:rsid w:val="00007538"/>
    <w:rsid w:val="00013F59"/>
    <w:rsid w:val="000203A2"/>
    <w:rsid w:val="000251E4"/>
    <w:rsid w:val="00025C81"/>
    <w:rsid w:val="000273AD"/>
    <w:rsid w:val="00027F57"/>
    <w:rsid w:val="0003245E"/>
    <w:rsid w:val="00035A36"/>
    <w:rsid w:val="00037593"/>
    <w:rsid w:val="00040FBF"/>
    <w:rsid w:val="00042444"/>
    <w:rsid w:val="00044C5B"/>
    <w:rsid w:val="000621C1"/>
    <w:rsid w:val="000666EE"/>
    <w:rsid w:val="00067FD0"/>
    <w:rsid w:val="000700E2"/>
    <w:rsid w:val="000720F5"/>
    <w:rsid w:val="00080DF1"/>
    <w:rsid w:val="0008371E"/>
    <w:rsid w:val="00083F43"/>
    <w:rsid w:val="00086A48"/>
    <w:rsid w:val="00086C80"/>
    <w:rsid w:val="00086F64"/>
    <w:rsid w:val="0008772D"/>
    <w:rsid w:val="00087CCB"/>
    <w:rsid w:val="00092C27"/>
    <w:rsid w:val="00093540"/>
    <w:rsid w:val="00096548"/>
    <w:rsid w:val="000A54A7"/>
    <w:rsid w:val="000A5B38"/>
    <w:rsid w:val="000A622E"/>
    <w:rsid w:val="000B1202"/>
    <w:rsid w:val="000B142D"/>
    <w:rsid w:val="000B29DE"/>
    <w:rsid w:val="000B41DE"/>
    <w:rsid w:val="000B57CB"/>
    <w:rsid w:val="000C20B4"/>
    <w:rsid w:val="000C30AD"/>
    <w:rsid w:val="000C4210"/>
    <w:rsid w:val="000C4294"/>
    <w:rsid w:val="000C585C"/>
    <w:rsid w:val="000D0779"/>
    <w:rsid w:val="000D21D0"/>
    <w:rsid w:val="000D4656"/>
    <w:rsid w:val="000D5790"/>
    <w:rsid w:val="000D5FED"/>
    <w:rsid w:val="000D68FD"/>
    <w:rsid w:val="000D7839"/>
    <w:rsid w:val="000E1370"/>
    <w:rsid w:val="000E71D0"/>
    <w:rsid w:val="000F55F6"/>
    <w:rsid w:val="000F64E0"/>
    <w:rsid w:val="000F7964"/>
    <w:rsid w:val="001013AF"/>
    <w:rsid w:val="0010558B"/>
    <w:rsid w:val="001062D1"/>
    <w:rsid w:val="00110A6D"/>
    <w:rsid w:val="00111135"/>
    <w:rsid w:val="0011356F"/>
    <w:rsid w:val="001141D8"/>
    <w:rsid w:val="001146DD"/>
    <w:rsid w:val="00114AF8"/>
    <w:rsid w:val="0011559A"/>
    <w:rsid w:val="0012061A"/>
    <w:rsid w:val="00122668"/>
    <w:rsid w:val="00124F62"/>
    <w:rsid w:val="001265DC"/>
    <w:rsid w:val="00131212"/>
    <w:rsid w:val="00132198"/>
    <w:rsid w:val="00132CB9"/>
    <w:rsid w:val="00132F07"/>
    <w:rsid w:val="00140D8B"/>
    <w:rsid w:val="001417EA"/>
    <w:rsid w:val="00142752"/>
    <w:rsid w:val="00144415"/>
    <w:rsid w:val="00150F3F"/>
    <w:rsid w:val="0015215D"/>
    <w:rsid w:val="00152955"/>
    <w:rsid w:val="001530A4"/>
    <w:rsid w:val="00156F9C"/>
    <w:rsid w:val="0016347E"/>
    <w:rsid w:val="001635F6"/>
    <w:rsid w:val="001645A3"/>
    <w:rsid w:val="00165FB8"/>
    <w:rsid w:val="00166861"/>
    <w:rsid w:val="00166F71"/>
    <w:rsid w:val="00167436"/>
    <w:rsid w:val="001702CE"/>
    <w:rsid w:val="00172522"/>
    <w:rsid w:val="00174EBA"/>
    <w:rsid w:val="0017521E"/>
    <w:rsid w:val="00175D9C"/>
    <w:rsid w:val="00175FB4"/>
    <w:rsid w:val="00182C4F"/>
    <w:rsid w:val="00184C32"/>
    <w:rsid w:val="00184CD5"/>
    <w:rsid w:val="00185967"/>
    <w:rsid w:val="0018688B"/>
    <w:rsid w:val="00190FB3"/>
    <w:rsid w:val="001937D9"/>
    <w:rsid w:val="0019650E"/>
    <w:rsid w:val="00197895"/>
    <w:rsid w:val="001A4929"/>
    <w:rsid w:val="001A56D9"/>
    <w:rsid w:val="001B5F5F"/>
    <w:rsid w:val="001B5FA0"/>
    <w:rsid w:val="001B7AE3"/>
    <w:rsid w:val="001C0591"/>
    <w:rsid w:val="001C59AB"/>
    <w:rsid w:val="001C7005"/>
    <w:rsid w:val="001D08F3"/>
    <w:rsid w:val="001D11B6"/>
    <w:rsid w:val="001D28B8"/>
    <w:rsid w:val="001D401E"/>
    <w:rsid w:val="001D5266"/>
    <w:rsid w:val="001E0643"/>
    <w:rsid w:val="001E06FB"/>
    <w:rsid w:val="001E0E42"/>
    <w:rsid w:val="001E16E8"/>
    <w:rsid w:val="001E3C79"/>
    <w:rsid w:val="001E4E45"/>
    <w:rsid w:val="001E56EB"/>
    <w:rsid w:val="001F406E"/>
    <w:rsid w:val="001F7E37"/>
    <w:rsid w:val="00201FDA"/>
    <w:rsid w:val="00204C52"/>
    <w:rsid w:val="00206001"/>
    <w:rsid w:val="002117B9"/>
    <w:rsid w:val="002125FE"/>
    <w:rsid w:val="00212E0F"/>
    <w:rsid w:val="00217BD6"/>
    <w:rsid w:val="00223559"/>
    <w:rsid w:val="002240B1"/>
    <w:rsid w:val="00236B04"/>
    <w:rsid w:val="002375BA"/>
    <w:rsid w:val="00237D2B"/>
    <w:rsid w:val="002426EF"/>
    <w:rsid w:val="0024400C"/>
    <w:rsid w:val="0024604F"/>
    <w:rsid w:val="00246115"/>
    <w:rsid w:val="0024721C"/>
    <w:rsid w:val="0024793A"/>
    <w:rsid w:val="00251824"/>
    <w:rsid w:val="00251F00"/>
    <w:rsid w:val="002520B6"/>
    <w:rsid w:val="00254581"/>
    <w:rsid w:val="00257ED3"/>
    <w:rsid w:val="0026004F"/>
    <w:rsid w:val="00260C7D"/>
    <w:rsid w:val="00261AA0"/>
    <w:rsid w:val="00265F1D"/>
    <w:rsid w:val="0026615D"/>
    <w:rsid w:val="002730A2"/>
    <w:rsid w:val="00275982"/>
    <w:rsid w:val="00275F1E"/>
    <w:rsid w:val="00275FDC"/>
    <w:rsid w:val="0028046B"/>
    <w:rsid w:val="00280DAC"/>
    <w:rsid w:val="002818E1"/>
    <w:rsid w:val="00281BFB"/>
    <w:rsid w:val="0028223D"/>
    <w:rsid w:val="00282FB7"/>
    <w:rsid w:val="00284E92"/>
    <w:rsid w:val="00285282"/>
    <w:rsid w:val="00286DC7"/>
    <w:rsid w:val="00287568"/>
    <w:rsid w:val="002878B7"/>
    <w:rsid w:val="00292433"/>
    <w:rsid w:val="00293086"/>
    <w:rsid w:val="00293E07"/>
    <w:rsid w:val="00293ED2"/>
    <w:rsid w:val="002958EB"/>
    <w:rsid w:val="0029652C"/>
    <w:rsid w:val="002967FF"/>
    <w:rsid w:val="0029736E"/>
    <w:rsid w:val="002A197E"/>
    <w:rsid w:val="002A37FC"/>
    <w:rsid w:val="002A43B7"/>
    <w:rsid w:val="002B16FA"/>
    <w:rsid w:val="002B381B"/>
    <w:rsid w:val="002B4716"/>
    <w:rsid w:val="002B6B39"/>
    <w:rsid w:val="002C06D5"/>
    <w:rsid w:val="002C1DFF"/>
    <w:rsid w:val="002C480C"/>
    <w:rsid w:val="002C4D11"/>
    <w:rsid w:val="002C5887"/>
    <w:rsid w:val="002D0B42"/>
    <w:rsid w:val="002D4EC6"/>
    <w:rsid w:val="002D5829"/>
    <w:rsid w:val="002D7779"/>
    <w:rsid w:val="002D77C8"/>
    <w:rsid w:val="002E0BB0"/>
    <w:rsid w:val="002E1729"/>
    <w:rsid w:val="002E2D30"/>
    <w:rsid w:val="002E38B1"/>
    <w:rsid w:val="002E5EC8"/>
    <w:rsid w:val="002E7F16"/>
    <w:rsid w:val="002F0666"/>
    <w:rsid w:val="002F08E1"/>
    <w:rsid w:val="002F0F48"/>
    <w:rsid w:val="002F1853"/>
    <w:rsid w:val="002F447F"/>
    <w:rsid w:val="00300BC4"/>
    <w:rsid w:val="00300F2D"/>
    <w:rsid w:val="00302886"/>
    <w:rsid w:val="00306BFA"/>
    <w:rsid w:val="00310D2A"/>
    <w:rsid w:val="00310DDE"/>
    <w:rsid w:val="00317813"/>
    <w:rsid w:val="0032157F"/>
    <w:rsid w:val="0032389F"/>
    <w:rsid w:val="00331D04"/>
    <w:rsid w:val="003370A1"/>
    <w:rsid w:val="003427F8"/>
    <w:rsid w:val="0034418D"/>
    <w:rsid w:val="00345D04"/>
    <w:rsid w:val="00345D09"/>
    <w:rsid w:val="00352EDA"/>
    <w:rsid w:val="0035396B"/>
    <w:rsid w:val="00355174"/>
    <w:rsid w:val="00364117"/>
    <w:rsid w:val="00366B8B"/>
    <w:rsid w:val="0036739F"/>
    <w:rsid w:val="003719A2"/>
    <w:rsid w:val="00371AFD"/>
    <w:rsid w:val="00374DB8"/>
    <w:rsid w:val="00377D93"/>
    <w:rsid w:val="00385CB8"/>
    <w:rsid w:val="00385CE5"/>
    <w:rsid w:val="0038604F"/>
    <w:rsid w:val="00387CAF"/>
    <w:rsid w:val="003936DF"/>
    <w:rsid w:val="0039770F"/>
    <w:rsid w:val="003A24D4"/>
    <w:rsid w:val="003A3068"/>
    <w:rsid w:val="003A472C"/>
    <w:rsid w:val="003A693E"/>
    <w:rsid w:val="003A6A24"/>
    <w:rsid w:val="003A70E2"/>
    <w:rsid w:val="003B0F97"/>
    <w:rsid w:val="003B2048"/>
    <w:rsid w:val="003B30F5"/>
    <w:rsid w:val="003B3560"/>
    <w:rsid w:val="003B641C"/>
    <w:rsid w:val="003B78C7"/>
    <w:rsid w:val="003B79DD"/>
    <w:rsid w:val="003C05AF"/>
    <w:rsid w:val="003C0608"/>
    <w:rsid w:val="003C1BBA"/>
    <w:rsid w:val="003C1E58"/>
    <w:rsid w:val="003C5B29"/>
    <w:rsid w:val="003C791A"/>
    <w:rsid w:val="003E003A"/>
    <w:rsid w:val="003E0201"/>
    <w:rsid w:val="003E3F99"/>
    <w:rsid w:val="003E406F"/>
    <w:rsid w:val="003F1596"/>
    <w:rsid w:val="003F4AAD"/>
    <w:rsid w:val="003F60EA"/>
    <w:rsid w:val="004001BC"/>
    <w:rsid w:val="00403626"/>
    <w:rsid w:val="00410D62"/>
    <w:rsid w:val="004112C0"/>
    <w:rsid w:val="00415B59"/>
    <w:rsid w:val="0042183C"/>
    <w:rsid w:val="0042255F"/>
    <w:rsid w:val="004234D2"/>
    <w:rsid w:val="004329C4"/>
    <w:rsid w:val="00432ACA"/>
    <w:rsid w:val="00436C10"/>
    <w:rsid w:val="0043767F"/>
    <w:rsid w:val="00440D65"/>
    <w:rsid w:val="00443798"/>
    <w:rsid w:val="00443EFE"/>
    <w:rsid w:val="00447592"/>
    <w:rsid w:val="00451C25"/>
    <w:rsid w:val="00452FD6"/>
    <w:rsid w:val="00454311"/>
    <w:rsid w:val="004549AC"/>
    <w:rsid w:val="00457545"/>
    <w:rsid w:val="00461B2F"/>
    <w:rsid w:val="00462B62"/>
    <w:rsid w:val="00464434"/>
    <w:rsid w:val="00464B72"/>
    <w:rsid w:val="00466300"/>
    <w:rsid w:val="00466ABC"/>
    <w:rsid w:val="004678CA"/>
    <w:rsid w:val="00471A22"/>
    <w:rsid w:val="00482A03"/>
    <w:rsid w:val="004900F3"/>
    <w:rsid w:val="00490581"/>
    <w:rsid w:val="00491EA1"/>
    <w:rsid w:val="0049367E"/>
    <w:rsid w:val="00497908"/>
    <w:rsid w:val="004A01E8"/>
    <w:rsid w:val="004A3133"/>
    <w:rsid w:val="004A5B66"/>
    <w:rsid w:val="004B0979"/>
    <w:rsid w:val="004B3D1A"/>
    <w:rsid w:val="004B5A43"/>
    <w:rsid w:val="004C2C37"/>
    <w:rsid w:val="004D07CC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64D6"/>
    <w:rsid w:val="004F774A"/>
    <w:rsid w:val="00502E72"/>
    <w:rsid w:val="0050412F"/>
    <w:rsid w:val="00512047"/>
    <w:rsid w:val="00512ADF"/>
    <w:rsid w:val="00512FDA"/>
    <w:rsid w:val="0051329D"/>
    <w:rsid w:val="005136A0"/>
    <w:rsid w:val="00514920"/>
    <w:rsid w:val="0051644B"/>
    <w:rsid w:val="00517B59"/>
    <w:rsid w:val="00520076"/>
    <w:rsid w:val="005229AB"/>
    <w:rsid w:val="00531CF4"/>
    <w:rsid w:val="00531D93"/>
    <w:rsid w:val="005323BE"/>
    <w:rsid w:val="005336AC"/>
    <w:rsid w:val="005352C0"/>
    <w:rsid w:val="005369D7"/>
    <w:rsid w:val="00537747"/>
    <w:rsid w:val="00541459"/>
    <w:rsid w:val="00541512"/>
    <w:rsid w:val="00541D5B"/>
    <w:rsid w:val="00550E80"/>
    <w:rsid w:val="00552477"/>
    <w:rsid w:val="00552FCF"/>
    <w:rsid w:val="0055396A"/>
    <w:rsid w:val="0055434C"/>
    <w:rsid w:val="00561829"/>
    <w:rsid w:val="005631C3"/>
    <w:rsid w:val="0056367E"/>
    <w:rsid w:val="0056473A"/>
    <w:rsid w:val="0056636F"/>
    <w:rsid w:val="00566AB7"/>
    <w:rsid w:val="00572580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92D9C"/>
    <w:rsid w:val="00596080"/>
    <w:rsid w:val="005A3A4C"/>
    <w:rsid w:val="005A4560"/>
    <w:rsid w:val="005A7413"/>
    <w:rsid w:val="005B4D77"/>
    <w:rsid w:val="005C01D2"/>
    <w:rsid w:val="005C2765"/>
    <w:rsid w:val="005C30A0"/>
    <w:rsid w:val="005C3C3C"/>
    <w:rsid w:val="005C4360"/>
    <w:rsid w:val="005C6332"/>
    <w:rsid w:val="005C6C24"/>
    <w:rsid w:val="005C72CD"/>
    <w:rsid w:val="005D05E5"/>
    <w:rsid w:val="005D06CC"/>
    <w:rsid w:val="005D3204"/>
    <w:rsid w:val="005D4DD1"/>
    <w:rsid w:val="005D5EEB"/>
    <w:rsid w:val="005E2C9B"/>
    <w:rsid w:val="005E2EC7"/>
    <w:rsid w:val="005E36C1"/>
    <w:rsid w:val="005E49BA"/>
    <w:rsid w:val="005F4068"/>
    <w:rsid w:val="005F709A"/>
    <w:rsid w:val="00601B86"/>
    <w:rsid w:val="006020AF"/>
    <w:rsid w:val="00603782"/>
    <w:rsid w:val="00606E7D"/>
    <w:rsid w:val="00606F29"/>
    <w:rsid w:val="00607408"/>
    <w:rsid w:val="00612A79"/>
    <w:rsid w:val="006137DF"/>
    <w:rsid w:val="00617929"/>
    <w:rsid w:val="00624E73"/>
    <w:rsid w:val="00625117"/>
    <w:rsid w:val="00625DBC"/>
    <w:rsid w:val="00626706"/>
    <w:rsid w:val="00633A16"/>
    <w:rsid w:val="00634853"/>
    <w:rsid w:val="00634896"/>
    <w:rsid w:val="00634A82"/>
    <w:rsid w:val="00635F8D"/>
    <w:rsid w:val="006367C0"/>
    <w:rsid w:val="00644B83"/>
    <w:rsid w:val="00647BF0"/>
    <w:rsid w:val="00653D57"/>
    <w:rsid w:val="00654588"/>
    <w:rsid w:val="00655594"/>
    <w:rsid w:val="00661253"/>
    <w:rsid w:val="00661892"/>
    <w:rsid w:val="00662194"/>
    <w:rsid w:val="00665987"/>
    <w:rsid w:val="00670CB1"/>
    <w:rsid w:val="006714A0"/>
    <w:rsid w:val="0067422C"/>
    <w:rsid w:val="00674476"/>
    <w:rsid w:val="00674AAF"/>
    <w:rsid w:val="00675B1B"/>
    <w:rsid w:val="0067607F"/>
    <w:rsid w:val="006807CC"/>
    <w:rsid w:val="00682F1F"/>
    <w:rsid w:val="00683345"/>
    <w:rsid w:val="0068616F"/>
    <w:rsid w:val="00686CF4"/>
    <w:rsid w:val="00691A7E"/>
    <w:rsid w:val="0069258A"/>
    <w:rsid w:val="00695E5E"/>
    <w:rsid w:val="006A2A36"/>
    <w:rsid w:val="006A32B9"/>
    <w:rsid w:val="006A63F9"/>
    <w:rsid w:val="006A7AF7"/>
    <w:rsid w:val="006B114D"/>
    <w:rsid w:val="006B16DD"/>
    <w:rsid w:val="006B3391"/>
    <w:rsid w:val="006B635B"/>
    <w:rsid w:val="006B6EBE"/>
    <w:rsid w:val="006C3D4A"/>
    <w:rsid w:val="006C449A"/>
    <w:rsid w:val="006C5971"/>
    <w:rsid w:val="006C62BD"/>
    <w:rsid w:val="006D189F"/>
    <w:rsid w:val="006D1EF1"/>
    <w:rsid w:val="006D555F"/>
    <w:rsid w:val="006D68E0"/>
    <w:rsid w:val="006E2861"/>
    <w:rsid w:val="006E2DCD"/>
    <w:rsid w:val="006E5816"/>
    <w:rsid w:val="006F06A0"/>
    <w:rsid w:val="006F3F08"/>
    <w:rsid w:val="007014E6"/>
    <w:rsid w:val="00703171"/>
    <w:rsid w:val="00705FA6"/>
    <w:rsid w:val="00706617"/>
    <w:rsid w:val="00706A7F"/>
    <w:rsid w:val="007070BF"/>
    <w:rsid w:val="00710F25"/>
    <w:rsid w:val="007126A6"/>
    <w:rsid w:val="00717324"/>
    <w:rsid w:val="0072455B"/>
    <w:rsid w:val="00725E13"/>
    <w:rsid w:val="007326D4"/>
    <w:rsid w:val="00736585"/>
    <w:rsid w:val="0073765B"/>
    <w:rsid w:val="00742036"/>
    <w:rsid w:val="007434AC"/>
    <w:rsid w:val="00747126"/>
    <w:rsid w:val="0075095C"/>
    <w:rsid w:val="0075119F"/>
    <w:rsid w:val="00751E88"/>
    <w:rsid w:val="00753387"/>
    <w:rsid w:val="00754C88"/>
    <w:rsid w:val="00757A3F"/>
    <w:rsid w:val="007640FE"/>
    <w:rsid w:val="00770B4C"/>
    <w:rsid w:val="00771251"/>
    <w:rsid w:val="00773687"/>
    <w:rsid w:val="00773AAB"/>
    <w:rsid w:val="00775E16"/>
    <w:rsid w:val="00781238"/>
    <w:rsid w:val="00781D70"/>
    <w:rsid w:val="00782A9B"/>
    <w:rsid w:val="00790531"/>
    <w:rsid w:val="00790E9B"/>
    <w:rsid w:val="00791F98"/>
    <w:rsid w:val="0079250E"/>
    <w:rsid w:val="00792ECE"/>
    <w:rsid w:val="00792F37"/>
    <w:rsid w:val="00797340"/>
    <w:rsid w:val="007A13F6"/>
    <w:rsid w:val="007A2F9F"/>
    <w:rsid w:val="007A354E"/>
    <w:rsid w:val="007A6E6F"/>
    <w:rsid w:val="007B0283"/>
    <w:rsid w:val="007B1B45"/>
    <w:rsid w:val="007B20DD"/>
    <w:rsid w:val="007B2567"/>
    <w:rsid w:val="007B2741"/>
    <w:rsid w:val="007B54E0"/>
    <w:rsid w:val="007B5BB2"/>
    <w:rsid w:val="007B6E2A"/>
    <w:rsid w:val="007C69D0"/>
    <w:rsid w:val="007D2192"/>
    <w:rsid w:val="007D4408"/>
    <w:rsid w:val="007D6C4B"/>
    <w:rsid w:val="007D74D5"/>
    <w:rsid w:val="007D7F38"/>
    <w:rsid w:val="007E4DE6"/>
    <w:rsid w:val="007E6CDD"/>
    <w:rsid w:val="007F13AB"/>
    <w:rsid w:val="007F1561"/>
    <w:rsid w:val="007F24BF"/>
    <w:rsid w:val="007F2FE9"/>
    <w:rsid w:val="007F396B"/>
    <w:rsid w:val="007F522E"/>
    <w:rsid w:val="007F5890"/>
    <w:rsid w:val="007F7F38"/>
    <w:rsid w:val="008014DA"/>
    <w:rsid w:val="00802ECA"/>
    <w:rsid w:val="0080672A"/>
    <w:rsid w:val="008103CB"/>
    <w:rsid w:val="00811344"/>
    <w:rsid w:val="0081370C"/>
    <w:rsid w:val="00814D2B"/>
    <w:rsid w:val="008173D0"/>
    <w:rsid w:val="0081778B"/>
    <w:rsid w:val="0082036C"/>
    <w:rsid w:val="00821380"/>
    <w:rsid w:val="00824654"/>
    <w:rsid w:val="008247B5"/>
    <w:rsid w:val="00824D18"/>
    <w:rsid w:val="0083179A"/>
    <w:rsid w:val="00831B7D"/>
    <w:rsid w:val="00832329"/>
    <w:rsid w:val="00842064"/>
    <w:rsid w:val="00842687"/>
    <w:rsid w:val="0084290C"/>
    <w:rsid w:val="00843BB8"/>
    <w:rsid w:val="008473DB"/>
    <w:rsid w:val="0085202E"/>
    <w:rsid w:val="00856BE4"/>
    <w:rsid w:val="00860DA3"/>
    <w:rsid w:val="00865458"/>
    <w:rsid w:val="00866D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5E0C"/>
    <w:rsid w:val="008942F4"/>
    <w:rsid w:val="00894AD2"/>
    <w:rsid w:val="00895739"/>
    <w:rsid w:val="00895809"/>
    <w:rsid w:val="00895A85"/>
    <w:rsid w:val="00895F80"/>
    <w:rsid w:val="00896E78"/>
    <w:rsid w:val="008972B1"/>
    <w:rsid w:val="008974F3"/>
    <w:rsid w:val="008A26A0"/>
    <w:rsid w:val="008A3A39"/>
    <w:rsid w:val="008A3F07"/>
    <w:rsid w:val="008A6EF4"/>
    <w:rsid w:val="008B0A0A"/>
    <w:rsid w:val="008B26B4"/>
    <w:rsid w:val="008B352B"/>
    <w:rsid w:val="008B4539"/>
    <w:rsid w:val="008C14E5"/>
    <w:rsid w:val="008C1ECC"/>
    <w:rsid w:val="008C2621"/>
    <w:rsid w:val="008C390B"/>
    <w:rsid w:val="008C42CD"/>
    <w:rsid w:val="008C5188"/>
    <w:rsid w:val="008C5675"/>
    <w:rsid w:val="008C6651"/>
    <w:rsid w:val="008D009F"/>
    <w:rsid w:val="008D703C"/>
    <w:rsid w:val="008E11F5"/>
    <w:rsid w:val="008E3D2C"/>
    <w:rsid w:val="008E511E"/>
    <w:rsid w:val="008E5B6C"/>
    <w:rsid w:val="008F01FC"/>
    <w:rsid w:val="008F020D"/>
    <w:rsid w:val="008F034B"/>
    <w:rsid w:val="008F0AAC"/>
    <w:rsid w:val="008F1B4D"/>
    <w:rsid w:val="008F2C02"/>
    <w:rsid w:val="008F2CFF"/>
    <w:rsid w:val="008F7EA7"/>
    <w:rsid w:val="00901841"/>
    <w:rsid w:val="00901AD4"/>
    <w:rsid w:val="009044FF"/>
    <w:rsid w:val="00904E04"/>
    <w:rsid w:val="00911FF4"/>
    <w:rsid w:val="00914465"/>
    <w:rsid w:val="0091784B"/>
    <w:rsid w:val="00920635"/>
    <w:rsid w:val="00920BE7"/>
    <w:rsid w:val="00921FC7"/>
    <w:rsid w:val="00923443"/>
    <w:rsid w:val="00927365"/>
    <w:rsid w:val="00932333"/>
    <w:rsid w:val="00935219"/>
    <w:rsid w:val="00941B66"/>
    <w:rsid w:val="00943336"/>
    <w:rsid w:val="00943858"/>
    <w:rsid w:val="00945854"/>
    <w:rsid w:val="00946C47"/>
    <w:rsid w:val="009522F7"/>
    <w:rsid w:val="00953475"/>
    <w:rsid w:val="0095564E"/>
    <w:rsid w:val="00956547"/>
    <w:rsid w:val="00962A05"/>
    <w:rsid w:val="00965609"/>
    <w:rsid w:val="0096608A"/>
    <w:rsid w:val="0096799A"/>
    <w:rsid w:val="00967B91"/>
    <w:rsid w:val="0097035C"/>
    <w:rsid w:val="00971AF5"/>
    <w:rsid w:val="0097409A"/>
    <w:rsid w:val="00976C95"/>
    <w:rsid w:val="00977641"/>
    <w:rsid w:val="00977AE0"/>
    <w:rsid w:val="0098288E"/>
    <w:rsid w:val="00983E80"/>
    <w:rsid w:val="009859EC"/>
    <w:rsid w:val="00985CC6"/>
    <w:rsid w:val="009902A1"/>
    <w:rsid w:val="00991DB3"/>
    <w:rsid w:val="00993D91"/>
    <w:rsid w:val="00994AF6"/>
    <w:rsid w:val="00997139"/>
    <w:rsid w:val="0099767D"/>
    <w:rsid w:val="009A1D96"/>
    <w:rsid w:val="009A48D4"/>
    <w:rsid w:val="009A7442"/>
    <w:rsid w:val="009A7E89"/>
    <w:rsid w:val="009B0753"/>
    <w:rsid w:val="009B11D8"/>
    <w:rsid w:val="009B1249"/>
    <w:rsid w:val="009B5547"/>
    <w:rsid w:val="009B6014"/>
    <w:rsid w:val="009B633B"/>
    <w:rsid w:val="009B7F16"/>
    <w:rsid w:val="009C075D"/>
    <w:rsid w:val="009C4868"/>
    <w:rsid w:val="009C5621"/>
    <w:rsid w:val="009C7F14"/>
    <w:rsid w:val="009D025D"/>
    <w:rsid w:val="009D233E"/>
    <w:rsid w:val="009D31EC"/>
    <w:rsid w:val="009D574A"/>
    <w:rsid w:val="009D5A72"/>
    <w:rsid w:val="009E408E"/>
    <w:rsid w:val="009E4572"/>
    <w:rsid w:val="009E7575"/>
    <w:rsid w:val="009F0B9A"/>
    <w:rsid w:val="009F105C"/>
    <w:rsid w:val="009F15E7"/>
    <w:rsid w:val="009F196F"/>
    <w:rsid w:val="009F274E"/>
    <w:rsid w:val="009F35CD"/>
    <w:rsid w:val="009F47B3"/>
    <w:rsid w:val="009F5000"/>
    <w:rsid w:val="00A00D86"/>
    <w:rsid w:val="00A058E3"/>
    <w:rsid w:val="00A06149"/>
    <w:rsid w:val="00A0629B"/>
    <w:rsid w:val="00A10255"/>
    <w:rsid w:val="00A12517"/>
    <w:rsid w:val="00A12551"/>
    <w:rsid w:val="00A12BAB"/>
    <w:rsid w:val="00A13F0B"/>
    <w:rsid w:val="00A17001"/>
    <w:rsid w:val="00A176AA"/>
    <w:rsid w:val="00A201A3"/>
    <w:rsid w:val="00A23C96"/>
    <w:rsid w:val="00A2466A"/>
    <w:rsid w:val="00A24875"/>
    <w:rsid w:val="00A27372"/>
    <w:rsid w:val="00A27CE2"/>
    <w:rsid w:val="00A31C14"/>
    <w:rsid w:val="00A31F0C"/>
    <w:rsid w:val="00A323CB"/>
    <w:rsid w:val="00A33E4A"/>
    <w:rsid w:val="00A344ED"/>
    <w:rsid w:val="00A425AB"/>
    <w:rsid w:val="00A4481B"/>
    <w:rsid w:val="00A44A37"/>
    <w:rsid w:val="00A462E8"/>
    <w:rsid w:val="00A47FCD"/>
    <w:rsid w:val="00A50BEF"/>
    <w:rsid w:val="00A54E85"/>
    <w:rsid w:val="00A54FA6"/>
    <w:rsid w:val="00A55BAF"/>
    <w:rsid w:val="00A60BBB"/>
    <w:rsid w:val="00A63543"/>
    <w:rsid w:val="00A66644"/>
    <w:rsid w:val="00A714B6"/>
    <w:rsid w:val="00A73BB9"/>
    <w:rsid w:val="00A74CD5"/>
    <w:rsid w:val="00A74D49"/>
    <w:rsid w:val="00A758B5"/>
    <w:rsid w:val="00A77A0A"/>
    <w:rsid w:val="00A83563"/>
    <w:rsid w:val="00A840D5"/>
    <w:rsid w:val="00A87BBC"/>
    <w:rsid w:val="00A91E08"/>
    <w:rsid w:val="00A93515"/>
    <w:rsid w:val="00A959F1"/>
    <w:rsid w:val="00A96985"/>
    <w:rsid w:val="00A97129"/>
    <w:rsid w:val="00A97BA3"/>
    <w:rsid w:val="00A97D53"/>
    <w:rsid w:val="00AA15B2"/>
    <w:rsid w:val="00AA2003"/>
    <w:rsid w:val="00AA3E59"/>
    <w:rsid w:val="00AA69D2"/>
    <w:rsid w:val="00AB1473"/>
    <w:rsid w:val="00AB336C"/>
    <w:rsid w:val="00AB6698"/>
    <w:rsid w:val="00AB6E9C"/>
    <w:rsid w:val="00AB7DB1"/>
    <w:rsid w:val="00AB7EA3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F11EE"/>
    <w:rsid w:val="00AF254B"/>
    <w:rsid w:val="00AF3577"/>
    <w:rsid w:val="00B01460"/>
    <w:rsid w:val="00B0179B"/>
    <w:rsid w:val="00B022DB"/>
    <w:rsid w:val="00B077A8"/>
    <w:rsid w:val="00B10F9F"/>
    <w:rsid w:val="00B133BB"/>
    <w:rsid w:val="00B14FED"/>
    <w:rsid w:val="00B15D9B"/>
    <w:rsid w:val="00B15EE3"/>
    <w:rsid w:val="00B2047D"/>
    <w:rsid w:val="00B22689"/>
    <w:rsid w:val="00B23D0A"/>
    <w:rsid w:val="00B27B61"/>
    <w:rsid w:val="00B3512D"/>
    <w:rsid w:val="00B3629E"/>
    <w:rsid w:val="00B37EEB"/>
    <w:rsid w:val="00B44499"/>
    <w:rsid w:val="00B464CB"/>
    <w:rsid w:val="00B4722F"/>
    <w:rsid w:val="00B53CF6"/>
    <w:rsid w:val="00B56430"/>
    <w:rsid w:val="00B578E3"/>
    <w:rsid w:val="00B57D96"/>
    <w:rsid w:val="00B60EBB"/>
    <w:rsid w:val="00B62C50"/>
    <w:rsid w:val="00B63D3A"/>
    <w:rsid w:val="00B6594B"/>
    <w:rsid w:val="00B6706E"/>
    <w:rsid w:val="00B70FF6"/>
    <w:rsid w:val="00B742B5"/>
    <w:rsid w:val="00B749D1"/>
    <w:rsid w:val="00B77D91"/>
    <w:rsid w:val="00B807B3"/>
    <w:rsid w:val="00B807FC"/>
    <w:rsid w:val="00B80C5F"/>
    <w:rsid w:val="00B812E5"/>
    <w:rsid w:val="00B834FC"/>
    <w:rsid w:val="00B83758"/>
    <w:rsid w:val="00B86C86"/>
    <w:rsid w:val="00B86D76"/>
    <w:rsid w:val="00B95B93"/>
    <w:rsid w:val="00B970B4"/>
    <w:rsid w:val="00BB562E"/>
    <w:rsid w:val="00BB5C50"/>
    <w:rsid w:val="00BB5E4C"/>
    <w:rsid w:val="00BC1E2F"/>
    <w:rsid w:val="00BC2170"/>
    <w:rsid w:val="00BC2537"/>
    <w:rsid w:val="00BC3E84"/>
    <w:rsid w:val="00BD1331"/>
    <w:rsid w:val="00BD14D7"/>
    <w:rsid w:val="00BD2944"/>
    <w:rsid w:val="00BD36A0"/>
    <w:rsid w:val="00BE0588"/>
    <w:rsid w:val="00BE0719"/>
    <w:rsid w:val="00BE1BE1"/>
    <w:rsid w:val="00BE3533"/>
    <w:rsid w:val="00BE4E4B"/>
    <w:rsid w:val="00BE65D4"/>
    <w:rsid w:val="00BE6C05"/>
    <w:rsid w:val="00BE6DD4"/>
    <w:rsid w:val="00BE7960"/>
    <w:rsid w:val="00BF19AB"/>
    <w:rsid w:val="00BF1FC1"/>
    <w:rsid w:val="00BF4150"/>
    <w:rsid w:val="00C003B3"/>
    <w:rsid w:val="00C01EFB"/>
    <w:rsid w:val="00C01F9F"/>
    <w:rsid w:val="00C02E1C"/>
    <w:rsid w:val="00C0604F"/>
    <w:rsid w:val="00C06706"/>
    <w:rsid w:val="00C11029"/>
    <w:rsid w:val="00C11181"/>
    <w:rsid w:val="00C12505"/>
    <w:rsid w:val="00C166DD"/>
    <w:rsid w:val="00C176A5"/>
    <w:rsid w:val="00C1785F"/>
    <w:rsid w:val="00C22606"/>
    <w:rsid w:val="00C238C5"/>
    <w:rsid w:val="00C247D4"/>
    <w:rsid w:val="00C24C03"/>
    <w:rsid w:val="00C303DB"/>
    <w:rsid w:val="00C308E0"/>
    <w:rsid w:val="00C3099D"/>
    <w:rsid w:val="00C31642"/>
    <w:rsid w:val="00C33DDD"/>
    <w:rsid w:val="00C3767E"/>
    <w:rsid w:val="00C40209"/>
    <w:rsid w:val="00C45FBA"/>
    <w:rsid w:val="00C473D1"/>
    <w:rsid w:val="00C50806"/>
    <w:rsid w:val="00C509C6"/>
    <w:rsid w:val="00C50CBE"/>
    <w:rsid w:val="00C54EBE"/>
    <w:rsid w:val="00C566FF"/>
    <w:rsid w:val="00C57B80"/>
    <w:rsid w:val="00C609D5"/>
    <w:rsid w:val="00C61185"/>
    <w:rsid w:val="00C64C47"/>
    <w:rsid w:val="00C679F5"/>
    <w:rsid w:val="00C72CE9"/>
    <w:rsid w:val="00C72E79"/>
    <w:rsid w:val="00C75D9E"/>
    <w:rsid w:val="00C77D77"/>
    <w:rsid w:val="00C80B91"/>
    <w:rsid w:val="00C8288B"/>
    <w:rsid w:val="00C84B50"/>
    <w:rsid w:val="00C85469"/>
    <w:rsid w:val="00C859F9"/>
    <w:rsid w:val="00C91751"/>
    <w:rsid w:val="00C91FC4"/>
    <w:rsid w:val="00C92A7E"/>
    <w:rsid w:val="00C93DDE"/>
    <w:rsid w:val="00C946FD"/>
    <w:rsid w:val="00CA19DF"/>
    <w:rsid w:val="00CB2FB2"/>
    <w:rsid w:val="00CB7946"/>
    <w:rsid w:val="00CB7A18"/>
    <w:rsid w:val="00CC60E7"/>
    <w:rsid w:val="00CC64C7"/>
    <w:rsid w:val="00CC7487"/>
    <w:rsid w:val="00CD0124"/>
    <w:rsid w:val="00CD34FC"/>
    <w:rsid w:val="00CD706B"/>
    <w:rsid w:val="00CE1EF8"/>
    <w:rsid w:val="00CE213B"/>
    <w:rsid w:val="00CE541D"/>
    <w:rsid w:val="00CF009D"/>
    <w:rsid w:val="00CF0AA6"/>
    <w:rsid w:val="00CF59BB"/>
    <w:rsid w:val="00CF5A2C"/>
    <w:rsid w:val="00CF6633"/>
    <w:rsid w:val="00CF68A5"/>
    <w:rsid w:val="00D01780"/>
    <w:rsid w:val="00D026A4"/>
    <w:rsid w:val="00D05DD2"/>
    <w:rsid w:val="00D076D0"/>
    <w:rsid w:val="00D079CE"/>
    <w:rsid w:val="00D134B7"/>
    <w:rsid w:val="00D13894"/>
    <w:rsid w:val="00D20FAA"/>
    <w:rsid w:val="00D21547"/>
    <w:rsid w:val="00D21D09"/>
    <w:rsid w:val="00D22821"/>
    <w:rsid w:val="00D30573"/>
    <w:rsid w:val="00D31FF2"/>
    <w:rsid w:val="00D36A8C"/>
    <w:rsid w:val="00D428F4"/>
    <w:rsid w:val="00D43181"/>
    <w:rsid w:val="00D44D7F"/>
    <w:rsid w:val="00D4536C"/>
    <w:rsid w:val="00D45C41"/>
    <w:rsid w:val="00D461DE"/>
    <w:rsid w:val="00D50DE5"/>
    <w:rsid w:val="00D5139B"/>
    <w:rsid w:val="00D538FF"/>
    <w:rsid w:val="00D54B27"/>
    <w:rsid w:val="00D54CC0"/>
    <w:rsid w:val="00D63173"/>
    <w:rsid w:val="00D63DA8"/>
    <w:rsid w:val="00D73A86"/>
    <w:rsid w:val="00D74BA3"/>
    <w:rsid w:val="00D804D2"/>
    <w:rsid w:val="00D81E2F"/>
    <w:rsid w:val="00D83060"/>
    <w:rsid w:val="00D84A2D"/>
    <w:rsid w:val="00D85316"/>
    <w:rsid w:val="00D8703D"/>
    <w:rsid w:val="00D8749B"/>
    <w:rsid w:val="00D96C56"/>
    <w:rsid w:val="00DA4CF2"/>
    <w:rsid w:val="00DA5880"/>
    <w:rsid w:val="00DB006F"/>
    <w:rsid w:val="00DB11D4"/>
    <w:rsid w:val="00DB227F"/>
    <w:rsid w:val="00DB61A6"/>
    <w:rsid w:val="00DB763A"/>
    <w:rsid w:val="00DB78EA"/>
    <w:rsid w:val="00DC3AC1"/>
    <w:rsid w:val="00DC4D4D"/>
    <w:rsid w:val="00DC5105"/>
    <w:rsid w:val="00DD20D1"/>
    <w:rsid w:val="00DD51F8"/>
    <w:rsid w:val="00DD64C5"/>
    <w:rsid w:val="00DE14E2"/>
    <w:rsid w:val="00DE15AC"/>
    <w:rsid w:val="00DE1EDB"/>
    <w:rsid w:val="00DE2C36"/>
    <w:rsid w:val="00DE2F94"/>
    <w:rsid w:val="00DE3500"/>
    <w:rsid w:val="00DE4595"/>
    <w:rsid w:val="00DE6B35"/>
    <w:rsid w:val="00DE70C2"/>
    <w:rsid w:val="00DF0675"/>
    <w:rsid w:val="00DF4FE6"/>
    <w:rsid w:val="00DF51E6"/>
    <w:rsid w:val="00DF580D"/>
    <w:rsid w:val="00DF5E71"/>
    <w:rsid w:val="00DF6FDA"/>
    <w:rsid w:val="00DF7E2B"/>
    <w:rsid w:val="00E05885"/>
    <w:rsid w:val="00E10BFB"/>
    <w:rsid w:val="00E1103D"/>
    <w:rsid w:val="00E1249A"/>
    <w:rsid w:val="00E12880"/>
    <w:rsid w:val="00E14D9E"/>
    <w:rsid w:val="00E16DA6"/>
    <w:rsid w:val="00E21904"/>
    <w:rsid w:val="00E21E99"/>
    <w:rsid w:val="00E2228E"/>
    <w:rsid w:val="00E234D9"/>
    <w:rsid w:val="00E23E56"/>
    <w:rsid w:val="00E30FFC"/>
    <w:rsid w:val="00E327A1"/>
    <w:rsid w:val="00E33EF0"/>
    <w:rsid w:val="00E370BF"/>
    <w:rsid w:val="00E37CB8"/>
    <w:rsid w:val="00E4016D"/>
    <w:rsid w:val="00E414AE"/>
    <w:rsid w:val="00E510C4"/>
    <w:rsid w:val="00E530B7"/>
    <w:rsid w:val="00E54066"/>
    <w:rsid w:val="00E57168"/>
    <w:rsid w:val="00E611A2"/>
    <w:rsid w:val="00E61BAB"/>
    <w:rsid w:val="00E729CB"/>
    <w:rsid w:val="00E73237"/>
    <w:rsid w:val="00E73C50"/>
    <w:rsid w:val="00E777C8"/>
    <w:rsid w:val="00E8011B"/>
    <w:rsid w:val="00E81EE4"/>
    <w:rsid w:val="00E82DCD"/>
    <w:rsid w:val="00E83444"/>
    <w:rsid w:val="00E849E6"/>
    <w:rsid w:val="00E84DD9"/>
    <w:rsid w:val="00E85C2D"/>
    <w:rsid w:val="00E870C1"/>
    <w:rsid w:val="00E909E6"/>
    <w:rsid w:val="00E90A8E"/>
    <w:rsid w:val="00E90B70"/>
    <w:rsid w:val="00E924EC"/>
    <w:rsid w:val="00E93BB0"/>
    <w:rsid w:val="00E97E34"/>
    <w:rsid w:val="00EA27C3"/>
    <w:rsid w:val="00EA2BEE"/>
    <w:rsid w:val="00EA4C19"/>
    <w:rsid w:val="00EA5F36"/>
    <w:rsid w:val="00EA7A70"/>
    <w:rsid w:val="00EB15F9"/>
    <w:rsid w:val="00EB2AAE"/>
    <w:rsid w:val="00EB3C55"/>
    <w:rsid w:val="00EB3D95"/>
    <w:rsid w:val="00EB57CA"/>
    <w:rsid w:val="00EC07F6"/>
    <w:rsid w:val="00EC07FA"/>
    <w:rsid w:val="00EC247E"/>
    <w:rsid w:val="00EC5B03"/>
    <w:rsid w:val="00ED5DB1"/>
    <w:rsid w:val="00ED7B80"/>
    <w:rsid w:val="00EE087B"/>
    <w:rsid w:val="00EE0CC2"/>
    <w:rsid w:val="00EE18F8"/>
    <w:rsid w:val="00EE1DDC"/>
    <w:rsid w:val="00EE31D9"/>
    <w:rsid w:val="00EE34E7"/>
    <w:rsid w:val="00EE45B1"/>
    <w:rsid w:val="00EF0C53"/>
    <w:rsid w:val="00EF368A"/>
    <w:rsid w:val="00EF401A"/>
    <w:rsid w:val="00EF45E0"/>
    <w:rsid w:val="00EF4FE0"/>
    <w:rsid w:val="00EF6F9D"/>
    <w:rsid w:val="00EF7495"/>
    <w:rsid w:val="00F00FD2"/>
    <w:rsid w:val="00F0389A"/>
    <w:rsid w:val="00F038F0"/>
    <w:rsid w:val="00F04E2C"/>
    <w:rsid w:val="00F06CE8"/>
    <w:rsid w:val="00F0783D"/>
    <w:rsid w:val="00F11DA6"/>
    <w:rsid w:val="00F1223A"/>
    <w:rsid w:val="00F12E5F"/>
    <w:rsid w:val="00F14E08"/>
    <w:rsid w:val="00F16186"/>
    <w:rsid w:val="00F203B0"/>
    <w:rsid w:val="00F20CD7"/>
    <w:rsid w:val="00F21099"/>
    <w:rsid w:val="00F210E9"/>
    <w:rsid w:val="00F2150A"/>
    <w:rsid w:val="00F22AF0"/>
    <w:rsid w:val="00F33929"/>
    <w:rsid w:val="00F35767"/>
    <w:rsid w:val="00F35BB4"/>
    <w:rsid w:val="00F40E37"/>
    <w:rsid w:val="00F42C1C"/>
    <w:rsid w:val="00F4744B"/>
    <w:rsid w:val="00F504FB"/>
    <w:rsid w:val="00F53291"/>
    <w:rsid w:val="00F54AC1"/>
    <w:rsid w:val="00F55691"/>
    <w:rsid w:val="00F55B87"/>
    <w:rsid w:val="00F6361F"/>
    <w:rsid w:val="00F64B86"/>
    <w:rsid w:val="00F65724"/>
    <w:rsid w:val="00F66561"/>
    <w:rsid w:val="00F71390"/>
    <w:rsid w:val="00F72F62"/>
    <w:rsid w:val="00F73E1F"/>
    <w:rsid w:val="00F75F73"/>
    <w:rsid w:val="00F77062"/>
    <w:rsid w:val="00F77459"/>
    <w:rsid w:val="00F809EE"/>
    <w:rsid w:val="00F83F9C"/>
    <w:rsid w:val="00F844E6"/>
    <w:rsid w:val="00F849DE"/>
    <w:rsid w:val="00F84BE4"/>
    <w:rsid w:val="00F865A3"/>
    <w:rsid w:val="00F909DB"/>
    <w:rsid w:val="00F9314E"/>
    <w:rsid w:val="00F9432D"/>
    <w:rsid w:val="00F9475F"/>
    <w:rsid w:val="00F95AC5"/>
    <w:rsid w:val="00FA2531"/>
    <w:rsid w:val="00FA4C1B"/>
    <w:rsid w:val="00FA5355"/>
    <w:rsid w:val="00FB35B4"/>
    <w:rsid w:val="00FB4542"/>
    <w:rsid w:val="00FB6C2F"/>
    <w:rsid w:val="00FC0091"/>
    <w:rsid w:val="00FC10E9"/>
    <w:rsid w:val="00FC3539"/>
    <w:rsid w:val="00FC4FD5"/>
    <w:rsid w:val="00FC4FF0"/>
    <w:rsid w:val="00FC57BC"/>
    <w:rsid w:val="00FC5D7E"/>
    <w:rsid w:val="00FD01DC"/>
    <w:rsid w:val="00FD01E1"/>
    <w:rsid w:val="00FD13B2"/>
    <w:rsid w:val="00FD4DFC"/>
    <w:rsid w:val="00FD6173"/>
    <w:rsid w:val="00FE0A40"/>
    <w:rsid w:val="00FE3132"/>
    <w:rsid w:val="00FE3A86"/>
    <w:rsid w:val="00FE47F2"/>
    <w:rsid w:val="00FE59E7"/>
    <w:rsid w:val="00FE6C0D"/>
    <w:rsid w:val="00FF10DD"/>
    <w:rsid w:val="00FF3240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A2D"/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nhideWhenUsed/>
    <w:qFormat/>
    <w:rsid w:val="00D84A2D"/>
    <w:rPr>
      <w:color w:val="4472C4" w:themeColor="accent1"/>
      <w:u w:val="single"/>
    </w:rPr>
  </w:style>
  <w:style w:type="table" w:styleId="Tabela-Siatka">
    <w:name w:val="Table Grid"/>
    <w:basedOn w:val="Standardowy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Nagwek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ny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Standardowy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C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Pogrubienie">
    <w:name w:val="Strong"/>
    <w:basedOn w:val="Domylnaczcionkaakapitu"/>
    <w:uiPriority w:val="22"/>
    <w:qFormat/>
    <w:rsid w:val="00FE313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E909E6"/>
    <w:rPr>
      <w:i/>
      <w:iCs/>
    </w:rPr>
  </w:style>
  <w:style w:type="character" w:customStyle="1" w:styleId="cf01">
    <w:name w:val="cf01"/>
    <w:basedOn w:val="Domylnaczcionkaakapitu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775E16"/>
  </w:style>
  <w:style w:type="paragraph" w:styleId="Akapitzlist">
    <w:name w:val="List Paragraph"/>
    <w:basedOn w:val="Normalny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nyWeb">
    <w:name w:val="Normal (Web)"/>
    <w:basedOn w:val="Normalny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1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omylnaczcionkaakapitu"/>
    <w:rsid w:val="00C0604F"/>
  </w:style>
  <w:style w:type="character" w:customStyle="1" w:styleId="eop">
    <w:name w:val="eop"/>
    <w:basedOn w:val="Domylnaczcionkaakapitu"/>
    <w:rsid w:val="00C0604F"/>
  </w:style>
  <w:style w:type="paragraph" w:customStyle="1" w:styleId="pf0">
    <w:name w:val="pf0"/>
    <w:basedOn w:val="Normalny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70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6020F5-6A5F-4917-A4CC-571D08771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938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Pawel Bartoszewicz</cp:lastModifiedBy>
  <cp:revision>206</cp:revision>
  <dcterms:created xsi:type="dcterms:W3CDTF">2025-10-20T09:45:00Z</dcterms:created>
  <dcterms:modified xsi:type="dcterms:W3CDTF">2025-10-21T07:14:00Z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