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20D88" w14:textId="1830C5B1" w:rsidR="009044FF" w:rsidRDefault="00352EDA" w:rsidP="009044FF">
      <w:pPr>
        <w:spacing w:line="240" w:lineRule="auto"/>
        <w:jc w:val="center"/>
        <w:rPr>
          <w:b/>
          <w:bCs/>
          <w:sz w:val="20"/>
          <w:szCs w:val="20"/>
        </w:rPr>
      </w:pPr>
      <w:r>
        <w:rPr>
          <w:b/>
          <w:bCs/>
          <w:sz w:val="20"/>
          <w:szCs w:val="20"/>
        </w:rPr>
        <w:t xml:space="preserve">Nowe umowy na prowadzeniu, jeszcze mniej dostępności w </w:t>
      </w:r>
      <w:r w:rsidR="0097035C">
        <w:rPr>
          <w:b/>
          <w:bCs/>
          <w:sz w:val="20"/>
          <w:szCs w:val="20"/>
        </w:rPr>
        <w:t>c</w:t>
      </w:r>
      <w:r>
        <w:rPr>
          <w:b/>
          <w:bCs/>
          <w:sz w:val="20"/>
          <w:szCs w:val="20"/>
        </w:rPr>
        <w:t>entrum</w:t>
      </w:r>
    </w:p>
    <w:p w14:paraId="18741A18" w14:textId="0723003C" w:rsidR="009044FF" w:rsidRDefault="009044FF" w:rsidP="00773AAB">
      <w:pPr>
        <w:spacing w:line="240" w:lineRule="auto"/>
        <w:jc w:val="both"/>
        <w:rPr>
          <w:b/>
          <w:bCs/>
          <w:sz w:val="20"/>
          <w:szCs w:val="20"/>
        </w:rPr>
      </w:pPr>
      <w:r w:rsidRPr="009044FF">
        <w:rPr>
          <w:b/>
          <w:bCs/>
          <w:sz w:val="20"/>
          <w:szCs w:val="20"/>
        </w:rPr>
        <w:t xml:space="preserve">Po III kwartałach 2025 roku warszawski rynek biurowy wysyła jasny sygnał: dostępnej powierzchni, szczególnie w najlepszych lokalizacjach, gwałtownie ubywa. Jak wynika z danych </w:t>
      </w:r>
      <w:r>
        <w:rPr>
          <w:b/>
          <w:bCs/>
          <w:sz w:val="20"/>
          <w:szCs w:val="20"/>
        </w:rPr>
        <w:t xml:space="preserve">międzynarodowej firmy doradczej </w:t>
      </w:r>
      <w:r w:rsidRPr="009044FF">
        <w:rPr>
          <w:b/>
          <w:bCs/>
          <w:sz w:val="20"/>
          <w:szCs w:val="20"/>
        </w:rPr>
        <w:t>Cushman &amp; Wakefield, wskaźnik pustostanów w stolicy spadł do zaledwie 9,7%, a w strefie centralnej osiągnął poziom 6,9%. W połączeniu z ograniczoną nową podażą i stabilnym popytem, zapowiada to rosnącą presję na wzrost czynszów w centrum.</w:t>
      </w:r>
      <w:r>
        <w:rPr>
          <w:b/>
          <w:bCs/>
          <w:sz w:val="20"/>
          <w:szCs w:val="20"/>
        </w:rPr>
        <w:t xml:space="preserve"> Co ciekawe, po ostatnim kwartale szala popytu </w:t>
      </w:r>
      <w:r w:rsidR="009F47B3">
        <w:rPr>
          <w:b/>
          <w:bCs/>
          <w:sz w:val="20"/>
          <w:szCs w:val="20"/>
        </w:rPr>
        <w:t xml:space="preserve">znów </w:t>
      </w:r>
      <w:r>
        <w:rPr>
          <w:b/>
          <w:bCs/>
          <w:sz w:val="20"/>
          <w:szCs w:val="20"/>
        </w:rPr>
        <w:t xml:space="preserve">przechyliła się na stronę nowych umów, </w:t>
      </w:r>
      <w:r w:rsidR="000F55F6">
        <w:rPr>
          <w:b/>
          <w:bCs/>
          <w:sz w:val="20"/>
          <w:szCs w:val="20"/>
        </w:rPr>
        <w:t xml:space="preserve">od początku roku </w:t>
      </w:r>
      <w:r w:rsidR="00D21547">
        <w:rPr>
          <w:b/>
          <w:bCs/>
          <w:sz w:val="20"/>
          <w:szCs w:val="20"/>
        </w:rPr>
        <w:t>odpowiadają one za</w:t>
      </w:r>
      <w:r>
        <w:rPr>
          <w:b/>
          <w:bCs/>
          <w:sz w:val="20"/>
          <w:szCs w:val="20"/>
        </w:rPr>
        <w:t xml:space="preserve"> 45%</w:t>
      </w:r>
      <w:r w:rsidR="008C5188">
        <w:rPr>
          <w:b/>
          <w:bCs/>
          <w:sz w:val="20"/>
          <w:szCs w:val="20"/>
        </w:rPr>
        <w:t xml:space="preserve"> wynajętej powierzchni</w:t>
      </w:r>
      <w:r>
        <w:rPr>
          <w:b/>
          <w:bCs/>
          <w:sz w:val="20"/>
          <w:szCs w:val="20"/>
        </w:rPr>
        <w:t xml:space="preserve">, podczas gdy renegocjacje – 42%. </w:t>
      </w:r>
    </w:p>
    <w:p w14:paraId="5779DF1A" w14:textId="4A9108AF" w:rsidR="002520B6" w:rsidRDefault="002520B6" w:rsidP="00773AAB">
      <w:pPr>
        <w:spacing w:line="240" w:lineRule="auto"/>
        <w:jc w:val="both"/>
        <w:rPr>
          <w:sz w:val="20"/>
          <w:szCs w:val="20"/>
        </w:rPr>
      </w:pPr>
      <w:r w:rsidRPr="002520B6">
        <w:rPr>
          <w:b/>
          <w:bCs/>
          <w:sz w:val="20"/>
          <w:szCs w:val="20"/>
        </w:rPr>
        <w:t xml:space="preserve">PODAŻ: </w:t>
      </w:r>
      <w:r w:rsidR="00352EDA">
        <w:rPr>
          <w:b/>
          <w:bCs/>
          <w:sz w:val="20"/>
          <w:szCs w:val="20"/>
        </w:rPr>
        <w:t>stabilnie niski poziom powierzchni w budowie</w:t>
      </w:r>
      <w:r w:rsidR="0095564E">
        <w:rPr>
          <w:b/>
          <w:bCs/>
          <w:sz w:val="20"/>
          <w:szCs w:val="20"/>
        </w:rPr>
        <w:t xml:space="preserve">, </w:t>
      </w:r>
      <w:r w:rsidR="00352EDA">
        <w:rPr>
          <w:b/>
          <w:bCs/>
          <w:sz w:val="20"/>
          <w:szCs w:val="20"/>
        </w:rPr>
        <w:t>kilka projektów z potencjałem do rozpoczęcia</w:t>
      </w:r>
    </w:p>
    <w:p w14:paraId="57EA2FED" w14:textId="290E446E" w:rsidR="009044FF" w:rsidRDefault="009044FF" w:rsidP="009044FF">
      <w:pPr>
        <w:spacing w:line="240" w:lineRule="auto"/>
        <w:jc w:val="both"/>
        <w:rPr>
          <w:sz w:val="20"/>
          <w:szCs w:val="20"/>
        </w:rPr>
      </w:pPr>
      <w:r w:rsidRPr="009044FF">
        <w:rPr>
          <w:sz w:val="20"/>
          <w:szCs w:val="20"/>
        </w:rPr>
        <w:t xml:space="preserve">W III kwartale 2025 roku całkowite zasoby powierzchni biurowej w Warszawie znajdowały się na poziomie 6,25 mln mkw. Według szacunków Cushman &amp; Wakefield warszawski rynek biurowy może powiększyć się pod koniec roku o ok. 50 000 mkw. w </w:t>
      </w:r>
      <w:r w:rsidR="00CC64C7">
        <w:rPr>
          <w:sz w:val="20"/>
          <w:szCs w:val="20"/>
        </w:rPr>
        <w:t>dwóch</w:t>
      </w:r>
      <w:r w:rsidRPr="009044FF">
        <w:rPr>
          <w:sz w:val="20"/>
          <w:szCs w:val="20"/>
        </w:rPr>
        <w:t xml:space="preserve"> budynkach (Studio A i V Tower), które są zlokalizowane w strefie Centrum Zachód.</w:t>
      </w:r>
    </w:p>
    <w:p w14:paraId="238C0780" w14:textId="4559042F" w:rsidR="0095564E" w:rsidRPr="009044FF" w:rsidRDefault="00352EDA" w:rsidP="009044FF">
      <w:pPr>
        <w:spacing w:line="240" w:lineRule="auto"/>
        <w:jc w:val="both"/>
        <w:rPr>
          <w:sz w:val="20"/>
          <w:szCs w:val="20"/>
        </w:rPr>
      </w:pPr>
      <w:r>
        <w:rPr>
          <w:sz w:val="20"/>
          <w:szCs w:val="20"/>
        </w:rPr>
        <w:t>Pomimo tego trwa budowa kilku większych projektów</w:t>
      </w:r>
      <w:r w:rsidR="0095564E">
        <w:rPr>
          <w:sz w:val="20"/>
          <w:szCs w:val="20"/>
        </w:rPr>
        <w:t xml:space="preserve">: </w:t>
      </w:r>
      <w:r w:rsidR="0095564E" w:rsidRPr="009044FF">
        <w:rPr>
          <w:sz w:val="20"/>
          <w:szCs w:val="20"/>
        </w:rPr>
        <w:t>wież</w:t>
      </w:r>
      <w:r>
        <w:rPr>
          <w:sz w:val="20"/>
          <w:szCs w:val="20"/>
        </w:rPr>
        <w:t>y</w:t>
      </w:r>
      <w:r w:rsidR="0095564E" w:rsidRPr="009044FF">
        <w:rPr>
          <w:sz w:val="20"/>
          <w:szCs w:val="20"/>
        </w:rPr>
        <w:t xml:space="preserve"> biurow</w:t>
      </w:r>
      <w:r>
        <w:rPr>
          <w:sz w:val="20"/>
          <w:szCs w:val="20"/>
        </w:rPr>
        <w:t>ej</w:t>
      </w:r>
      <w:r w:rsidR="0095564E" w:rsidRPr="009044FF">
        <w:rPr>
          <w:sz w:val="20"/>
          <w:szCs w:val="20"/>
        </w:rPr>
        <w:t xml:space="preserve"> </w:t>
      </w:r>
      <w:proofErr w:type="spellStart"/>
      <w:r w:rsidR="0095564E" w:rsidRPr="009044FF">
        <w:rPr>
          <w:sz w:val="20"/>
          <w:szCs w:val="20"/>
        </w:rPr>
        <w:t>Skyliner</w:t>
      </w:r>
      <w:proofErr w:type="spellEnd"/>
      <w:r w:rsidR="0095564E" w:rsidRPr="009044FF">
        <w:rPr>
          <w:sz w:val="20"/>
          <w:szCs w:val="20"/>
        </w:rPr>
        <w:t xml:space="preserve"> II (</w:t>
      </w:r>
      <w:proofErr w:type="spellStart"/>
      <w:r w:rsidR="0095564E" w:rsidRPr="009044FF">
        <w:rPr>
          <w:sz w:val="20"/>
          <w:szCs w:val="20"/>
        </w:rPr>
        <w:t>Karimpol</w:t>
      </w:r>
      <w:proofErr w:type="spellEnd"/>
      <w:r w:rsidR="0095564E" w:rsidRPr="009044FF">
        <w:rPr>
          <w:sz w:val="20"/>
          <w:szCs w:val="20"/>
        </w:rPr>
        <w:t>) oraz flagow</w:t>
      </w:r>
      <w:r>
        <w:rPr>
          <w:sz w:val="20"/>
          <w:szCs w:val="20"/>
        </w:rPr>
        <w:t>ego</w:t>
      </w:r>
      <w:r w:rsidR="0095564E" w:rsidRPr="009044FF">
        <w:rPr>
          <w:sz w:val="20"/>
          <w:szCs w:val="20"/>
        </w:rPr>
        <w:t xml:space="preserve"> wieżow</w:t>
      </w:r>
      <w:r>
        <w:rPr>
          <w:sz w:val="20"/>
          <w:szCs w:val="20"/>
        </w:rPr>
        <w:t>ca</w:t>
      </w:r>
      <w:r w:rsidR="0095564E" w:rsidRPr="009044FF">
        <w:rPr>
          <w:sz w:val="20"/>
          <w:szCs w:val="20"/>
        </w:rPr>
        <w:t xml:space="preserve"> Upper One (</w:t>
      </w:r>
      <w:proofErr w:type="spellStart"/>
      <w:r w:rsidR="0095564E" w:rsidRPr="009044FF">
        <w:rPr>
          <w:sz w:val="20"/>
          <w:szCs w:val="20"/>
        </w:rPr>
        <w:t>Strabag</w:t>
      </w:r>
      <w:proofErr w:type="spellEnd"/>
      <w:r w:rsidR="0095564E" w:rsidRPr="009044FF">
        <w:rPr>
          <w:sz w:val="20"/>
          <w:szCs w:val="20"/>
        </w:rPr>
        <w:t xml:space="preserve"> RE)</w:t>
      </w:r>
      <w:r w:rsidR="0095564E">
        <w:rPr>
          <w:sz w:val="20"/>
          <w:szCs w:val="20"/>
        </w:rPr>
        <w:t>.</w:t>
      </w:r>
    </w:p>
    <w:p w14:paraId="5D8358BE" w14:textId="77777777" w:rsidR="00A462E8" w:rsidRPr="003B0F97" w:rsidRDefault="0095564E" w:rsidP="00A462E8">
      <w:pPr>
        <w:spacing w:line="240" w:lineRule="auto"/>
        <w:jc w:val="both"/>
        <w:rPr>
          <w:rFonts w:eastAsia="Times New Roman"/>
          <w:sz w:val="20"/>
          <w:szCs w:val="20"/>
          <w:lang w:eastAsia="en-US"/>
        </w:rPr>
      </w:pPr>
      <w:r>
        <w:rPr>
          <w:sz w:val="20"/>
          <w:szCs w:val="20"/>
        </w:rPr>
        <w:t xml:space="preserve">– </w:t>
      </w:r>
      <w:r w:rsidR="009044FF" w:rsidRPr="0095564E">
        <w:rPr>
          <w:i/>
          <w:iCs/>
          <w:sz w:val="20"/>
          <w:szCs w:val="20"/>
        </w:rPr>
        <w:t xml:space="preserve">Ograniczenie realizacji nowych inwestycji do obszaru centrum, rozważne podejście najemców wobec zmiany siedziby oraz wyższe koszty budowy czy finansowania inwestycji sugerują, że ograniczona podaż na rynku biurowym pod względem realizacji nowych inwestycji utrzyma się </w:t>
      </w:r>
      <w:r w:rsidR="00CC64C7">
        <w:rPr>
          <w:i/>
          <w:iCs/>
          <w:sz w:val="20"/>
          <w:szCs w:val="20"/>
        </w:rPr>
        <w:t xml:space="preserve">również w </w:t>
      </w:r>
      <w:r w:rsidR="009044FF" w:rsidRPr="0095564E">
        <w:rPr>
          <w:i/>
          <w:iCs/>
          <w:sz w:val="20"/>
          <w:szCs w:val="20"/>
        </w:rPr>
        <w:t>najbliższych latach.</w:t>
      </w:r>
      <w:r w:rsidRPr="0095564E">
        <w:rPr>
          <w:i/>
          <w:iCs/>
          <w:sz w:val="20"/>
          <w:szCs w:val="20"/>
        </w:rPr>
        <w:t xml:space="preserve"> </w:t>
      </w:r>
      <w:r w:rsidR="009044FF" w:rsidRPr="0095564E">
        <w:rPr>
          <w:i/>
          <w:iCs/>
          <w:sz w:val="20"/>
          <w:szCs w:val="20"/>
        </w:rPr>
        <w:t>Mimo to w najbliższym czasie</w:t>
      </w:r>
      <w:r w:rsidR="00CC64C7">
        <w:rPr>
          <w:i/>
          <w:iCs/>
          <w:sz w:val="20"/>
          <w:szCs w:val="20"/>
        </w:rPr>
        <w:t xml:space="preserve"> </w:t>
      </w:r>
      <w:r w:rsidR="009044FF" w:rsidRPr="0095564E">
        <w:rPr>
          <w:i/>
          <w:iCs/>
          <w:sz w:val="20"/>
          <w:szCs w:val="20"/>
        </w:rPr>
        <w:t xml:space="preserve">rozpoczną się prace nad </w:t>
      </w:r>
      <w:r w:rsidR="00CC64C7">
        <w:rPr>
          <w:i/>
          <w:iCs/>
          <w:sz w:val="20"/>
          <w:szCs w:val="20"/>
        </w:rPr>
        <w:t>drugim</w:t>
      </w:r>
      <w:r w:rsidR="009044FF" w:rsidRPr="0095564E">
        <w:rPr>
          <w:i/>
          <w:iCs/>
          <w:sz w:val="20"/>
          <w:szCs w:val="20"/>
        </w:rPr>
        <w:t xml:space="preserve"> etapem kompleksu VIBE (</w:t>
      </w:r>
      <w:proofErr w:type="spellStart"/>
      <w:r w:rsidR="009044FF" w:rsidRPr="0095564E">
        <w:rPr>
          <w:i/>
          <w:iCs/>
          <w:sz w:val="20"/>
          <w:szCs w:val="20"/>
        </w:rPr>
        <w:t>Ghelamco</w:t>
      </w:r>
      <w:proofErr w:type="spellEnd"/>
      <w:r w:rsidR="009044FF" w:rsidRPr="0095564E">
        <w:rPr>
          <w:i/>
          <w:iCs/>
          <w:sz w:val="20"/>
          <w:szCs w:val="20"/>
        </w:rPr>
        <w:t xml:space="preserve">), kolejnym budynkiem biurowym w ramach kompleksu Towarowa 22 (Echo Investment/AFI) oraz procesem wyburzania starszego biurowca przy ul. Prostej 69, na </w:t>
      </w:r>
      <w:proofErr w:type="gramStart"/>
      <w:r w:rsidR="009044FF" w:rsidRPr="0095564E">
        <w:rPr>
          <w:i/>
          <w:iCs/>
          <w:sz w:val="20"/>
          <w:szCs w:val="20"/>
        </w:rPr>
        <w:t>miejscu</w:t>
      </w:r>
      <w:proofErr w:type="gramEnd"/>
      <w:r w:rsidR="009044FF" w:rsidRPr="0095564E">
        <w:rPr>
          <w:i/>
          <w:iCs/>
          <w:sz w:val="20"/>
          <w:szCs w:val="20"/>
        </w:rPr>
        <w:t xml:space="preserve"> którego inwestor – spółka CPI – planuje realizację nowej inwestycji biurowej o nazwie </w:t>
      </w:r>
      <w:proofErr w:type="spellStart"/>
      <w:r w:rsidR="009044FF" w:rsidRPr="0095564E">
        <w:rPr>
          <w:i/>
          <w:iCs/>
          <w:sz w:val="20"/>
          <w:szCs w:val="20"/>
        </w:rPr>
        <w:t>LightOn</w:t>
      </w:r>
      <w:proofErr w:type="spellEnd"/>
      <w:r>
        <w:rPr>
          <w:sz w:val="20"/>
          <w:szCs w:val="20"/>
        </w:rPr>
        <w:t xml:space="preserve"> –</w:t>
      </w:r>
      <w:r w:rsidR="009044FF">
        <w:rPr>
          <w:sz w:val="20"/>
          <w:szCs w:val="20"/>
        </w:rPr>
        <w:t xml:space="preserve"> </w:t>
      </w:r>
      <w:r w:rsidR="002520B6">
        <w:rPr>
          <w:sz w:val="20"/>
          <w:szCs w:val="20"/>
        </w:rPr>
        <w:t xml:space="preserve">mówi </w:t>
      </w:r>
      <w:proofErr w:type="spellStart"/>
      <w:r w:rsidR="00A462E8" w:rsidRPr="003B0F97">
        <w:rPr>
          <w:rFonts w:eastAsia="Times New Roman"/>
          <w:b/>
          <w:bCs/>
          <w:sz w:val="20"/>
          <w:szCs w:val="20"/>
          <w:lang w:eastAsia="en-US"/>
        </w:rPr>
        <w:t>Vitalii</w:t>
      </w:r>
      <w:proofErr w:type="spellEnd"/>
      <w:r w:rsidR="00A462E8" w:rsidRPr="003B0F97">
        <w:rPr>
          <w:rFonts w:eastAsia="Times New Roman"/>
          <w:b/>
          <w:bCs/>
          <w:sz w:val="20"/>
          <w:szCs w:val="20"/>
          <w:lang w:eastAsia="en-US"/>
        </w:rPr>
        <w:t xml:space="preserve"> Arkhypenko, Analityk Rynku, Cushman &amp; Wakefield</w:t>
      </w:r>
      <w:r w:rsidR="00A462E8" w:rsidRPr="003B0F97">
        <w:rPr>
          <w:rFonts w:eastAsia="Times New Roman"/>
          <w:sz w:val="20"/>
          <w:szCs w:val="20"/>
          <w:lang w:eastAsia="en-US"/>
        </w:rPr>
        <w:t>.</w:t>
      </w:r>
    </w:p>
    <w:p w14:paraId="3DA9C4EA" w14:textId="12F0586D" w:rsidR="00985CC6" w:rsidRDefault="00985CC6" w:rsidP="00CC64C7">
      <w:pPr>
        <w:spacing w:line="240" w:lineRule="auto"/>
        <w:jc w:val="both"/>
        <w:rPr>
          <w:sz w:val="20"/>
          <w:szCs w:val="20"/>
        </w:rPr>
      </w:pPr>
      <w:r w:rsidRPr="00985CC6">
        <w:rPr>
          <w:b/>
          <w:bCs/>
          <w:sz w:val="20"/>
          <w:szCs w:val="20"/>
        </w:rPr>
        <w:t>POPYT:</w:t>
      </w:r>
      <w:r w:rsidR="00CC64C7">
        <w:rPr>
          <w:b/>
          <w:bCs/>
          <w:sz w:val="20"/>
          <w:szCs w:val="20"/>
        </w:rPr>
        <w:t xml:space="preserve"> coraz</w:t>
      </w:r>
      <w:r w:rsidRPr="00985CC6">
        <w:rPr>
          <w:b/>
          <w:bCs/>
          <w:sz w:val="20"/>
          <w:szCs w:val="20"/>
        </w:rPr>
        <w:t xml:space="preserve"> </w:t>
      </w:r>
      <w:r w:rsidR="0095564E">
        <w:rPr>
          <w:b/>
          <w:bCs/>
          <w:sz w:val="20"/>
          <w:szCs w:val="20"/>
        </w:rPr>
        <w:t>śmielsze ruchy najemców</w:t>
      </w:r>
      <w:r w:rsidR="00CC64C7">
        <w:rPr>
          <w:b/>
          <w:bCs/>
          <w:sz w:val="20"/>
          <w:szCs w:val="20"/>
        </w:rPr>
        <w:t xml:space="preserve"> </w:t>
      </w:r>
    </w:p>
    <w:p w14:paraId="40AC9F62" w14:textId="65CC055B" w:rsidR="00633A16" w:rsidRDefault="0095564E" w:rsidP="00CC64C7">
      <w:pPr>
        <w:spacing w:line="240" w:lineRule="auto"/>
        <w:jc w:val="both"/>
        <w:rPr>
          <w:sz w:val="20"/>
          <w:szCs w:val="20"/>
        </w:rPr>
      </w:pPr>
      <w:r w:rsidRPr="0095564E">
        <w:rPr>
          <w:sz w:val="20"/>
          <w:szCs w:val="20"/>
        </w:rPr>
        <w:t>Po trzech kwartałach 2025 roku aktywność najemców na warszawskim rynku biurowym pozostaje na stabilnym</w:t>
      </w:r>
      <w:r w:rsidR="00352EDA">
        <w:rPr>
          <w:sz w:val="20"/>
          <w:szCs w:val="20"/>
        </w:rPr>
        <w:t xml:space="preserve"> poziomie</w:t>
      </w:r>
      <w:r w:rsidRPr="0095564E">
        <w:rPr>
          <w:sz w:val="20"/>
          <w:szCs w:val="20"/>
        </w:rPr>
        <w:t>, a w strukturze popytu widać sygnał</w:t>
      </w:r>
      <w:r w:rsidR="00633A16">
        <w:rPr>
          <w:sz w:val="20"/>
          <w:szCs w:val="20"/>
        </w:rPr>
        <w:t>y</w:t>
      </w:r>
      <w:r w:rsidRPr="0095564E">
        <w:rPr>
          <w:sz w:val="20"/>
          <w:szCs w:val="20"/>
        </w:rPr>
        <w:t xml:space="preserve"> </w:t>
      </w:r>
      <w:r w:rsidR="00633A16">
        <w:rPr>
          <w:sz w:val="20"/>
          <w:szCs w:val="20"/>
        </w:rPr>
        <w:t xml:space="preserve">ożywienia najmu poprzez relokacje, choć głównie wśród mniejszych i średnich </w:t>
      </w:r>
      <w:r w:rsidR="003A6A24">
        <w:rPr>
          <w:sz w:val="20"/>
          <w:szCs w:val="20"/>
        </w:rPr>
        <w:t>najemców</w:t>
      </w:r>
      <w:r w:rsidR="00633A16">
        <w:rPr>
          <w:sz w:val="20"/>
          <w:szCs w:val="20"/>
        </w:rPr>
        <w:t>.</w:t>
      </w:r>
    </w:p>
    <w:p w14:paraId="47635CD9" w14:textId="11E5D215" w:rsidR="0095564E" w:rsidRPr="00D05DD2" w:rsidRDefault="003B0F97" w:rsidP="00CC64C7">
      <w:pPr>
        <w:spacing w:line="240" w:lineRule="auto"/>
        <w:jc w:val="both"/>
        <w:rPr>
          <w:sz w:val="20"/>
          <w:szCs w:val="20"/>
        </w:rPr>
      </w:pPr>
      <w:r>
        <w:rPr>
          <w:sz w:val="20"/>
          <w:szCs w:val="20"/>
        </w:rPr>
        <w:t xml:space="preserve">– </w:t>
      </w:r>
      <w:r w:rsidR="0095564E" w:rsidRPr="0095564E">
        <w:rPr>
          <w:i/>
          <w:iCs/>
          <w:sz w:val="20"/>
          <w:szCs w:val="20"/>
        </w:rPr>
        <w:t xml:space="preserve">Całkowity wolumen transakcji najmu w okresie od stycznia do września 2025 roku wyniósł 486 500 mkw., co jest wynikiem tylko o 2% niższym od analogicznego okresu w 2024 roku. Kluczową zmianą </w:t>
      </w:r>
      <w:r w:rsidR="006A63F9">
        <w:rPr>
          <w:i/>
          <w:iCs/>
          <w:sz w:val="20"/>
          <w:szCs w:val="20"/>
        </w:rPr>
        <w:t xml:space="preserve">względem </w:t>
      </w:r>
      <w:r w:rsidR="001C59AB">
        <w:rPr>
          <w:i/>
          <w:iCs/>
          <w:sz w:val="20"/>
          <w:szCs w:val="20"/>
        </w:rPr>
        <w:t xml:space="preserve">poprzedniego kwartału </w:t>
      </w:r>
      <w:r w:rsidR="0095564E" w:rsidRPr="0095564E">
        <w:rPr>
          <w:i/>
          <w:iCs/>
          <w:sz w:val="20"/>
          <w:szCs w:val="20"/>
        </w:rPr>
        <w:t>jest struktura popytu, w której nowe umowy</w:t>
      </w:r>
      <w:r w:rsidR="001C59AB">
        <w:rPr>
          <w:i/>
          <w:iCs/>
          <w:sz w:val="20"/>
          <w:szCs w:val="20"/>
        </w:rPr>
        <w:t xml:space="preserve"> </w:t>
      </w:r>
      <w:r w:rsidR="002D77C8">
        <w:rPr>
          <w:i/>
          <w:iCs/>
          <w:sz w:val="20"/>
          <w:szCs w:val="20"/>
        </w:rPr>
        <w:t>wróciły</w:t>
      </w:r>
      <w:r w:rsidR="001C59AB">
        <w:rPr>
          <w:i/>
          <w:iCs/>
          <w:sz w:val="20"/>
          <w:szCs w:val="20"/>
        </w:rPr>
        <w:t xml:space="preserve"> na prowadzenie</w:t>
      </w:r>
      <w:r w:rsidR="00087CCB">
        <w:rPr>
          <w:i/>
          <w:iCs/>
          <w:sz w:val="20"/>
          <w:szCs w:val="20"/>
        </w:rPr>
        <w:t>.</w:t>
      </w:r>
      <w:r w:rsidR="001C59AB">
        <w:rPr>
          <w:i/>
          <w:iCs/>
          <w:sz w:val="20"/>
          <w:szCs w:val="20"/>
        </w:rPr>
        <w:t xml:space="preserve"> </w:t>
      </w:r>
      <w:r w:rsidR="00087CCB">
        <w:rPr>
          <w:i/>
          <w:iCs/>
          <w:sz w:val="20"/>
          <w:szCs w:val="20"/>
        </w:rPr>
        <w:t xml:space="preserve">Od początku roku łącznie odpowiadają one za </w:t>
      </w:r>
      <w:r w:rsidR="0095564E" w:rsidRPr="0095564E">
        <w:rPr>
          <w:i/>
          <w:iCs/>
          <w:sz w:val="20"/>
          <w:szCs w:val="20"/>
        </w:rPr>
        <w:t>45%</w:t>
      </w:r>
      <w:r w:rsidR="001C59AB">
        <w:rPr>
          <w:i/>
          <w:iCs/>
          <w:sz w:val="20"/>
          <w:szCs w:val="20"/>
        </w:rPr>
        <w:t xml:space="preserve"> udział</w:t>
      </w:r>
      <w:r w:rsidR="00087CCB">
        <w:rPr>
          <w:i/>
          <w:iCs/>
          <w:sz w:val="20"/>
          <w:szCs w:val="20"/>
        </w:rPr>
        <w:t xml:space="preserve"> w </w:t>
      </w:r>
      <w:r w:rsidR="00FC3539">
        <w:rPr>
          <w:i/>
          <w:iCs/>
          <w:sz w:val="20"/>
          <w:szCs w:val="20"/>
        </w:rPr>
        <w:t>wynajętej powierzchni</w:t>
      </w:r>
      <w:r w:rsidR="0095564E" w:rsidRPr="0095564E">
        <w:rPr>
          <w:i/>
          <w:iCs/>
          <w:sz w:val="20"/>
          <w:szCs w:val="20"/>
        </w:rPr>
        <w:t xml:space="preserve">, renegocjacje </w:t>
      </w:r>
      <w:r w:rsidR="00087CCB">
        <w:rPr>
          <w:i/>
          <w:iCs/>
          <w:sz w:val="20"/>
          <w:szCs w:val="20"/>
        </w:rPr>
        <w:t xml:space="preserve">z kolei – za </w:t>
      </w:r>
      <w:r w:rsidR="0095564E" w:rsidRPr="0095564E">
        <w:rPr>
          <w:i/>
          <w:iCs/>
          <w:sz w:val="20"/>
          <w:szCs w:val="20"/>
        </w:rPr>
        <w:t xml:space="preserve">42%. Pozostałą część </w:t>
      </w:r>
      <w:r w:rsidR="006A63F9">
        <w:rPr>
          <w:i/>
          <w:iCs/>
          <w:sz w:val="20"/>
          <w:szCs w:val="20"/>
        </w:rPr>
        <w:t>to</w:t>
      </w:r>
      <w:r w:rsidR="0095564E" w:rsidRPr="0095564E">
        <w:rPr>
          <w:i/>
          <w:iCs/>
          <w:sz w:val="20"/>
          <w:szCs w:val="20"/>
        </w:rPr>
        <w:t xml:space="preserve"> ekspansje </w:t>
      </w:r>
      <w:r w:rsidR="0097035C">
        <w:rPr>
          <w:i/>
          <w:iCs/>
          <w:sz w:val="20"/>
          <w:szCs w:val="20"/>
        </w:rPr>
        <w:t>–</w:t>
      </w:r>
      <w:r w:rsidR="00CC64C7">
        <w:rPr>
          <w:i/>
          <w:iCs/>
          <w:sz w:val="20"/>
          <w:szCs w:val="20"/>
        </w:rPr>
        <w:t xml:space="preserve"> </w:t>
      </w:r>
      <w:r w:rsidR="0095564E" w:rsidRPr="0095564E">
        <w:rPr>
          <w:i/>
          <w:iCs/>
          <w:sz w:val="20"/>
          <w:szCs w:val="20"/>
        </w:rPr>
        <w:t>7%</w:t>
      </w:r>
      <w:r w:rsidR="00CC64C7">
        <w:rPr>
          <w:i/>
          <w:iCs/>
          <w:sz w:val="20"/>
          <w:szCs w:val="20"/>
        </w:rPr>
        <w:t xml:space="preserve">, </w:t>
      </w:r>
      <w:r w:rsidR="0095564E" w:rsidRPr="0095564E">
        <w:rPr>
          <w:i/>
          <w:iCs/>
          <w:sz w:val="20"/>
          <w:szCs w:val="20"/>
        </w:rPr>
        <w:t xml:space="preserve">oraz transakcje na użytek własny </w:t>
      </w:r>
      <w:r w:rsidR="0097035C">
        <w:rPr>
          <w:i/>
          <w:iCs/>
          <w:sz w:val="20"/>
          <w:szCs w:val="20"/>
        </w:rPr>
        <w:t>–</w:t>
      </w:r>
      <w:r w:rsidR="00CC64C7">
        <w:rPr>
          <w:i/>
          <w:iCs/>
          <w:sz w:val="20"/>
          <w:szCs w:val="20"/>
        </w:rPr>
        <w:t xml:space="preserve"> </w:t>
      </w:r>
      <w:r w:rsidR="0095564E" w:rsidRPr="0095564E">
        <w:rPr>
          <w:i/>
          <w:iCs/>
          <w:sz w:val="20"/>
          <w:szCs w:val="20"/>
        </w:rPr>
        <w:t>6%</w:t>
      </w:r>
      <w:r w:rsidR="00CC64C7">
        <w:rPr>
          <w:i/>
          <w:iCs/>
          <w:sz w:val="20"/>
          <w:szCs w:val="20"/>
        </w:rPr>
        <w:t>.</w:t>
      </w:r>
      <w:r w:rsidR="0095564E" w:rsidRPr="0095564E">
        <w:rPr>
          <w:i/>
          <w:iCs/>
          <w:sz w:val="20"/>
          <w:szCs w:val="20"/>
        </w:rPr>
        <w:t xml:space="preserve"> </w:t>
      </w:r>
      <w:r w:rsidR="0015215D">
        <w:rPr>
          <w:i/>
          <w:iCs/>
          <w:sz w:val="20"/>
          <w:szCs w:val="20"/>
        </w:rPr>
        <w:t>Z kolei w</w:t>
      </w:r>
      <w:r w:rsidR="0095564E" w:rsidRPr="0095564E">
        <w:rPr>
          <w:i/>
          <w:iCs/>
          <w:sz w:val="20"/>
          <w:szCs w:val="20"/>
        </w:rPr>
        <w:t>śród największych transakcji w III kwartale znalazły się</w:t>
      </w:r>
      <w:r w:rsidR="000A5B38">
        <w:rPr>
          <w:i/>
          <w:iCs/>
          <w:sz w:val="20"/>
          <w:szCs w:val="20"/>
        </w:rPr>
        <w:t>:</w:t>
      </w:r>
      <w:r w:rsidR="0095564E" w:rsidRPr="0095564E">
        <w:rPr>
          <w:i/>
          <w:iCs/>
          <w:sz w:val="20"/>
          <w:szCs w:val="20"/>
        </w:rPr>
        <w:t xml:space="preserve"> nowa umowa firmy </w:t>
      </w:r>
      <w:proofErr w:type="spellStart"/>
      <w:r w:rsidR="0095564E" w:rsidRPr="0095564E">
        <w:rPr>
          <w:i/>
          <w:iCs/>
          <w:sz w:val="20"/>
          <w:szCs w:val="20"/>
        </w:rPr>
        <w:t>Luxmed</w:t>
      </w:r>
      <w:proofErr w:type="spellEnd"/>
      <w:r w:rsidR="0095564E" w:rsidRPr="0095564E">
        <w:rPr>
          <w:i/>
          <w:iCs/>
          <w:sz w:val="20"/>
          <w:szCs w:val="20"/>
        </w:rPr>
        <w:t xml:space="preserve"> w West </w:t>
      </w:r>
      <w:proofErr w:type="spellStart"/>
      <w:r w:rsidR="0095564E" w:rsidRPr="0095564E">
        <w:rPr>
          <w:i/>
          <w:iCs/>
          <w:sz w:val="20"/>
          <w:szCs w:val="20"/>
        </w:rPr>
        <w:t>Warsaw</w:t>
      </w:r>
      <w:proofErr w:type="spellEnd"/>
      <w:r w:rsidR="0095564E" w:rsidRPr="0095564E">
        <w:rPr>
          <w:i/>
          <w:iCs/>
          <w:sz w:val="20"/>
          <w:szCs w:val="20"/>
        </w:rPr>
        <w:t xml:space="preserve"> Office </w:t>
      </w:r>
      <w:r w:rsidR="00CC64C7">
        <w:rPr>
          <w:i/>
          <w:iCs/>
          <w:sz w:val="20"/>
          <w:szCs w:val="20"/>
        </w:rPr>
        <w:t xml:space="preserve">na </w:t>
      </w:r>
      <w:r w:rsidR="0095564E" w:rsidRPr="0095564E">
        <w:rPr>
          <w:i/>
          <w:iCs/>
          <w:sz w:val="20"/>
          <w:szCs w:val="20"/>
        </w:rPr>
        <w:t xml:space="preserve">5 600 mkw. oraz renegocjacja umowy </w:t>
      </w:r>
      <w:proofErr w:type="spellStart"/>
      <w:r w:rsidR="0095564E" w:rsidRPr="0095564E">
        <w:rPr>
          <w:i/>
          <w:iCs/>
          <w:sz w:val="20"/>
          <w:szCs w:val="20"/>
        </w:rPr>
        <w:t>Alcon</w:t>
      </w:r>
      <w:proofErr w:type="spellEnd"/>
      <w:r w:rsidR="0095564E" w:rsidRPr="0095564E">
        <w:rPr>
          <w:i/>
          <w:iCs/>
          <w:sz w:val="20"/>
          <w:szCs w:val="20"/>
        </w:rPr>
        <w:t xml:space="preserve"> w biurowcu New City </w:t>
      </w:r>
      <w:r w:rsidR="00CC64C7">
        <w:rPr>
          <w:i/>
          <w:iCs/>
          <w:sz w:val="20"/>
          <w:szCs w:val="20"/>
        </w:rPr>
        <w:t xml:space="preserve">na </w:t>
      </w:r>
      <w:r w:rsidR="0095564E" w:rsidRPr="0095564E">
        <w:rPr>
          <w:i/>
          <w:iCs/>
          <w:sz w:val="20"/>
          <w:szCs w:val="20"/>
        </w:rPr>
        <w:t>5 000 mkw.</w:t>
      </w:r>
      <w:r>
        <w:rPr>
          <w:sz w:val="20"/>
          <w:szCs w:val="20"/>
        </w:rPr>
        <w:t xml:space="preserve"> – komentuje </w:t>
      </w:r>
      <w:r w:rsidRPr="00F95AC5">
        <w:rPr>
          <w:b/>
          <w:bCs/>
          <w:sz w:val="20"/>
          <w:szCs w:val="20"/>
        </w:rPr>
        <w:t>Ewa Derlatka-</w:t>
      </w:r>
      <w:proofErr w:type="spellStart"/>
      <w:r w:rsidRPr="00F95AC5">
        <w:rPr>
          <w:b/>
          <w:bCs/>
          <w:sz w:val="20"/>
          <w:szCs w:val="20"/>
        </w:rPr>
        <w:t>Chilewicz</w:t>
      </w:r>
      <w:proofErr w:type="spellEnd"/>
      <w:r w:rsidRPr="00F95AC5">
        <w:rPr>
          <w:b/>
          <w:bCs/>
          <w:sz w:val="20"/>
          <w:szCs w:val="20"/>
        </w:rPr>
        <w:t xml:space="preserve">, </w:t>
      </w:r>
      <w:proofErr w:type="spellStart"/>
      <w:r w:rsidRPr="00F95AC5">
        <w:rPr>
          <w:b/>
          <w:bCs/>
          <w:sz w:val="20"/>
          <w:szCs w:val="20"/>
        </w:rPr>
        <w:t>Head</w:t>
      </w:r>
      <w:proofErr w:type="spellEnd"/>
      <w:r w:rsidRPr="00F95AC5">
        <w:rPr>
          <w:b/>
          <w:bCs/>
          <w:sz w:val="20"/>
          <w:szCs w:val="20"/>
        </w:rPr>
        <w:t xml:space="preserve"> of </w:t>
      </w:r>
      <w:proofErr w:type="spellStart"/>
      <w:r w:rsidRPr="00F95AC5">
        <w:rPr>
          <w:b/>
          <w:bCs/>
          <w:sz w:val="20"/>
          <w:szCs w:val="20"/>
        </w:rPr>
        <w:t>Research</w:t>
      </w:r>
      <w:proofErr w:type="spellEnd"/>
      <w:r w:rsidRPr="00F95AC5">
        <w:rPr>
          <w:b/>
          <w:bCs/>
          <w:sz w:val="20"/>
          <w:szCs w:val="20"/>
        </w:rPr>
        <w:t xml:space="preserve"> Poland</w:t>
      </w:r>
      <w:r w:rsidRPr="00F95AC5">
        <w:rPr>
          <w:sz w:val="20"/>
          <w:szCs w:val="20"/>
        </w:rPr>
        <w:t xml:space="preserve">, </w:t>
      </w:r>
      <w:r w:rsidRPr="00F95AC5">
        <w:rPr>
          <w:b/>
          <w:bCs/>
          <w:sz w:val="20"/>
          <w:szCs w:val="20"/>
        </w:rPr>
        <w:t>Cushman &amp; Wakefield.</w:t>
      </w:r>
    </w:p>
    <w:p w14:paraId="49EDC6C6" w14:textId="77777777" w:rsidR="0095564E" w:rsidRPr="0095564E" w:rsidRDefault="0095564E" w:rsidP="00CC64C7">
      <w:pPr>
        <w:spacing w:line="240" w:lineRule="auto"/>
        <w:jc w:val="both"/>
        <w:rPr>
          <w:sz w:val="20"/>
          <w:szCs w:val="20"/>
        </w:rPr>
      </w:pPr>
      <w:r w:rsidRPr="0095564E">
        <w:rPr>
          <w:sz w:val="20"/>
          <w:szCs w:val="20"/>
        </w:rPr>
        <w:t xml:space="preserve">Według obserwacji ekspertów Cushman &amp; Wakefield, do wzrostu zainteresowania powierzchniami biurowymi przyczynia się dynamiczny rozwój centrów usług wspólnych. Potencjał do dalszego wzrostu widoczny jest także w sektorach IT, bankowości, farmaceutyce oraz w sektorze publicznym. Niezmiennie największym </w:t>
      </w:r>
      <w:r w:rsidRPr="0095564E">
        <w:rPr>
          <w:sz w:val="20"/>
          <w:szCs w:val="20"/>
        </w:rPr>
        <w:lastRenderedPageBreak/>
        <w:t>zainteresowaniem najemców cieszy się strefa centralna, jednak lokalizacje takie jak Służewiec i Korytarz Jerozolimskich pozostają atrakcyjną i bardziej konkurencyjną cenowo alternatywą. Stanowią one dobre rozwiązanie zarówno dla dużych korporacji, jak i mniejszych firm wchodzących na rynek.</w:t>
      </w:r>
    </w:p>
    <w:p w14:paraId="41EF80E2" w14:textId="68122E29" w:rsidR="0095564E" w:rsidRPr="0095564E" w:rsidRDefault="003B0F97" w:rsidP="00CC64C7">
      <w:pPr>
        <w:spacing w:line="240" w:lineRule="auto"/>
        <w:jc w:val="both"/>
        <w:rPr>
          <w:sz w:val="20"/>
          <w:szCs w:val="20"/>
        </w:rPr>
      </w:pPr>
      <w:r>
        <w:rPr>
          <w:sz w:val="20"/>
          <w:szCs w:val="20"/>
        </w:rPr>
        <w:t xml:space="preserve">– </w:t>
      </w:r>
      <w:r w:rsidR="0095564E" w:rsidRPr="0095564E">
        <w:rPr>
          <w:i/>
          <w:iCs/>
          <w:sz w:val="20"/>
          <w:szCs w:val="20"/>
        </w:rPr>
        <w:t>W najbliższych kwartałach prognozujemy utrzymanie aktywności najemców na poziomie zbliżonym do lat 2023-2024. Tempo rozwoju rynku będzie jednak uzależnione od ogólnej sytuacji gospodarczej oraz strategii międzynarodowych korporacji w zakresie ekspansji i optymalizacji kosztów</w:t>
      </w:r>
      <w:r>
        <w:rPr>
          <w:sz w:val="20"/>
          <w:szCs w:val="20"/>
        </w:rPr>
        <w:t xml:space="preserve"> – dodaje </w:t>
      </w:r>
      <w:r w:rsidRPr="003B0F97">
        <w:rPr>
          <w:b/>
          <w:bCs/>
          <w:sz w:val="20"/>
          <w:szCs w:val="20"/>
        </w:rPr>
        <w:t>Ewa Derlatka-</w:t>
      </w:r>
      <w:proofErr w:type="spellStart"/>
      <w:r w:rsidRPr="003B0F97">
        <w:rPr>
          <w:b/>
          <w:bCs/>
          <w:sz w:val="20"/>
          <w:szCs w:val="20"/>
        </w:rPr>
        <w:t>Chilewicz</w:t>
      </w:r>
      <w:proofErr w:type="spellEnd"/>
      <w:r>
        <w:rPr>
          <w:sz w:val="20"/>
          <w:szCs w:val="20"/>
        </w:rPr>
        <w:t>.</w:t>
      </w:r>
    </w:p>
    <w:p w14:paraId="6DBFF3E9" w14:textId="4F19C590" w:rsidR="00985CC6" w:rsidRDefault="00985CC6" w:rsidP="00CC64C7">
      <w:pPr>
        <w:spacing w:line="240" w:lineRule="auto"/>
        <w:jc w:val="both"/>
        <w:rPr>
          <w:rFonts w:eastAsia="Times New Roman"/>
          <w:b/>
          <w:bCs/>
          <w:sz w:val="20"/>
          <w:szCs w:val="20"/>
          <w:lang w:eastAsia="en-US"/>
        </w:rPr>
      </w:pPr>
      <w:r w:rsidRPr="00985CC6">
        <w:rPr>
          <w:rFonts w:eastAsia="Times New Roman"/>
          <w:b/>
          <w:bCs/>
          <w:sz w:val="20"/>
          <w:szCs w:val="20"/>
          <w:lang w:eastAsia="en-US"/>
        </w:rPr>
        <w:t xml:space="preserve">WSKAŹNIK PUSTOSTANÓW: </w:t>
      </w:r>
      <w:r w:rsidR="003B0F97">
        <w:rPr>
          <w:rFonts w:eastAsia="Times New Roman"/>
          <w:b/>
          <w:bCs/>
          <w:sz w:val="20"/>
          <w:szCs w:val="20"/>
          <w:lang w:eastAsia="en-US"/>
        </w:rPr>
        <w:t>rynek wchłania biura</w:t>
      </w:r>
    </w:p>
    <w:p w14:paraId="58BF66D3" w14:textId="5948F73A" w:rsidR="003B0F97" w:rsidRPr="003B0F97" w:rsidRDefault="003B0F97" w:rsidP="00CC64C7">
      <w:pPr>
        <w:spacing w:line="240" w:lineRule="auto"/>
        <w:jc w:val="both"/>
        <w:rPr>
          <w:rFonts w:eastAsia="Times New Roman"/>
          <w:sz w:val="20"/>
          <w:szCs w:val="20"/>
          <w:lang w:eastAsia="en-US"/>
        </w:rPr>
      </w:pPr>
      <w:r w:rsidRPr="003B0F97">
        <w:rPr>
          <w:rFonts w:eastAsia="Times New Roman"/>
          <w:sz w:val="20"/>
          <w:szCs w:val="20"/>
          <w:lang w:eastAsia="en-US"/>
        </w:rPr>
        <w:t xml:space="preserve">Na koniec września 2025 roku wskaźnik powierzchni niewynajętej w Warszawie wyniósł </w:t>
      </w:r>
      <w:r w:rsidRPr="00CC64C7">
        <w:rPr>
          <w:rFonts w:eastAsia="Times New Roman"/>
          <w:sz w:val="20"/>
          <w:szCs w:val="20"/>
          <w:lang w:eastAsia="en-US"/>
        </w:rPr>
        <w:t>9,7%</w:t>
      </w:r>
      <w:r w:rsidRPr="003B0F97">
        <w:rPr>
          <w:rFonts w:eastAsia="Times New Roman"/>
          <w:sz w:val="20"/>
          <w:szCs w:val="20"/>
          <w:lang w:eastAsia="en-US"/>
        </w:rPr>
        <w:t xml:space="preserve">, co oznacza spadek o 1 </w:t>
      </w:r>
      <w:proofErr w:type="spellStart"/>
      <w:r w:rsidRPr="003B0F97">
        <w:rPr>
          <w:rFonts w:eastAsia="Times New Roman"/>
          <w:sz w:val="20"/>
          <w:szCs w:val="20"/>
          <w:lang w:eastAsia="en-US"/>
        </w:rPr>
        <w:t>p.p</w:t>
      </w:r>
      <w:proofErr w:type="spellEnd"/>
      <w:r w:rsidRPr="003B0F97">
        <w:rPr>
          <w:rFonts w:eastAsia="Times New Roman"/>
          <w:sz w:val="20"/>
          <w:szCs w:val="20"/>
          <w:lang w:eastAsia="en-US"/>
        </w:rPr>
        <w:t xml:space="preserve">. w porównaniu do analogicznego okresu w 2024 roku i o 1,1 </w:t>
      </w:r>
      <w:proofErr w:type="spellStart"/>
      <w:r w:rsidRPr="003B0F97">
        <w:rPr>
          <w:rFonts w:eastAsia="Times New Roman"/>
          <w:sz w:val="20"/>
          <w:szCs w:val="20"/>
          <w:lang w:eastAsia="en-US"/>
        </w:rPr>
        <w:t>p.p</w:t>
      </w:r>
      <w:proofErr w:type="spellEnd"/>
      <w:r w:rsidRPr="003B0F97">
        <w:rPr>
          <w:rFonts w:eastAsia="Times New Roman"/>
          <w:sz w:val="20"/>
          <w:szCs w:val="20"/>
          <w:lang w:eastAsia="en-US"/>
        </w:rPr>
        <w:t>. w ujęciu kwartalnym. Dostępność powierzchni biurowej obniżyła się do poziomu niecałych 606 000 mkw. Do spadku wskaźnika przyczynił się zarówno stabilny popyt, jak i wyłączenie z zasobów kilku budynków planowanych do zmiany funkcji na mieszkaniową, głównie w strefach poza</w:t>
      </w:r>
      <w:r w:rsidR="00D079CE">
        <w:rPr>
          <w:rFonts w:eastAsia="Times New Roman"/>
          <w:sz w:val="20"/>
          <w:szCs w:val="20"/>
          <w:lang w:eastAsia="en-US"/>
        </w:rPr>
        <w:t xml:space="preserve"> </w:t>
      </w:r>
      <w:r w:rsidRPr="003B0F97">
        <w:rPr>
          <w:rFonts w:eastAsia="Times New Roman"/>
          <w:sz w:val="20"/>
          <w:szCs w:val="20"/>
          <w:lang w:eastAsia="en-US"/>
        </w:rPr>
        <w:t>centralnych.</w:t>
      </w:r>
    </w:p>
    <w:p w14:paraId="41D88272" w14:textId="68051B68" w:rsidR="003B0F97" w:rsidRPr="003B0F97" w:rsidRDefault="003B0F97" w:rsidP="00CC64C7">
      <w:pPr>
        <w:spacing w:line="240" w:lineRule="auto"/>
        <w:jc w:val="both"/>
        <w:rPr>
          <w:rFonts w:eastAsia="Times New Roman"/>
          <w:sz w:val="20"/>
          <w:szCs w:val="20"/>
          <w:lang w:eastAsia="en-US"/>
        </w:rPr>
      </w:pPr>
      <w:r>
        <w:rPr>
          <w:rFonts w:eastAsia="Times New Roman"/>
          <w:sz w:val="20"/>
          <w:szCs w:val="20"/>
          <w:lang w:eastAsia="en-US"/>
        </w:rPr>
        <w:t xml:space="preserve">– </w:t>
      </w:r>
      <w:r w:rsidRPr="003B0F97">
        <w:rPr>
          <w:rFonts w:eastAsia="Times New Roman"/>
          <w:i/>
          <w:iCs/>
          <w:sz w:val="20"/>
          <w:szCs w:val="20"/>
          <w:lang w:eastAsia="en-US"/>
        </w:rPr>
        <w:t xml:space="preserve">Spadek ogólnego wskaźnika poniżej 10% to ważny </w:t>
      </w:r>
      <w:r w:rsidR="00CC64C7">
        <w:rPr>
          <w:rFonts w:eastAsia="Times New Roman"/>
          <w:i/>
          <w:iCs/>
          <w:sz w:val="20"/>
          <w:szCs w:val="20"/>
          <w:lang w:eastAsia="en-US"/>
        </w:rPr>
        <w:t>sygnał dla całego rynku</w:t>
      </w:r>
      <w:r w:rsidRPr="003B0F97">
        <w:rPr>
          <w:rFonts w:eastAsia="Times New Roman"/>
          <w:i/>
          <w:iCs/>
          <w:sz w:val="20"/>
          <w:szCs w:val="20"/>
          <w:lang w:eastAsia="en-US"/>
        </w:rPr>
        <w:t xml:space="preserve">, ale kluczowa jest obserwacja </w:t>
      </w:r>
      <w:r w:rsidR="00CC64C7">
        <w:rPr>
          <w:rFonts w:eastAsia="Times New Roman"/>
          <w:i/>
          <w:iCs/>
          <w:sz w:val="20"/>
          <w:szCs w:val="20"/>
          <w:lang w:eastAsia="en-US"/>
        </w:rPr>
        <w:t xml:space="preserve">jego </w:t>
      </w:r>
      <w:r w:rsidR="006A63F9">
        <w:rPr>
          <w:rFonts w:eastAsia="Times New Roman"/>
          <w:i/>
          <w:iCs/>
          <w:sz w:val="20"/>
          <w:szCs w:val="20"/>
          <w:lang w:eastAsia="en-US"/>
        </w:rPr>
        <w:t>struktury</w:t>
      </w:r>
      <w:r w:rsidRPr="003B0F97">
        <w:rPr>
          <w:rFonts w:eastAsia="Times New Roman"/>
          <w:i/>
          <w:iCs/>
          <w:sz w:val="20"/>
          <w:szCs w:val="20"/>
          <w:lang w:eastAsia="en-US"/>
        </w:rPr>
        <w:t xml:space="preserve">. W strefach centralnych, gdzie wakat wynosi już tylko 6,9%, mamy do czynienia z zacieśniającym się rynkiem, co będzie stawiać w uprzywilejowanej pozycji wynajmujących. Jednocześnie strefy </w:t>
      </w:r>
      <w:proofErr w:type="spellStart"/>
      <w:r w:rsidRPr="003B0F97">
        <w:rPr>
          <w:rFonts w:eastAsia="Times New Roman"/>
          <w:i/>
          <w:iCs/>
          <w:sz w:val="20"/>
          <w:szCs w:val="20"/>
          <w:lang w:eastAsia="en-US"/>
        </w:rPr>
        <w:t>pozacentralne</w:t>
      </w:r>
      <w:proofErr w:type="spellEnd"/>
      <w:r w:rsidRPr="003B0F97">
        <w:rPr>
          <w:rFonts w:eastAsia="Times New Roman"/>
          <w:i/>
          <w:iCs/>
          <w:sz w:val="20"/>
          <w:szCs w:val="20"/>
          <w:lang w:eastAsia="en-US"/>
        </w:rPr>
        <w:t>, z wakatem na poziomie 12,1%, wciąż oferują najemcom szer</w:t>
      </w:r>
      <w:r w:rsidR="00C91751">
        <w:rPr>
          <w:rFonts w:eastAsia="Times New Roman"/>
          <w:i/>
          <w:iCs/>
          <w:sz w:val="20"/>
          <w:szCs w:val="20"/>
          <w:lang w:eastAsia="en-US"/>
        </w:rPr>
        <w:t>sze</w:t>
      </w:r>
      <w:r w:rsidRPr="003B0F97">
        <w:rPr>
          <w:rFonts w:eastAsia="Times New Roman"/>
          <w:i/>
          <w:iCs/>
          <w:sz w:val="20"/>
          <w:szCs w:val="20"/>
          <w:lang w:eastAsia="en-US"/>
        </w:rPr>
        <w:t xml:space="preserve"> pole do negocjacji i stają się strategiczną alternatywą dla firm szukających optymalizacji kosztów bez rezygnacji z dobrej lokalizacji</w:t>
      </w:r>
      <w:r>
        <w:rPr>
          <w:rFonts w:eastAsia="Times New Roman"/>
          <w:i/>
          <w:iCs/>
          <w:sz w:val="20"/>
          <w:szCs w:val="20"/>
          <w:lang w:eastAsia="en-US"/>
        </w:rPr>
        <w:t xml:space="preserve"> </w:t>
      </w:r>
      <w:r w:rsidRPr="003B0F97">
        <w:rPr>
          <w:rFonts w:eastAsia="Times New Roman"/>
          <w:sz w:val="20"/>
          <w:szCs w:val="20"/>
          <w:lang w:eastAsia="en-US"/>
        </w:rPr>
        <w:t xml:space="preserve">– komentuje </w:t>
      </w:r>
      <w:r w:rsidRPr="003B0F97">
        <w:rPr>
          <w:rFonts w:eastAsia="Times New Roman"/>
          <w:b/>
          <w:bCs/>
          <w:sz w:val="20"/>
          <w:szCs w:val="20"/>
          <w:lang w:eastAsia="en-US"/>
        </w:rPr>
        <w:t>Vitalii Arkhypenko</w:t>
      </w:r>
      <w:r w:rsidR="00A462E8">
        <w:rPr>
          <w:rFonts w:eastAsia="Times New Roman"/>
          <w:b/>
          <w:bCs/>
          <w:sz w:val="20"/>
          <w:szCs w:val="20"/>
          <w:lang w:eastAsia="en-US"/>
        </w:rPr>
        <w:t>.</w:t>
      </w:r>
    </w:p>
    <w:p w14:paraId="2A11286E" w14:textId="32931D51" w:rsidR="003B0F97" w:rsidRPr="003B0F97" w:rsidRDefault="003B0F97" w:rsidP="00CC64C7">
      <w:pPr>
        <w:spacing w:line="240" w:lineRule="auto"/>
        <w:jc w:val="both"/>
        <w:rPr>
          <w:rFonts w:eastAsia="Times New Roman"/>
          <w:sz w:val="20"/>
          <w:szCs w:val="20"/>
          <w:lang w:eastAsia="en-US"/>
        </w:rPr>
      </w:pPr>
      <w:r w:rsidRPr="003B0F97">
        <w:rPr>
          <w:rFonts w:eastAsia="Times New Roman"/>
          <w:sz w:val="20"/>
          <w:szCs w:val="20"/>
          <w:lang w:eastAsia="en-US"/>
        </w:rPr>
        <w:t>Jak prognozują eksperci Cushman &amp; Wakefield, w perspektywie lat 2026-2027, przy ograniczonej nowej podaży, będziemy obserwować dalszą kompresję wskaźnika pustostanów. Pozwoli to warszawskiemu rynkowi na wchłonięcie nadwyżki dostępnej powierzchni biurowej. Dalszy spadek dostępności biur w centralnych lokalizacjach może nie tylko prowadzić do wzrostu czynszów, ale także zachęcić właścicieli starszych budynków do ich modernizacji, aby skuteczniej konkurować o najemców</w:t>
      </w:r>
      <w:r>
        <w:rPr>
          <w:rFonts w:eastAsia="Times New Roman"/>
          <w:sz w:val="20"/>
          <w:szCs w:val="20"/>
          <w:lang w:eastAsia="en-US"/>
        </w:rPr>
        <w:t>.</w:t>
      </w:r>
    </w:p>
    <w:p w14:paraId="15909ECC" w14:textId="2DCD4FC4" w:rsidR="008C6651" w:rsidRPr="008C6651" w:rsidRDefault="00675B1B" w:rsidP="00CC64C7">
      <w:pPr>
        <w:spacing w:line="240" w:lineRule="auto"/>
        <w:jc w:val="both"/>
        <w:rPr>
          <w:b/>
          <w:bCs/>
          <w:sz w:val="20"/>
          <w:szCs w:val="20"/>
        </w:rPr>
      </w:pPr>
      <w:r w:rsidRPr="008C6651">
        <w:rPr>
          <w:rFonts w:eastAsia="Times New Roman"/>
          <w:b/>
          <w:bCs/>
          <w:sz w:val="20"/>
          <w:szCs w:val="20"/>
          <w:lang w:eastAsia="en-US"/>
        </w:rPr>
        <w:t xml:space="preserve">STAWKI CZYNSZÓW: </w:t>
      </w:r>
      <w:r w:rsidR="003B0F97">
        <w:rPr>
          <w:b/>
          <w:bCs/>
          <w:sz w:val="20"/>
          <w:szCs w:val="20"/>
        </w:rPr>
        <w:t>utrzymanie trendu wzrostowego w centralnych lokalizacjach</w:t>
      </w:r>
    </w:p>
    <w:p w14:paraId="321FE0DC" w14:textId="77777777" w:rsidR="003B0F97" w:rsidRPr="003B0F97" w:rsidRDefault="003B0F97" w:rsidP="00CC64C7">
      <w:pPr>
        <w:spacing w:line="240" w:lineRule="auto"/>
        <w:jc w:val="both"/>
        <w:rPr>
          <w:sz w:val="20"/>
          <w:szCs w:val="20"/>
        </w:rPr>
      </w:pPr>
      <w:r w:rsidRPr="003B0F97">
        <w:rPr>
          <w:sz w:val="20"/>
          <w:szCs w:val="20"/>
        </w:rPr>
        <w:t>We wrześniu 2025 roku stawki „</w:t>
      </w:r>
      <w:proofErr w:type="spellStart"/>
      <w:r w:rsidRPr="003B0F97">
        <w:rPr>
          <w:sz w:val="20"/>
          <w:szCs w:val="20"/>
        </w:rPr>
        <w:t>premium</w:t>
      </w:r>
      <w:proofErr w:type="spellEnd"/>
      <w:r w:rsidRPr="003B0F97">
        <w:rPr>
          <w:sz w:val="20"/>
          <w:szCs w:val="20"/>
        </w:rPr>
        <w:t>” za najlepsze powierzchnie biurowe w Warszawie wyniosły przeciętnie 22,00-27,00 EUR/ mkw./ miesiąc w strefie Centrum oraz 13,50-17,00 EUR/ mkw./ miesiąc w lokalizacjach poza centralnych. Wzrosty czynszu obserwowano przede wszystkim w nowo oddawanych budynkach w Centrum. Z kolei w budynkach istniejących (w strefach centralnych i poza centralnych) o wysokim poziomie obłożenia, czynsze rosły na poziomie zbliżonym do wskaźnika inflacji, poprzez indeksację czynszu ofertowego.</w:t>
      </w:r>
    </w:p>
    <w:p w14:paraId="5442342A" w14:textId="0C0223D4" w:rsidR="00096548" w:rsidRPr="008173D0" w:rsidRDefault="003B0F97" w:rsidP="00CC64C7">
      <w:pPr>
        <w:spacing w:line="240" w:lineRule="auto"/>
        <w:jc w:val="both"/>
        <w:rPr>
          <w:rFonts w:eastAsia="Times New Roman"/>
          <w:b/>
          <w:bCs/>
          <w:sz w:val="20"/>
          <w:szCs w:val="20"/>
          <w:lang w:eastAsia="en-US"/>
        </w:rPr>
      </w:pPr>
      <w:r w:rsidRPr="003B0F97">
        <w:rPr>
          <w:sz w:val="20"/>
          <w:szCs w:val="20"/>
        </w:rPr>
        <w:t>Cushman &amp; Wakefield przewiduje, że w kolejnych kwartałach, presja na wzrost stawek czynszu będzie widoczna nadal przede wszystkim w projektach w budowie oraz w najbardziej atrakcyjnych obiektach zlokalizowanych w Centrum. Podczas gdy w większości obiektów w lokalizacjach niecentralnych wzrost czynszów będzie ograniczony ze względu na większą konkurencję i relatywnie wyższy poziom wakatu.</w:t>
      </w:r>
    </w:p>
    <w:p w14:paraId="6C7874CE" w14:textId="77777777" w:rsidR="00AC62A5" w:rsidRPr="00AF11EE" w:rsidRDefault="00AC62A5" w:rsidP="00AC62A5">
      <w:pPr>
        <w:jc w:val="center"/>
        <w:rPr>
          <w:sz w:val="16"/>
          <w:szCs w:val="16"/>
        </w:rPr>
      </w:pPr>
      <w:r>
        <w:rPr>
          <w:rFonts w:eastAsia="Times New Roman"/>
          <w:sz w:val="16"/>
          <w:szCs w:val="16"/>
          <w:lang w:eastAsia="en-US"/>
        </w:rPr>
        <w:t xml:space="preserve">- </w:t>
      </w:r>
      <w:r w:rsidRPr="004E5A7E">
        <w:rPr>
          <w:rFonts w:eastAsia="Times New Roman"/>
          <w:b/>
          <w:bCs/>
          <w:sz w:val="16"/>
          <w:szCs w:val="16"/>
          <w:lang w:eastAsia="en-US"/>
        </w:rPr>
        <w:t xml:space="preserve">KONIEC </w:t>
      </w:r>
      <w:r>
        <w:rPr>
          <w:rFonts w:eastAsia="Times New Roman"/>
          <w:b/>
          <w:bCs/>
          <w:sz w:val="16"/>
          <w:szCs w:val="16"/>
          <w:lang w:eastAsia="en-US"/>
        </w:rPr>
        <w:t>-</w:t>
      </w:r>
    </w:p>
    <w:p w14:paraId="330F4936" w14:textId="77777777" w:rsidR="00AC62A5" w:rsidRPr="00CE1EF8" w:rsidRDefault="00AC62A5" w:rsidP="008C6651">
      <w:pPr>
        <w:spacing w:line="240" w:lineRule="auto"/>
        <w:jc w:val="both"/>
        <w:rPr>
          <w:rFonts w:eastAsia="Times New Roman"/>
          <w:b/>
          <w:bCs/>
          <w:sz w:val="20"/>
          <w:szCs w:val="20"/>
          <w:lang w:eastAsia="en-US"/>
        </w:rPr>
      </w:pPr>
    </w:p>
    <w:p w14:paraId="482909FA" w14:textId="239325B7" w:rsidR="004B3D1A" w:rsidRPr="00AC62A5" w:rsidRDefault="004B3D1A" w:rsidP="00AC62A5">
      <w:pPr>
        <w:spacing w:line="240" w:lineRule="auto"/>
        <w:jc w:val="both"/>
        <w:rPr>
          <w:rFonts w:eastAsia="Times New Roman"/>
          <w:b/>
          <w:bCs/>
          <w:sz w:val="20"/>
          <w:szCs w:val="20"/>
          <w:lang w:eastAsia="en-US"/>
        </w:rPr>
      </w:pPr>
      <w:r w:rsidRPr="007E6CDD">
        <w:rPr>
          <w:b/>
          <w:sz w:val="16"/>
          <w:szCs w:val="16"/>
        </w:rPr>
        <w:lastRenderedPageBreak/>
        <w:t>O Cushman &amp; Wakefiel</w:t>
      </w:r>
      <w:r w:rsidR="00AC6DF8" w:rsidRPr="007E6CDD">
        <w:rPr>
          <w:b/>
          <w:sz w:val="16"/>
          <w:szCs w:val="16"/>
        </w:rPr>
        <w:t>d</w:t>
      </w:r>
    </w:p>
    <w:p w14:paraId="720766D1" w14:textId="77777777" w:rsidR="00AC62A5" w:rsidRPr="004170C0" w:rsidRDefault="00AC62A5" w:rsidP="00AC62A5">
      <w:pPr>
        <w:jc w:val="both"/>
        <w:rPr>
          <w:bCs/>
          <w:sz w:val="16"/>
          <w:szCs w:val="16"/>
        </w:rPr>
      </w:pPr>
      <w:r w:rsidRPr="004170C0">
        <w:rPr>
          <w:bCs/>
          <w:sz w:val="16"/>
          <w:szCs w:val="16"/>
        </w:rPr>
        <w:t>Cushman &amp; Wakefield (NYSE: CWK) jest wiodącą na świecie firmą świadczącą usługi na rzecz właścicieli i najemców nieruchomości komercyjnych. Zatrudnia ok. 52 tys. pracowników w niemal 400 biurach i 60 krajach na całym świecie. W 2024 roku jej przychody wyniosły 9,4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proofErr w:type="spellStart"/>
      <w:r w:rsidRPr="004170C0">
        <w:rPr>
          <w:bCs/>
          <w:i/>
          <w:iCs/>
          <w:sz w:val="16"/>
          <w:szCs w:val="16"/>
        </w:rPr>
        <w:t>Better</w:t>
      </w:r>
      <w:proofErr w:type="spellEnd"/>
      <w:r w:rsidRPr="004170C0">
        <w:rPr>
          <w:bCs/>
          <w:i/>
          <w:iCs/>
          <w:sz w:val="16"/>
          <w:szCs w:val="16"/>
        </w:rPr>
        <w:t xml:space="preserve"> </w:t>
      </w:r>
      <w:proofErr w:type="spellStart"/>
      <w:r w:rsidRPr="004170C0">
        <w:rPr>
          <w:bCs/>
          <w:i/>
          <w:iCs/>
          <w:sz w:val="16"/>
          <w:szCs w:val="16"/>
        </w:rPr>
        <w:t>never</w:t>
      </w:r>
      <w:proofErr w:type="spellEnd"/>
      <w:r w:rsidRPr="004170C0">
        <w:rPr>
          <w:bCs/>
          <w:i/>
          <w:iCs/>
          <w:sz w:val="16"/>
          <w:szCs w:val="16"/>
        </w:rPr>
        <w:t xml:space="preserve"> </w:t>
      </w:r>
      <w:proofErr w:type="spellStart"/>
      <w:r w:rsidRPr="004170C0">
        <w:rPr>
          <w:bCs/>
          <w:i/>
          <w:iCs/>
          <w:sz w:val="16"/>
          <w:szCs w:val="16"/>
        </w:rPr>
        <w:t>settles</w:t>
      </w:r>
      <w:proofErr w:type="spellEnd"/>
      <w:r w:rsidRPr="004170C0">
        <w:rPr>
          <w:bCs/>
          <w:sz w:val="16"/>
          <w:szCs w:val="16"/>
        </w:rPr>
        <w:t> </w:t>
      </w:r>
      <w:proofErr w:type="spellStart"/>
      <w:r w:rsidRPr="004170C0">
        <w:rPr>
          <w:bCs/>
          <w:sz w:val="16"/>
          <w:szCs w:val="16"/>
        </w:rPr>
        <w:t>Cushman</w:t>
      </w:r>
      <w:proofErr w:type="spellEnd"/>
      <w:r w:rsidRPr="004170C0">
        <w:rPr>
          <w:bCs/>
          <w:sz w:val="16"/>
          <w:szCs w:val="16"/>
        </w:rPr>
        <w:t xml:space="preserve"> &amp; Wakefield otrzymuje wiele wyróżnień oraz nagród w konkursach branżowych i biznesowych. Dodatkowe informacje na stronie </w:t>
      </w:r>
      <w:hyperlink r:id="rId11" w:tgtFrame="_blank" w:tooltip="http://www.cushmanwakefield.com" w:history="1">
        <w:r w:rsidRPr="004170C0">
          <w:rPr>
            <w:rStyle w:val="Hyperlink"/>
            <w:bCs/>
            <w:sz w:val="16"/>
            <w:szCs w:val="16"/>
          </w:rPr>
          <w:t>www.cushmanwakefield.com</w:t>
        </w:r>
      </w:hyperlink>
      <w:r w:rsidRPr="004170C0">
        <w:rPr>
          <w:bCs/>
          <w:sz w:val="16"/>
          <w:szCs w:val="16"/>
        </w:rPr>
        <w:t>.</w:t>
      </w:r>
    </w:p>
    <w:p w14:paraId="64A83442" w14:textId="5CD6CB13" w:rsidR="00BC2537" w:rsidRPr="00AF11EE" w:rsidRDefault="00BC2537" w:rsidP="0017521E">
      <w:pPr>
        <w:jc w:val="center"/>
        <w:rPr>
          <w:sz w:val="16"/>
          <w:szCs w:val="16"/>
        </w:rPr>
      </w:pPr>
    </w:p>
    <w:sectPr w:rsidR="00BC2537" w:rsidRPr="00AF11EE">
      <w:headerReference w:type="default" r:id="rId12"/>
      <w:footerReference w:type="default" r:id="rId13"/>
      <w:headerReference w:type="first" r:id="rId14"/>
      <w:footerReference w:type="first" r:id="rId15"/>
      <w:pgSz w:w="11907" w:h="16839"/>
      <w:pgMar w:top="3600" w:right="1008" w:bottom="2880" w:left="1224" w:header="1800"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A42A6" w14:textId="77777777" w:rsidR="00482A03" w:rsidRDefault="00482A03">
      <w:pPr>
        <w:spacing w:after="0" w:line="240" w:lineRule="auto"/>
      </w:pPr>
      <w:r>
        <w:separator/>
      </w:r>
    </w:p>
  </w:endnote>
  <w:endnote w:type="continuationSeparator" w:id="0">
    <w:p w14:paraId="5B63CD9C" w14:textId="77777777" w:rsidR="00482A03" w:rsidRDefault="00482A03">
      <w:pPr>
        <w:spacing w:after="0" w:line="240" w:lineRule="auto"/>
      </w:pPr>
      <w:r>
        <w:continuationSeparator/>
      </w:r>
    </w:p>
  </w:endnote>
  <w:endnote w:type="continuationNotice" w:id="1">
    <w:p w14:paraId="3E466FF9" w14:textId="77777777" w:rsidR="00482A03" w:rsidRDefault="00482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00" w:type="dxa"/>
      <w:tblLayout w:type="fixed"/>
      <w:tblCellMar>
        <w:left w:w="0" w:type="dxa"/>
        <w:right w:w="0" w:type="dxa"/>
      </w:tblCellMar>
      <w:tblLook w:val="04A0" w:firstRow="1" w:lastRow="0" w:firstColumn="1" w:lastColumn="0" w:noHBand="0" w:noVBand="1"/>
    </w:tblPr>
    <w:tblGrid>
      <w:gridCol w:w="9000"/>
    </w:tblGrid>
    <w:tr w:rsidR="00C8277A" w:rsidRPr="005B2397" w14:paraId="2AD926AD" w14:textId="77777777" w:rsidTr="00B924E3">
      <w:trPr>
        <w:trHeight w:val="630"/>
      </w:trPr>
      <w:tc>
        <w:tcPr>
          <w:tcW w:w="8931" w:type="dxa"/>
          <w:vAlign w:val="bottom"/>
        </w:tcPr>
        <w:p w14:paraId="46F11C58" w14:textId="77777777" w:rsidR="00025C81" w:rsidRPr="00C8277A" w:rsidRDefault="001A4929" w:rsidP="00B924E3">
          <w:pPr>
            <w:pStyle w:val="Heading2"/>
            <w:rPr>
              <w:rFonts w:ascii="Arial" w:hAnsi="Arial" w:cs="Arial"/>
              <w:color w:val="000000" w:themeColor="text1"/>
            </w:rPr>
          </w:pPr>
          <w:r w:rsidRPr="00C8277A">
            <w:rPr>
              <w:rFonts w:ascii="Arial" w:hAnsi="Arial" w:cs="Arial"/>
              <w:color w:val="000000" w:themeColor="text1"/>
            </w:rPr>
            <w:t>Dodatkowe informacje:</w:t>
          </w:r>
        </w:p>
      </w:tc>
    </w:tr>
    <w:tr w:rsidR="00C8277A" w:rsidRPr="0097035C" w14:paraId="2F690183" w14:textId="77777777" w:rsidTr="00B924E3">
      <w:trPr>
        <w:trHeight w:val="1260"/>
      </w:trPr>
      <w:tc>
        <w:tcPr>
          <w:tcW w:w="8931" w:type="dxa"/>
        </w:tcPr>
        <w:tbl>
          <w:tblPr>
            <w:tblStyle w:val="PlainTable41"/>
            <w:tblW w:w="10095" w:type="dxa"/>
            <w:tblLayout w:type="fixed"/>
            <w:tblLook w:val="04A0" w:firstRow="1" w:lastRow="0" w:firstColumn="1" w:lastColumn="0" w:noHBand="0" w:noVBand="1"/>
          </w:tblPr>
          <w:tblGrid>
            <w:gridCol w:w="8564"/>
            <w:gridCol w:w="218"/>
            <w:gridCol w:w="218"/>
          </w:tblGrid>
          <w:tr w:rsidR="00C8277A" w:rsidRPr="0097035C" w14:paraId="73319B5E" w14:textId="77777777" w:rsidTr="00265F1D">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3467" w:type="dxa"/>
              </w:tcPr>
              <w:tbl>
                <w:tblPr>
                  <w:tblStyle w:val="TableGrid"/>
                  <w:tblW w:w="24344"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6"/>
                  <w:gridCol w:w="6086"/>
                  <w:gridCol w:w="6086"/>
                  <w:gridCol w:w="6086"/>
                </w:tblGrid>
                <w:tr w:rsidR="00C8277A" w:rsidRPr="0097035C" w14:paraId="32B5F073" w14:textId="77777777" w:rsidTr="00B77D91">
                  <w:trPr>
                    <w:trHeight w:val="738"/>
                  </w:trPr>
                  <w:tc>
                    <w:tcPr>
                      <w:tcW w:w="6086" w:type="dxa"/>
                    </w:tcPr>
                    <w:p w14:paraId="67AD71FE" w14:textId="02F68497" w:rsidR="00025C81" w:rsidRPr="009D1ABC" w:rsidRDefault="00AF11EE" w:rsidP="00B924E3">
                      <w:pPr>
                        <w:pStyle w:val="ContactName"/>
                        <w:spacing w:line="240" w:lineRule="auto"/>
                        <w:rPr>
                          <w:color w:val="696B6B"/>
                          <w:szCs w:val="18"/>
                          <w:u w:color="696B6B"/>
                          <w:lang w:val="en-US"/>
                        </w:rPr>
                      </w:pPr>
                      <w:r>
                        <w:rPr>
                          <w:color w:val="696B6B"/>
                          <w:szCs w:val="18"/>
                          <w:u w:color="696B6B"/>
                          <w:lang w:val="en-US"/>
                        </w:rPr>
                        <w:t xml:space="preserve">Karolina </w:t>
                      </w:r>
                      <w:proofErr w:type="spellStart"/>
                      <w:r>
                        <w:rPr>
                          <w:color w:val="696B6B"/>
                          <w:szCs w:val="18"/>
                          <w:u w:color="696B6B"/>
                          <w:lang w:val="en-US"/>
                        </w:rPr>
                        <w:t>Samczyńska-Fiślak</w:t>
                      </w:r>
                      <w:proofErr w:type="spellEnd"/>
                    </w:p>
                    <w:p w14:paraId="03FB117E" w14:textId="77777777" w:rsidR="00025C81" w:rsidRPr="009D1ABC" w:rsidRDefault="001A4929" w:rsidP="00B924E3">
                      <w:pPr>
                        <w:pStyle w:val="ContactName"/>
                        <w:spacing w:line="240" w:lineRule="auto"/>
                        <w:rPr>
                          <w:b w:val="0"/>
                          <w:bCs w:val="0"/>
                          <w:color w:val="696B6B"/>
                          <w:szCs w:val="18"/>
                          <w:u w:color="696B6B"/>
                          <w:lang w:val="en-US"/>
                        </w:rPr>
                      </w:pPr>
                      <w:r w:rsidRPr="009D1ABC">
                        <w:rPr>
                          <w:b w:val="0"/>
                          <w:bCs w:val="0"/>
                          <w:color w:val="696B6B"/>
                          <w:szCs w:val="18"/>
                          <w:u w:color="696B6B"/>
                          <w:lang w:val="en-US"/>
                        </w:rPr>
                        <w:t xml:space="preserve">Cushman &amp; Wakefield </w:t>
                      </w:r>
                    </w:p>
                    <w:p w14:paraId="51DAB7AF" w14:textId="799868C8" w:rsidR="00025C81" w:rsidRPr="009D1ABC" w:rsidRDefault="001A4929" w:rsidP="00B924E3">
                      <w:pPr>
                        <w:rPr>
                          <w:rFonts w:ascii="Calibri" w:eastAsia="Times New Roman" w:hAnsi="Calibri"/>
                          <w:sz w:val="18"/>
                          <w:szCs w:val="18"/>
                        </w:rPr>
                      </w:pPr>
                      <w:r w:rsidRPr="009D1ABC">
                        <w:rPr>
                          <w:rFonts w:ascii="Calibri" w:hAnsi="Calibri"/>
                          <w:color w:val="696B6B"/>
                          <w:sz w:val="18"/>
                          <w:szCs w:val="18"/>
                          <w:u w:color="696B6B"/>
                        </w:rPr>
                        <w:t xml:space="preserve">Tel: + 48 22 820 20 20; </w:t>
                      </w:r>
                      <w:r w:rsidR="00AF11EE" w:rsidRPr="00AF11EE">
                        <w:rPr>
                          <w:rFonts w:ascii="Calibri" w:hAnsi="Calibri"/>
                          <w:color w:val="696B6B"/>
                          <w:sz w:val="18"/>
                          <w:szCs w:val="18"/>
                          <w:u w:color="696B6B"/>
                        </w:rPr>
                        <w:t>691</w:t>
                      </w:r>
                      <w:r w:rsidR="00AF11EE">
                        <w:rPr>
                          <w:rFonts w:ascii="Calibri" w:hAnsi="Calibri"/>
                          <w:color w:val="696B6B"/>
                          <w:sz w:val="18"/>
                          <w:szCs w:val="18"/>
                          <w:u w:color="696B6B"/>
                        </w:rPr>
                        <w:t> </w:t>
                      </w:r>
                      <w:r w:rsidR="00AF11EE" w:rsidRPr="00AF11EE">
                        <w:rPr>
                          <w:rFonts w:ascii="Calibri" w:hAnsi="Calibri"/>
                          <w:color w:val="696B6B"/>
                          <w:sz w:val="18"/>
                          <w:szCs w:val="18"/>
                          <w:u w:color="696B6B"/>
                        </w:rPr>
                        <w:t>060</w:t>
                      </w:r>
                      <w:r w:rsidR="00AF11EE">
                        <w:rPr>
                          <w:rFonts w:ascii="Calibri" w:hAnsi="Calibri"/>
                          <w:color w:val="696B6B"/>
                          <w:sz w:val="18"/>
                          <w:szCs w:val="18"/>
                          <w:u w:color="696B6B"/>
                        </w:rPr>
                        <w:t xml:space="preserve"> </w:t>
                      </w:r>
                      <w:r w:rsidR="00AF11EE" w:rsidRPr="00AF11EE">
                        <w:rPr>
                          <w:rFonts w:ascii="Calibri" w:hAnsi="Calibri"/>
                          <w:color w:val="696B6B"/>
                          <w:sz w:val="18"/>
                          <w:szCs w:val="18"/>
                          <w:u w:color="696B6B"/>
                        </w:rPr>
                        <w:t>202</w:t>
                      </w:r>
                    </w:p>
                    <w:p w14:paraId="4EC59528" w14:textId="77777777" w:rsidR="00025C81" w:rsidRPr="009D1ABC" w:rsidRDefault="001A4929" w:rsidP="00B924E3">
                      <w:pPr>
                        <w:pStyle w:val="ContactName"/>
                        <w:tabs>
                          <w:tab w:val="right" w:pos="4688"/>
                        </w:tabs>
                        <w:spacing w:line="240" w:lineRule="auto"/>
                        <w:rPr>
                          <w:color w:val="696B6B"/>
                          <w:u w:color="696B6B"/>
                          <w:lang w:val="de-DE"/>
                        </w:rPr>
                      </w:pPr>
                      <w:r w:rsidRPr="009D1ABC">
                        <w:rPr>
                          <w:color w:val="696B6B"/>
                          <w:u w:color="696B6B"/>
                          <w:lang w:val="de-DE"/>
                        </w:rPr>
                        <w:t xml:space="preserve">e-mail: </w:t>
                      </w:r>
                      <w:hyperlink r:id="rId1" w:history="1">
                        <w:r w:rsidRPr="009D1ABC">
                          <w:rPr>
                            <w:rStyle w:val="Hyperlink0"/>
                            <w:lang w:val="de-AT"/>
                          </w:rPr>
                          <w:t>media.poland@cushwake.pl</w:t>
                        </w:r>
                      </w:hyperlink>
                    </w:p>
                  </w:tc>
                  <w:tc>
                    <w:tcPr>
                      <w:tcW w:w="6086" w:type="dxa"/>
                    </w:tcPr>
                    <w:p w14:paraId="0CF7FE8B" w14:textId="77777777" w:rsidR="00025C81" w:rsidRPr="009D1ABC" w:rsidRDefault="00025C81" w:rsidP="00B924E3">
                      <w:pPr>
                        <w:pStyle w:val="ContactDetail"/>
                        <w:spacing w:line="240" w:lineRule="auto"/>
                        <w:rPr>
                          <w:color w:val="696B6B"/>
                          <w:u w:color="696B6B"/>
                          <w:lang w:val="de-DE"/>
                        </w:rPr>
                      </w:pPr>
                    </w:p>
                  </w:tc>
                  <w:tc>
                    <w:tcPr>
                      <w:tcW w:w="6086" w:type="dxa"/>
                    </w:tcPr>
                    <w:p w14:paraId="20ECDA43" w14:textId="77777777" w:rsidR="00025C81" w:rsidRPr="00167436" w:rsidRDefault="00025C81" w:rsidP="00B924E3">
                      <w:pPr>
                        <w:pStyle w:val="ContactName"/>
                        <w:spacing w:line="240" w:lineRule="auto"/>
                        <w:rPr>
                          <w:rStyle w:val="Brak"/>
                          <w:color w:val="696B6B"/>
                          <w:u w:color="696B6B"/>
                          <w:lang w:val="de-DE"/>
                        </w:rPr>
                      </w:pPr>
                    </w:p>
                  </w:tc>
                  <w:tc>
                    <w:tcPr>
                      <w:tcW w:w="6086" w:type="dxa"/>
                    </w:tcPr>
                    <w:p w14:paraId="397E05EC" w14:textId="77777777" w:rsidR="00025C81" w:rsidRPr="00167436" w:rsidRDefault="00025C81" w:rsidP="00B924E3">
                      <w:pPr>
                        <w:pStyle w:val="ContactName"/>
                        <w:spacing w:line="240" w:lineRule="auto"/>
                        <w:rPr>
                          <w:rStyle w:val="Brak"/>
                          <w:color w:val="696B6B"/>
                          <w:u w:color="696B6B"/>
                          <w:lang w:val="de-DE"/>
                        </w:rPr>
                      </w:pPr>
                    </w:p>
                  </w:tc>
                </w:tr>
              </w:tbl>
              <w:p w14:paraId="08D62AB9" w14:textId="77777777" w:rsidR="00025C81" w:rsidRPr="009D1ABC" w:rsidRDefault="00025C81" w:rsidP="00B924E3">
                <w:pPr>
                  <w:pStyle w:val="ContactDetail"/>
                  <w:rPr>
                    <w:rFonts w:asciiTheme="minorHAnsi" w:hAnsiTheme="minorHAnsi" w:cstheme="minorHAnsi"/>
                    <w:color w:val="000000" w:themeColor="text1"/>
                    <w:lang w:val="es-ES_tradnl"/>
                  </w:rPr>
                </w:pPr>
              </w:p>
            </w:tc>
            <w:tc>
              <w:tcPr>
                <w:tcW w:w="3763" w:type="dxa"/>
              </w:tcPr>
              <w:p w14:paraId="4ED69CDE" w14:textId="77777777" w:rsidR="00025C81" w:rsidRPr="007B2741" w:rsidRDefault="00025C81" w:rsidP="00580984">
                <w:pPr>
                  <w:pStyle w:val="ContactDetail"/>
                  <w:spacing w:line="240" w:lineRule="auto"/>
                  <w:cnfStyle w:val="100000000000" w:firstRow="1" w:lastRow="0" w:firstColumn="0" w:lastColumn="0" w:oddVBand="0" w:evenVBand="0" w:oddHBand="0" w:evenHBand="0" w:firstRowFirstColumn="0" w:firstRowLastColumn="0" w:lastRowFirstColumn="0" w:lastRowLastColumn="0"/>
                  <w:rPr>
                    <w:rStyle w:val="Brak"/>
                    <w:color w:val="696B6B"/>
                    <w:u w:color="696B6B"/>
                    <w:lang w:val="en-US"/>
                  </w:rPr>
                </w:pPr>
              </w:p>
            </w:tc>
            <w:tc>
              <w:tcPr>
                <w:tcW w:w="2865" w:type="dxa"/>
              </w:tcPr>
              <w:p w14:paraId="1A4CBD3A" w14:textId="77777777" w:rsidR="00025C81" w:rsidRPr="007B2741" w:rsidRDefault="00025C81" w:rsidP="00B924E3">
                <w:pPr>
                  <w:pStyle w:val="ContactDetail"/>
                  <w:spacing w:line="240" w:lineRule="auto"/>
                  <w:cnfStyle w:val="100000000000" w:firstRow="1" w:lastRow="0" w:firstColumn="0" w:lastColumn="0" w:oddVBand="0" w:evenVBand="0" w:oddHBand="0" w:evenHBand="0" w:firstRowFirstColumn="0" w:firstRowLastColumn="0" w:lastRowFirstColumn="0" w:lastRowLastColumn="0"/>
                  <w:rPr>
                    <w:lang w:val="en-US"/>
                  </w:rPr>
                </w:pPr>
              </w:p>
              <w:p w14:paraId="0D0425FA" w14:textId="77777777" w:rsidR="00025C81" w:rsidRPr="007B2741" w:rsidRDefault="00025C81" w:rsidP="00B924E3">
                <w:pPr>
                  <w:pStyle w:val="ContactDetai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US"/>
                  </w:rPr>
                </w:pPr>
              </w:p>
            </w:tc>
          </w:tr>
        </w:tbl>
        <w:p w14:paraId="51226427" w14:textId="794B06BC" w:rsidR="00025C81" w:rsidRPr="007B2741" w:rsidRDefault="00025C81" w:rsidP="00B924E3">
          <w:pPr>
            <w:pStyle w:val="ContactDetail"/>
            <w:rPr>
              <w:rFonts w:asciiTheme="minorHAnsi" w:hAnsiTheme="minorHAnsi" w:cstheme="minorHAnsi"/>
              <w:color w:val="000000" w:themeColor="text1"/>
              <w:lang w:val="en-US"/>
            </w:rPr>
          </w:pPr>
        </w:p>
      </w:tc>
    </w:tr>
  </w:tbl>
  <w:p w14:paraId="6A6BD428" w14:textId="77777777" w:rsidR="00025C81" w:rsidRPr="007B2741" w:rsidRDefault="00025C81">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44E79" w14:textId="77777777" w:rsidR="00025C81" w:rsidRDefault="00025C81">
    <w:pPr>
      <w:widowControl w:val="0"/>
      <w:pBdr>
        <w:top w:val="nil"/>
        <w:left w:val="nil"/>
        <w:bottom w:val="nil"/>
        <w:right w:val="nil"/>
        <w:between w:val="nil"/>
      </w:pBdr>
      <w:spacing w:after="0"/>
      <w:rPr>
        <w:color w:val="000000"/>
      </w:rPr>
    </w:pPr>
  </w:p>
  <w:tbl>
    <w:tblPr>
      <w:tblW w:w="9000" w:type="dxa"/>
      <w:tblLayout w:type="fixed"/>
      <w:tblLook w:val="0400" w:firstRow="0" w:lastRow="0" w:firstColumn="0" w:lastColumn="0" w:noHBand="0" w:noVBand="1"/>
    </w:tblPr>
    <w:tblGrid>
      <w:gridCol w:w="5670"/>
      <w:gridCol w:w="3330"/>
    </w:tblGrid>
    <w:tr w:rsidR="00F67554" w14:paraId="57A23F18" w14:textId="77777777">
      <w:trPr>
        <w:trHeight w:val="630"/>
      </w:trPr>
      <w:tc>
        <w:tcPr>
          <w:tcW w:w="5670" w:type="dxa"/>
          <w:vAlign w:val="bottom"/>
        </w:tcPr>
        <w:p w14:paraId="00233554" w14:textId="77777777" w:rsidR="00025C81" w:rsidRDefault="001A4929">
          <w:pPr>
            <w:pStyle w:val="Heading2"/>
            <w:rPr>
              <w:rFonts w:ascii="Arial" w:eastAsia="Arial" w:hAnsi="Arial" w:cs="Arial"/>
              <w:color w:val="696B6B"/>
            </w:rPr>
          </w:pPr>
          <w:r>
            <w:rPr>
              <w:rFonts w:ascii="Arial" w:eastAsia="Arial" w:hAnsi="Arial" w:cs="Arial"/>
              <w:color w:val="696B6B"/>
            </w:rPr>
            <w:t xml:space="preserve">Media </w:t>
          </w:r>
          <w:proofErr w:type="spellStart"/>
          <w:r>
            <w:rPr>
              <w:rFonts w:ascii="Arial" w:eastAsia="Arial" w:hAnsi="Arial" w:cs="Arial"/>
              <w:color w:val="696B6B"/>
            </w:rPr>
            <w:t>Contact</w:t>
          </w:r>
          <w:proofErr w:type="spellEnd"/>
          <w:r>
            <w:rPr>
              <w:rFonts w:ascii="Arial" w:eastAsia="Arial" w:hAnsi="Arial" w:cs="Arial"/>
              <w:color w:val="696B6B"/>
            </w:rPr>
            <w:t>:</w:t>
          </w:r>
        </w:p>
      </w:tc>
      <w:tc>
        <w:tcPr>
          <w:tcW w:w="3330" w:type="dxa"/>
          <w:vAlign w:val="bottom"/>
        </w:tcPr>
        <w:p w14:paraId="61C181ED" w14:textId="77777777" w:rsidR="00025C81" w:rsidRDefault="00025C81">
          <w:pPr>
            <w:spacing w:after="100" w:line="240" w:lineRule="auto"/>
            <w:rPr>
              <w:b/>
              <w:color w:val="696B6B"/>
              <w:sz w:val="18"/>
              <w:szCs w:val="18"/>
            </w:rPr>
          </w:pPr>
        </w:p>
      </w:tc>
    </w:tr>
    <w:tr w:rsidR="00F67554" w:rsidRPr="0097035C" w14:paraId="17458FA5" w14:textId="77777777">
      <w:trPr>
        <w:trHeight w:val="1260"/>
      </w:trPr>
      <w:tc>
        <w:tcPr>
          <w:tcW w:w="5670" w:type="dxa"/>
          <w:vAlign w:val="bottom"/>
        </w:tcPr>
        <w:p w14:paraId="065B4F91" w14:textId="77777777" w:rsidR="00025C81" w:rsidRPr="00C8277A" w:rsidRDefault="001A4929">
          <w:pPr>
            <w:keepNext/>
            <w:keepLines/>
            <w:pBdr>
              <w:top w:val="nil"/>
              <w:left w:val="nil"/>
              <w:bottom w:val="nil"/>
              <w:right w:val="nil"/>
              <w:between w:val="nil"/>
            </w:pBdr>
            <w:spacing w:after="0"/>
            <w:rPr>
              <w:b/>
              <w:color w:val="696B6B"/>
              <w:sz w:val="18"/>
              <w:szCs w:val="18"/>
              <w:lang w:val="en-GB"/>
            </w:rPr>
          </w:pPr>
          <w:r w:rsidRPr="00C8277A">
            <w:rPr>
              <w:b/>
              <w:color w:val="696B6B"/>
              <w:sz w:val="18"/>
              <w:szCs w:val="18"/>
              <w:lang w:val="en-GB"/>
            </w:rPr>
            <w:t>Name</w:t>
          </w:r>
        </w:p>
        <w:p w14:paraId="78082AF7"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Title</w:t>
          </w:r>
        </w:p>
        <w:p w14:paraId="6C6535E5"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+1 000 000 0000</w:t>
          </w:r>
        </w:p>
        <w:p w14:paraId="01D18F40" w14:textId="7E1FEC25" w:rsidR="00025C81" w:rsidRPr="00C8277A" w:rsidRDefault="00B77D91">
          <w:pPr>
            <w:pBdr>
              <w:top w:val="nil"/>
              <w:left w:val="nil"/>
              <w:bottom w:val="nil"/>
              <w:right w:val="nil"/>
              <w:between w:val="nil"/>
            </w:pBdr>
            <w:spacing w:after="0"/>
            <w:rPr>
              <w:color w:val="696B6B"/>
              <w:sz w:val="18"/>
              <w:szCs w:val="18"/>
              <w:lang w:val="en-GB"/>
            </w:rPr>
          </w:pPr>
          <w:r>
            <w:fldChar w:fldCharType="begin"/>
          </w:r>
          <w:r w:rsidRPr="0097035C">
            <w:rPr>
              <w:lang w:val="en-US"/>
            </w:rPr>
            <w:instrText>HYPERLINK "mailto:first.last@cushwake.com"</w:instrText>
          </w:r>
          <w:r>
            <w:fldChar w:fldCharType="separate"/>
          </w:r>
          <w:r w:rsidRPr="00D4241D">
            <w:rPr>
              <w:rStyle w:val="Hyperlink"/>
              <w:sz w:val="18"/>
              <w:szCs w:val="18"/>
              <w:lang w:val="en-GB"/>
            </w:rPr>
            <w:t>first.last@cushwake.com</w:t>
          </w:r>
          <w:r>
            <w:rPr>
              <w:rStyle w:val="Hyperlink"/>
              <w:sz w:val="18"/>
              <w:szCs w:val="18"/>
              <w:lang w:val="en-GB"/>
            </w:rPr>
            <w:fldChar w:fldCharType="end"/>
          </w:r>
          <w:r w:rsidR="001A4929" w:rsidRPr="00C8277A">
            <w:rPr>
              <w:color w:val="696B6B"/>
              <w:sz w:val="18"/>
              <w:szCs w:val="18"/>
              <w:lang w:val="en-GB"/>
            </w:rPr>
            <w:t xml:space="preserve"> </w:t>
          </w:r>
        </w:p>
      </w:tc>
      <w:tc>
        <w:tcPr>
          <w:tcW w:w="3330" w:type="dxa"/>
          <w:vAlign w:val="bottom"/>
        </w:tcPr>
        <w:p w14:paraId="5F7143DE" w14:textId="77777777" w:rsidR="00025C81" w:rsidRPr="00C8277A" w:rsidRDefault="00025C81">
          <w:pPr>
            <w:pBdr>
              <w:top w:val="nil"/>
              <w:left w:val="nil"/>
              <w:bottom w:val="nil"/>
              <w:right w:val="nil"/>
              <w:between w:val="nil"/>
            </w:pBdr>
            <w:spacing w:after="0"/>
            <w:rPr>
              <w:color w:val="696B6B"/>
              <w:sz w:val="18"/>
              <w:szCs w:val="18"/>
              <w:lang w:val="en-GB"/>
            </w:rPr>
          </w:pPr>
        </w:p>
      </w:tc>
    </w:tr>
  </w:tbl>
  <w:p w14:paraId="62A457F3" w14:textId="77777777" w:rsidR="00025C81" w:rsidRPr="00C8277A" w:rsidRDefault="00025C81">
    <w:pPr>
      <w:pBdr>
        <w:top w:val="nil"/>
        <w:left w:val="nil"/>
        <w:bottom w:val="nil"/>
        <w:right w:val="nil"/>
        <w:between w:val="nil"/>
      </w:pBdr>
      <w:tabs>
        <w:tab w:val="center" w:pos="4680"/>
        <w:tab w:val="right" w:pos="9360"/>
      </w:tabs>
      <w:spacing w:after="0" w:line="240" w:lineRule="auto"/>
      <w:rPr>
        <w:color w:val="00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6A4C5" w14:textId="77777777" w:rsidR="00482A03" w:rsidRDefault="00482A03">
      <w:pPr>
        <w:spacing w:after="0" w:line="240" w:lineRule="auto"/>
      </w:pPr>
      <w:r>
        <w:separator/>
      </w:r>
    </w:p>
  </w:footnote>
  <w:footnote w:type="continuationSeparator" w:id="0">
    <w:p w14:paraId="18F4CA94" w14:textId="77777777" w:rsidR="00482A03" w:rsidRDefault="00482A03">
      <w:pPr>
        <w:spacing w:after="0" w:line="240" w:lineRule="auto"/>
      </w:pPr>
      <w:r>
        <w:continuationSeparator/>
      </w:r>
    </w:p>
  </w:footnote>
  <w:footnote w:type="continuationNotice" w:id="1">
    <w:p w14:paraId="2D3FBEE5" w14:textId="77777777" w:rsidR="00482A03" w:rsidRDefault="00482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7E98D"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14:anchorId="36384EC7" wp14:editId="2933026F">
          <wp:simplePos x="0" y="0"/>
          <wp:positionH relativeFrom="column">
            <wp:posOffset>43133</wp:posOffset>
          </wp:positionH>
          <wp:positionV relativeFrom="paragraph">
            <wp:posOffset>-154975</wp:posOffset>
          </wp:positionV>
          <wp:extent cx="1933575" cy="4076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F1D7A"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0288" behindDoc="0" locked="0" layoutInCell="1" hidden="0" allowOverlap="1" wp14:anchorId="24F12382" wp14:editId="51EBFB22">
          <wp:simplePos x="0" y="0"/>
          <wp:positionH relativeFrom="column">
            <wp:posOffset>3811</wp:posOffset>
          </wp:positionH>
          <wp:positionV relativeFrom="paragraph">
            <wp:posOffset>-201294</wp:posOffset>
          </wp:positionV>
          <wp:extent cx="1933575" cy="4076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968"/>
    <w:multiLevelType w:val="hybridMultilevel"/>
    <w:tmpl w:val="C66CC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14EDF"/>
    <w:multiLevelType w:val="hybridMultilevel"/>
    <w:tmpl w:val="FA1236A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6922B5"/>
    <w:multiLevelType w:val="hybridMultilevel"/>
    <w:tmpl w:val="EEF01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A974D6"/>
    <w:multiLevelType w:val="hybridMultilevel"/>
    <w:tmpl w:val="4D4E3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6553438">
    <w:abstractNumId w:val="3"/>
  </w:num>
  <w:num w:numId="2" w16cid:durableId="1044217238">
    <w:abstractNumId w:val="0"/>
  </w:num>
  <w:num w:numId="3" w16cid:durableId="1344088390">
    <w:abstractNumId w:val="2"/>
  </w:num>
  <w:num w:numId="4" w16cid:durableId="131460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2D"/>
    <w:rsid w:val="00001D62"/>
    <w:rsid w:val="00003988"/>
    <w:rsid w:val="00005FD5"/>
    <w:rsid w:val="00007243"/>
    <w:rsid w:val="00013F59"/>
    <w:rsid w:val="000203A2"/>
    <w:rsid w:val="000251E4"/>
    <w:rsid w:val="00025C81"/>
    <w:rsid w:val="00027F57"/>
    <w:rsid w:val="0003245E"/>
    <w:rsid w:val="00035A36"/>
    <w:rsid w:val="00037593"/>
    <w:rsid w:val="00040FBF"/>
    <w:rsid w:val="00044C5B"/>
    <w:rsid w:val="000621C1"/>
    <w:rsid w:val="000666EE"/>
    <w:rsid w:val="00067FD0"/>
    <w:rsid w:val="000700E2"/>
    <w:rsid w:val="000720F5"/>
    <w:rsid w:val="0008371E"/>
    <w:rsid w:val="00083F43"/>
    <w:rsid w:val="00086A48"/>
    <w:rsid w:val="00086C80"/>
    <w:rsid w:val="00086F64"/>
    <w:rsid w:val="0008772D"/>
    <w:rsid w:val="00087CCB"/>
    <w:rsid w:val="00092C27"/>
    <w:rsid w:val="00093540"/>
    <w:rsid w:val="00096548"/>
    <w:rsid w:val="000A54A7"/>
    <w:rsid w:val="000A5B38"/>
    <w:rsid w:val="000A622E"/>
    <w:rsid w:val="000B142D"/>
    <w:rsid w:val="000B29DE"/>
    <w:rsid w:val="000B57CB"/>
    <w:rsid w:val="000C30AD"/>
    <w:rsid w:val="000C4210"/>
    <w:rsid w:val="000C4294"/>
    <w:rsid w:val="000C585C"/>
    <w:rsid w:val="000D4656"/>
    <w:rsid w:val="000D5790"/>
    <w:rsid w:val="000D5FED"/>
    <w:rsid w:val="000D68FD"/>
    <w:rsid w:val="000D7839"/>
    <w:rsid w:val="000E71D0"/>
    <w:rsid w:val="000F55F6"/>
    <w:rsid w:val="000F64E0"/>
    <w:rsid w:val="000F7964"/>
    <w:rsid w:val="001013AF"/>
    <w:rsid w:val="001062D1"/>
    <w:rsid w:val="00111135"/>
    <w:rsid w:val="0011356F"/>
    <w:rsid w:val="001141D8"/>
    <w:rsid w:val="001146DD"/>
    <w:rsid w:val="00114AF8"/>
    <w:rsid w:val="0011559A"/>
    <w:rsid w:val="0012061A"/>
    <w:rsid w:val="00122668"/>
    <w:rsid w:val="00124F62"/>
    <w:rsid w:val="001265DC"/>
    <w:rsid w:val="00132CB9"/>
    <w:rsid w:val="00132F07"/>
    <w:rsid w:val="00140D8B"/>
    <w:rsid w:val="00144415"/>
    <w:rsid w:val="00150F3F"/>
    <w:rsid w:val="0015215D"/>
    <w:rsid w:val="00156F9C"/>
    <w:rsid w:val="001635F6"/>
    <w:rsid w:val="00166861"/>
    <w:rsid w:val="00166F71"/>
    <w:rsid w:val="00167436"/>
    <w:rsid w:val="00174EBA"/>
    <w:rsid w:val="0017521E"/>
    <w:rsid w:val="00175FB4"/>
    <w:rsid w:val="00182C4F"/>
    <w:rsid w:val="00184C32"/>
    <w:rsid w:val="00185967"/>
    <w:rsid w:val="0018688B"/>
    <w:rsid w:val="00190FB3"/>
    <w:rsid w:val="001A4929"/>
    <w:rsid w:val="001A56D9"/>
    <w:rsid w:val="001B5F5F"/>
    <w:rsid w:val="001B5FA0"/>
    <w:rsid w:val="001B7AE3"/>
    <w:rsid w:val="001C0591"/>
    <w:rsid w:val="001C59AB"/>
    <w:rsid w:val="001C7005"/>
    <w:rsid w:val="001D08F3"/>
    <w:rsid w:val="001D401E"/>
    <w:rsid w:val="001E06FB"/>
    <w:rsid w:val="001E0E42"/>
    <w:rsid w:val="001E16E8"/>
    <w:rsid w:val="001E3C79"/>
    <w:rsid w:val="001E4E45"/>
    <w:rsid w:val="001E56EB"/>
    <w:rsid w:val="001F406E"/>
    <w:rsid w:val="001F7E37"/>
    <w:rsid w:val="00204C52"/>
    <w:rsid w:val="00206001"/>
    <w:rsid w:val="002117B9"/>
    <w:rsid w:val="002125FE"/>
    <w:rsid w:val="00212E0F"/>
    <w:rsid w:val="00217BD6"/>
    <w:rsid w:val="00223559"/>
    <w:rsid w:val="002240B1"/>
    <w:rsid w:val="00236B04"/>
    <w:rsid w:val="00237D2B"/>
    <w:rsid w:val="002426EF"/>
    <w:rsid w:val="0024400C"/>
    <w:rsid w:val="0024604F"/>
    <w:rsid w:val="00246115"/>
    <w:rsid w:val="0024721C"/>
    <w:rsid w:val="00251824"/>
    <w:rsid w:val="00251F00"/>
    <w:rsid w:val="002520B6"/>
    <w:rsid w:val="00254581"/>
    <w:rsid w:val="00257ED3"/>
    <w:rsid w:val="0026004F"/>
    <w:rsid w:val="00260C7D"/>
    <w:rsid w:val="00261AA0"/>
    <w:rsid w:val="00265F1D"/>
    <w:rsid w:val="0026615D"/>
    <w:rsid w:val="002730A2"/>
    <w:rsid w:val="00275982"/>
    <w:rsid w:val="00275F1E"/>
    <w:rsid w:val="00275FDC"/>
    <w:rsid w:val="0028046B"/>
    <w:rsid w:val="002818E1"/>
    <w:rsid w:val="00281BFB"/>
    <w:rsid w:val="0028223D"/>
    <w:rsid w:val="00282FB7"/>
    <w:rsid w:val="00284E92"/>
    <w:rsid w:val="00285282"/>
    <w:rsid w:val="00286DC7"/>
    <w:rsid w:val="00293086"/>
    <w:rsid w:val="00293E07"/>
    <w:rsid w:val="00293ED2"/>
    <w:rsid w:val="002958EB"/>
    <w:rsid w:val="0029652C"/>
    <w:rsid w:val="002967FF"/>
    <w:rsid w:val="002A197E"/>
    <w:rsid w:val="002A37FC"/>
    <w:rsid w:val="002A43B7"/>
    <w:rsid w:val="002B381B"/>
    <w:rsid w:val="002B4716"/>
    <w:rsid w:val="002B6B39"/>
    <w:rsid w:val="002C06D5"/>
    <w:rsid w:val="002C1DFF"/>
    <w:rsid w:val="002C480C"/>
    <w:rsid w:val="002C4D11"/>
    <w:rsid w:val="002C5887"/>
    <w:rsid w:val="002D0B42"/>
    <w:rsid w:val="002D4EC6"/>
    <w:rsid w:val="002D5829"/>
    <w:rsid w:val="002D7779"/>
    <w:rsid w:val="002D77C8"/>
    <w:rsid w:val="002E0BB0"/>
    <w:rsid w:val="002E1729"/>
    <w:rsid w:val="002E2D30"/>
    <w:rsid w:val="002E5EC8"/>
    <w:rsid w:val="002E7F16"/>
    <w:rsid w:val="002F0666"/>
    <w:rsid w:val="002F08E1"/>
    <w:rsid w:val="002F0F48"/>
    <w:rsid w:val="002F447F"/>
    <w:rsid w:val="00300BC4"/>
    <w:rsid w:val="00300F2D"/>
    <w:rsid w:val="00302886"/>
    <w:rsid w:val="00306BFA"/>
    <w:rsid w:val="00310D2A"/>
    <w:rsid w:val="0032157F"/>
    <w:rsid w:val="0032389F"/>
    <w:rsid w:val="003370A1"/>
    <w:rsid w:val="0034418D"/>
    <w:rsid w:val="00345D04"/>
    <w:rsid w:val="00345D09"/>
    <w:rsid w:val="00352EDA"/>
    <w:rsid w:val="0035396B"/>
    <w:rsid w:val="00355174"/>
    <w:rsid w:val="00364117"/>
    <w:rsid w:val="00366B8B"/>
    <w:rsid w:val="00371AFD"/>
    <w:rsid w:val="00374DB8"/>
    <w:rsid w:val="00385CB8"/>
    <w:rsid w:val="00385CE5"/>
    <w:rsid w:val="0038604F"/>
    <w:rsid w:val="00387CAF"/>
    <w:rsid w:val="003936DF"/>
    <w:rsid w:val="0039770F"/>
    <w:rsid w:val="003A24D4"/>
    <w:rsid w:val="003A3068"/>
    <w:rsid w:val="003A693E"/>
    <w:rsid w:val="003A6A24"/>
    <w:rsid w:val="003A70E2"/>
    <w:rsid w:val="003B0F97"/>
    <w:rsid w:val="003B2048"/>
    <w:rsid w:val="003B3560"/>
    <w:rsid w:val="003B78C7"/>
    <w:rsid w:val="003C1BBA"/>
    <w:rsid w:val="003C1E58"/>
    <w:rsid w:val="003C5B29"/>
    <w:rsid w:val="003C791A"/>
    <w:rsid w:val="003E003A"/>
    <w:rsid w:val="003E0201"/>
    <w:rsid w:val="003E3F99"/>
    <w:rsid w:val="003E406F"/>
    <w:rsid w:val="003F4AAD"/>
    <w:rsid w:val="003F60EA"/>
    <w:rsid w:val="004001BC"/>
    <w:rsid w:val="00403626"/>
    <w:rsid w:val="00410D62"/>
    <w:rsid w:val="004112C0"/>
    <w:rsid w:val="0042183C"/>
    <w:rsid w:val="0042255F"/>
    <w:rsid w:val="004329C4"/>
    <w:rsid w:val="00432ACA"/>
    <w:rsid w:val="0043767F"/>
    <w:rsid w:val="00440D65"/>
    <w:rsid w:val="00443EFE"/>
    <w:rsid w:val="00451C25"/>
    <w:rsid w:val="00452FD6"/>
    <w:rsid w:val="00454311"/>
    <w:rsid w:val="00457545"/>
    <w:rsid w:val="00461B2F"/>
    <w:rsid w:val="00462B62"/>
    <w:rsid w:val="00464434"/>
    <w:rsid w:val="00464B72"/>
    <w:rsid w:val="00466300"/>
    <w:rsid w:val="00466ABC"/>
    <w:rsid w:val="004678CA"/>
    <w:rsid w:val="00471A22"/>
    <w:rsid w:val="00482A03"/>
    <w:rsid w:val="004900F3"/>
    <w:rsid w:val="00490581"/>
    <w:rsid w:val="00491EA1"/>
    <w:rsid w:val="0049367E"/>
    <w:rsid w:val="00497908"/>
    <w:rsid w:val="004A01E8"/>
    <w:rsid w:val="004A5B66"/>
    <w:rsid w:val="004B0979"/>
    <w:rsid w:val="004B3D1A"/>
    <w:rsid w:val="004B5A43"/>
    <w:rsid w:val="004C2C37"/>
    <w:rsid w:val="004D07CC"/>
    <w:rsid w:val="004D16D5"/>
    <w:rsid w:val="004D62D2"/>
    <w:rsid w:val="004D68AD"/>
    <w:rsid w:val="004D6A3C"/>
    <w:rsid w:val="004D7C3B"/>
    <w:rsid w:val="004E0237"/>
    <w:rsid w:val="004E0A16"/>
    <w:rsid w:val="004E46E9"/>
    <w:rsid w:val="004E5A7E"/>
    <w:rsid w:val="004E7185"/>
    <w:rsid w:val="004F64D6"/>
    <w:rsid w:val="00502E72"/>
    <w:rsid w:val="0050412F"/>
    <w:rsid w:val="00512047"/>
    <w:rsid w:val="00512ADF"/>
    <w:rsid w:val="0051329D"/>
    <w:rsid w:val="005136A0"/>
    <w:rsid w:val="0051644B"/>
    <w:rsid w:val="00517B59"/>
    <w:rsid w:val="00520076"/>
    <w:rsid w:val="005229AB"/>
    <w:rsid w:val="00531CF4"/>
    <w:rsid w:val="00531D93"/>
    <w:rsid w:val="005323BE"/>
    <w:rsid w:val="005352C0"/>
    <w:rsid w:val="005369D7"/>
    <w:rsid w:val="00537747"/>
    <w:rsid w:val="00541459"/>
    <w:rsid w:val="00541512"/>
    <w:rsid w:val="00541D5B"/>
    <w:rsid w:val="00550E80"/>
    <w:rsid w:val="00552477"/>
    <w:rsid w:val="00552FCF"/>
    <w:rsid w:val="0055434C"/>
    <w:rsid w:val="00561829"/>
    <w:rsid w:val="005631C3"/>
    <w:rsid w:val="00566AB7"/>
    <w:rsid w:val="00577005"/>
    <w:rsid w:val="00580984"/>
    <w:rsid w:val="00580A25"/>
    <w:rsid w:val="0058421C"/>
    <w:rsid w:val="00585A4F"/>
    <w:rsid w:val="005860D9"/>
    <w:rsid w:val="005878DD"/>
    <w:rsid w:val="00591DBB"/>
    <w:rsid w:val="00592299"/>
    <w:rsid w:val="00592D9C"/>
    <w:rsid w:val="005A3A4C"/>
    <w:rsid w:val="005A4560"/>
    <w:rsid w:val="005B4D77"/>
    <w:rsid w:val="005C01D2"/>
    <w:rsid w:val="005C2765"/>
    <w:rsid w:val="005C3C3C"/>
    <w:rsid w:val="005C4360"/>
    <w:rsid w:val="005C6332"/>
    <w:rsid w:val="005C6C24"/>
    <w:rsid w:val="005C72CD"/>
    <w:rsid w:val="005D05E5"/>
    <w:rsid w:val="005D06CC"/>
    <w:rsid w:val="005D3204"/>
    <w:rsid w:val="005D4DD1"/>
    <w:rsid w:val="005D5EEB"/>
    <w:rsid w:val="005E2C9B"/>
    <w:rsid w:val="005E2EC7"/>
    <w:rsid w:val="005E36C1"/>
    <w:rsid w:val="005E49BA"/>
    <w:rsid w:val="005F709A"/>
    <w:rsid w:val="00601B86"/>
    <w:rsid w:val="006020AF"/>
    <w:rsid w:val="00603782"/>
    <w:rsid w:val="00606E7D"/>
    <w:rsid w:val="00606F29"/>
    <w:rsid w:val="00607408"/>
    <w:rsid w:val="00612A79"/>
    <w:rsid w:val="00617929"/>
    <w:rsid w:val="00624E73"/>
    <w:rsid w:val="00625117"/>
    <w:rsid w:val="00625DBC"/>
    <w:rsid w:val="00626706"/>
    <w:rsid w:val="00633A16"/>
    <w:rsid w:val="00634853"/>
    <w:rsid w:val="00634896"/>
    <w:rsid w:val="00634A82"/>
    <w:rsid w:val="006367C0"/>
    <w:rsid w:val="00647BF0"/>
    <w:rsid w:val="00654588"/>
    <w:rsid w:val="00655594"/>
    <w:rsid w:val="00661253"/>
    <w:rsid w:val="00661892"/>
    <w:rsid w:val="00662194"/>
    <w:rsid w:val="00670CB1"/>
    <w:rsid w:val="006714A0"/>
    <w:rsid w:val="0067422C"/>
    <w:rsid w:val="00674476"/>
    <w:rsid w:val="00674AAF"/>
    <w:rsid w:val="00675B1B"/>
    <w:rsid w:val="0067607F"/>
    <w:rsid w:val="006807CC"/>
    <w:rsid w:val="00682F1F"/>
    <w:rsid w:val="00683345"/>
    <w:rsid w:val="0068616F"/>
    <w:rsid w:val="00686CF4"/>
    <w:rsid w:val="0069258A"/>
    <w:rsid w:val="00695E5E"/>
    <w:rsid w:val="006A32B9"/>
    <w:rsid w:val="006A63F9"/>
    <w:rsid w:val="006B114D"/>
    <w:rsid w:val="006B16DD"/>
    <w:rsid w:val="006B3391"/>
    <w:rsid w:val="006B635B"/>
    <w:rsid w:val="006B6EBE"/>
    <w:rsid w:val="006C3D4A"/>
    <w:rsid w:val="006C449A"/>
    <w:rsid w:val="006C5971"/>
    <w:rsid w:val="006C62BD"/>
    <w:rsid w:val="006D189F"/>
    <w:rsid w:val="006D1EF1"/>
    <w:rsid w:val="006D68E0"/>
    <w:rsid w:val="006E2861"/>
    <w:rsid w:val="006E2DCD"/>
    <w:rsid w:val="006E5816"/>
    <w:rsid w:val="006F06A0"/>
    <w:rsid w:val="006F3F08"/>
    <w:rsid w:val="007014E6"/>
    <w:rsid w:val="00703171"/>
    <w:rsid w:val="00705FA6"/>
    <w:rsid w:val="00706617"/>
    <w:rsid w:val="00706A7F"/>
    <w:rsid w:val="00710F25"/>
    <w:rsid w:val="00717324"/>
    <w:rsid w:val="0072455B"/>
    <w:rsid w:val="00725E13"/>
    <w:rsid w:val="007326D4"/>
    <w:rsid w:val="00736585"/>
    <w:rsid w:val="0073765B"/>
    <w:rsid w:val="00742036"/>
    <w:rsid w:val="007434AC"/>
    <w:rsid w:val="00747126"/>
    <w:rsid w:val="0075095C"/>
    <w:rsid w:val="00751E88"/>
    <w:rsid w:val="00753387"/>
    <w:rsid w:val="00754C88"/>
    <w:rsid w:val="00757A3F"/>
    <w:rsid w:val="007640FE"/>
    <w:rsid w:val="00770B4C"/>
    <w:rsid w:val="00771251"/>
    <w:rsid w:val="00773AAB"/>
    <w:rsid w:val="00775E16"/>
    <w:rsid w:val="00781238"/>
    <w:rsid w:val="00781D70"/>
    <w:rsid w:val="00782A9B"/>
    <w:rsid w:val="00790531"/>
    <w:rsid w:val="00790E9B"/>
    <w:rsid w:val="0079250E"/>
    <w:rsid w:val="00792ECE"/>
    <w:rsid w:val="00792F37"/>
    <w:rsid w:val="007A13F6"/>
    <w:rsid w:val="007A354E"/>
    <w:rsid w:val="007A6E6F"/>
    <w:rsid w:val="007B0283"/>
    <w:rsid w:val="007B1B45"/>
    <w:rsid w:val="007B20DD"/>
    <w:rsid w:val="007B2567"/>
    <w:rsid w:val="007B2741"/>
    <w:rsid w:val="007B54E0"/>
    <w:rsid w:val="007B5BB2"/>
    <w:rsid w:val="007B6E2A"/>
    <w:rsid w:val="007C69D0"/>
    <w:rsid w:val="007D2192"/>
    <w:rsid w:val="007D4408"/>
    <w:rsid w:val="007D74D5"/>
    <w:rsid w:val="007E4DE6"/>
    <w:rsid w:val="007E6CDD"/>
    <w:rsid w:val="007F13AB"/>
    <w:rsid w:val="007F1561"/>
    <w:rsid w:val="007F2FE9"/>
    <w:rsid w:val="007F5890"/>
    <w:rsid w:val="007F7F38"/>
    <w:rsid w:val="008014DA"/>
    <w:rsid w:val="00802ECA"/>
    <w:rsid w:val="00811344"/>
    <w:rsid w:val="0081370C"/>
    <w:rsid w:val="00814D2B"/>
    <w:rsid w:val="008173D0"/>
    <w:rsid w:val="0081778B"/>
    <w:rsid w:val="0082036C"/>
    <w:rsid w:val="00821380"/>
    <w:rsid w:val="00824654"/>
    <w:rsid w:val="00824D18"/>
    <w:rsid w:val="0083179A"/>
    <w:rsid w:val="00831B7D"/>
    <w:rsid w:val="00842064"/>
    <w:rsid w:val="00842687"/>
    <w:rsid w:val="0084290C"/>
    <w:rsid w:val="00843BB8"/>
    <w:rsid w:val="0085202E"/>
    <w:rsid w:val="00856BE4"/>
    <w:rsid w:val="00860DA3"/>
    <w:rsid w:val="00865458"/>
    <w:rsid w:val="00866DDD"/>
    <w:rsid w:val="00871766"/>
    <w:rsid w:val="00872092"/>
    <w:rsid w:val="00872873"/>
    <w:rsid w:val="00874BB3"/>
    <w:rsid w:val="008753CF"/>
    <w:rsid w:val="008772B7"/>
    <w:rsid w:val="00880E20"/>
    <w:rsid w:val="00881769"/>
    <w:rsid w:val="00882E1D"/>
    <w:rsid w:val="008848B1"/>
    <w:rsid w:val="00885E0C"/>
    <w:rsid w:val="008942F4"/>
    <w:rsid w:val="00895739"/>
    <w:rsid w:val="00895809"/>
    <w:rsid w:val="00895F80"/>
    <w:rsid w:val="008972B1"/>
    <w:rsid w:val="008974F3"/>
    <w:rsid w:val="008A26A0"/>
    <w:rsid w:val="008A3A39"/>
    <w:rsid w:val="008A3F07"/>
    <w:rsid w:val="008B26B4"/>
    <w:rsid w:val="008B352B"/>
    <w:rsid w:val="008B4539"/>
    <w:rsid w:val="008C14E5"/>
    <w:rsid w:val="008C2621"/>
    <w:rsid w:val="008C390B"/>
    <w:rsid w:val="008C42CD"/>
    <w:rsid w:val="008C5188"/>
    <w:rsid w:val="008C5675"/>
    <w:rsid w:val="008C6651"/>
    <w:rsid w:val="008D009F"/>
    <w:rsid w:val="008E3D2C"/>
    <w:rsid w:val="008E5B6C"/>
    <w:rsid w:val="008F01FC"/>
    <w:rsid w:val="008F034B"/>
    <w:rsid w:val="008F0AAC"/>
    <w:rsid w:val="008F1B4D"/>
    <w:rsid w:val="008F2C02"/>
    <w:rsid w:val="008F2CFF"/>
    <w:rsid w:val="008F7EA7"/>
    <w:rsid w:val="00901841"/>
    <w:rsid w:val="009044FF"/>
    <w:rsid w:val="00904E04"/>
    <w:rsid w:val="00911FF4"/>
    <w:rsid w:val="00914465"/>
    <w:rsid w:val="0091784B"/>
    <w:rsid w:val="00920635"/>
    <w:rsid w:val="00920BE7"/>
    <w:rsid w:val="00921FC7"/>
    <w:rsid w:val="00927365"/>
    <w:rsid w:val="00932333"/>
    <w:rsid w:val="00935219"/>
    <w:rsid w:val="00941B66"/>
    <w:rsid w:val="00943336"/>
    <w:rsid w:val="00945854"/>
    <w:rsid w:val="00946C47"/>
    <w:rsid w:val="009522F7"/>
    <w:rsid w:val="00953475"/>
    <w:rsid w:val="0095564E"/>
    <w:rsid w:val="00956547"/>
    <w:rsid w:val="00962A05"/>
    <w:rsid w:val="00965609"/>
    <w:rsid w:val="0096608A"/>
    <w:rsid w:val="0096799A"/>
    <w:rsid w:val="00967B91"/>
    <w:rsid w:val="0097035C"/>
    <w:rsid w:val="00971AF5"/>
    <w:rsid w:val="0097409A"/>
    <w:rsid w:val="00976C95"/>
    <w:rsid w:val="00977641"/>
    <w:rsid w:val="00977AE0"/>
    <w:rsid w:val="0098288E"/>
    <w:rsid w:val="00983E80"/>
    <w:rsid w:val="00985CC6"/>
    <w:rsid w:val="009902A1"/>
    <w:rsid w:val="00993D91"/>
    <w:rsid w:val="00994AF6"/>
    <w:rsid w:val="00997139"/>
    <w:rsid w:val="009A1D96"/>
    <w:rsid w:val="009A48D4"/>
    <w:rsid w:val="009A7442"/>
    <w:rsid w:val="009B0753"/>
    <w:rsid w:val="009B11D8"/>
    <w:rsid w:val="009B5547"/>
    <w:rsid w:val="009B6014"/>
    <w:rsid w:val="009B7F16"/>
    <w:rsid w:val="009C075D"/>
    <w:rsid w:val="009C5621"/>
    <w:rsid w:val="009C7F14"/>
    <w:rsid w:val="009D025D"/>
    <w:rsid w:val="009D233E"/>
    <w:rsid w:val="009D31EC"/>
    <w:rsid w:val="009D5A72"/>
    <w:rsid w:val="009E408E"/>
    <w:rsid w:val="009E4572"/>
    <w:rsid w:val="009E7575"/>
    <w:rsid w:val="009F105C"/>
    <w:rsid w:val="009F15E7"/>
    <w:rsid w:val="009F196F"/>
    <w:rsid w:val="009F274E"/>
    <w:rsid w:val="009F35CD"/>
    <w:rsid w:val="009F47B3"/>
    <w:rsid w:val="00A06149"/>
    <w:rsid w:val="00A0629B"/>
    <w:rsid w:val="00A10255"/>
    <w:rsid w:val="00A12517"/>
    <w:rsid w:val="00A12551"/>
    <w:rsid w:val="00A12BAB"/>
    <w:rsid w:val="00A13F0B"/>
    <w:rsid w:val="00A17001"/>
    <w:rsid w:val="00A176AA"/>
    <w:rsid w:val="00A201A3"/>
    <w:rsid w:val="00A2466A"/>
    <w:rsid w:val="00A24875"/>
    <w:rsid w:val="00A27372"/>
    <w:rsid w:val="00A31C14"/>
    <w:rsid w:val="00A31F0C"/>
    <w:rsid w:val="00A323CB"/>
    <w:rsid w:val="00A33E4A"/>
    <w:rsid w:val="00A344ED"/>
    <w:rsid w:val="00A425AB"/>
    <w:rsid w:val="00A4481B"/>
    <w:rsid w:val="00A44A37"/>
    <w:rsid w:val="00A462E8"/>
    <w:rsid w:val="00A47FCD"/>
    <w:rsid w:val="00A54E85"/>
    <w:rsid w:val="00A54FA6"/>
    <w:rsid w:val="00A55BAF"/>
    <w:rsid w:val="00A63543"/>
    <w:rsid w:val="00A66644"/>
    <w:rsid w:val="00A714B6"/>
    <w:rsid w:val="00A73BB9"/>
    <w:rsid w:val="00A74CD5"/>
    <w:rsid w:val="00A74D49"/>
    <w:rsid w:val="00A758B5"/>
    <w:rsid w:val="00A77A0A"/>
    <w:rsid w:val="00A840D5"/>
    <w:rsid w:val="00A91E08"/>
    <w:rsid w:val="00A93515"/>
    <w:rsid w:val="00A959F1"/>
    <w:rsid w:val="00A96985"/>
    <w:rsid w:val="00A97129"/>
    <w:rsid w:val="00A97D53"/>
    <w:rsid w:val="00AA15B2"/>
    <w:rsid w:val="00AA2003"/>
    <w:rsid w:val="00AA3E59"/>
    <w:rsid w:val="00AA69D2"/>
    <w:rsid w:val="00AB1473"/>
    <w:rsid w:val="00AB336C"/>
    <w:rsid w:val="00AB6698"/>
    <w:rsid w:val="00AB6E9C"/>
    <w:rsid w:val="00AB7DB1"/>
    <w:rsid w:val="00AC3A00"/>
    <w:rsid w:val="00AC5B79"/>
    <w:rsid w:val="00AC62A5"/>
    <w:rsid w:val="00AC6DF8"/>
    <w:rsid w:val="00AD08F0"/>
    <w:rsid w:val="00AD1D8B"/>
    <w:rsid w:val="00AD30C6"/>
    <w:rsid w:val="00AD3963"/>
    <w:rsid w:val="00AD4DD9"/>
    <w:rsid w:val="00AF11EE"/>
    <w:rsid w:val="00AF254B"/>
    <w:rsid w:val="00AF3577"/>
    <w:rsid w:val="00B01460"/>
    <w:rsid w:val="00B0179B"/>
    <w:rsid w:val="00B022DB"/>
    <w:rsid w:val="00B077A8"/>
    <w:rsid w:val="00B133BB"/>
    <w:rsid w:val="00B14FED"/>
    <w:rsid w:val="00B15D9B"/>
    <w:rsid w:val="00B15EE3"/>
    <w:rsid w:val="00B2047D"/>
    <w:rsid w:val="00B22689"/>
    <w:rsid w:val="00B27B61"/>
    <w:rsid w:val="00B3629E"/>
    <w:rsid w:val="00B37EEB"/>
    <w:rsid w:val="00B44499"/>
    <w:rsid w:val="00B464CB"/>
    <w:rsid w:val="00B4722F"/>
    <w:rsid w:val="00B53CF6"/>
    <w:rsid w:val="00B56430"/>
    <w:rsid w:val="00B57D96"/>
    <w:rsid w:val="00B60EBB"/>
    <w:rsid w:val="00B62C50"/>
    <w:rsid w:val="00B6594B"/>
    <w:rsid w:val="00B6706E"/>
    <w:rsid w:val="00B70FF6"/>
    <w:rsid w:val="00B742B5"/>
    <w:rsid w:val="00B77D91"/>
    <w:rsid w:val="00B807B3"/>
    <w:rsid w:val="00B807FC"/>
    <w:rsid w:val="00B812E5"/>
    <w:rsid w:val="00B834FC"/>
    <w:rsid w:val="00B83758"/>
    <w:rsid w:val="00B86C86"/>
    <w:rsid w:val="00B95B93"/>
    <w:rsid w:val="00B970B4"/>
    <w:rsid w:val="00BB562E"/>
    <w:rsid w:val="00BB5E4C"/>
    <w:rsid w:val="00BC1E2F"/>
    <w:rsid w:val="00BC2537"/>
    <w:rsid w:val="00BD1331"/>
    <w:rsid w:val="00BD14D7"/>
    <w:rsid w:val="00BD2944"/>
    <w:rsid w:val="00BD36A0"/>
    <w:rsid w:val="00BE0588"/>
    <w:rsid w:val="00BE1BE1"/>
    <w:rsid w:val="00BE3533"/>
    <w:rsid w:val="00BE4E4B"/>
    <w:rsid w:val="00BE65D4"/>
    <w:rsid w:val="00BE6DD4"/>
    <w:rsid w:val="00BE7960"/>
    <w:rsid w:val="00BF19AB"/>
    <w:rsid w:val="00BF1FC1"/>
    <w:rsid w:val="00BF4150"/>
    <w:rsid w:val="00C01F9F"/>
    <w:rsid w:val="00C02E1C"/>
    <w:rsid w:val="00C0604F"/>
    <w:rsid w:val="00C06706"/>
    <w:rsid w:val="00C11029"/>
    <w:rsid w:val="00C11181"/>
    <w:rsid w:val="00C12505"/>
    <w:rsid w:val="00C166DD"/>
    <w:rsid w:val="00C1785F"/>
    <w:rsid w:val="00C22606"/>
    <w:rsid w:val="00C238C5"/>
    <w:rsid w:val="00C247D4"/>
    <w:rsid w:val="00C303DB"/>
    <w:rsid w:val="00C308E0"/>
    <w:rsid w:val="00C31642"/>
    <w:rsid w:val="00C33DDD"/>
    <w:rsid w:val="00C40209"/>
    <w:rsid w:val="00C45FBA"/>
    <w:rsid w:val="00C473D1"/>
    <w:rsid w:val="00C50CBE"/>
    <w:rsid w:val="00C54EBE"/>
    <w:rsid w:val="00C566FF"/>
    <w:rsid w:val="00C57B80"/>
    <w:rsid w:val="00C61185"/>
    <w:rsid w:val="00C679F5"/>
    <w:rsid w:val="00C75D9E"/>
    <w:rsid w:val="00C80B91"/>
    <w:rsid w:val="00C8288B"/>
    <w:rsid w:val="00C84B50"/>
    <w:rsid w:val="00C85469"/>
    <w:rsid w:val="00C859F9"/>
    <w:rsid w:val="00C91751"/>
    <w:rsid w:val="00C92A7E"/>
    <w:rsid w:val="00C93DDE"/>
    <w:rsid w:val="00CA19DF"/>
    <w:rsid w:val="00CB2FB2"/>
    <w:rsid w:val="00CB7946"/>
    <w:rsid w:val="00CB7A18"/>
    <w:rsid w:val="00CC60E7"/>
    <w:rsid w:val="00CC64C7"/>
    <w:rsid w:val="00CC7487"/>
    <w:rsid w:val="00CD34FC"/>
    <w:rsid w:val="00CD706B"/>
    <w:rsid w:val="00CE1EF8"/>
    <w:rsid w:val="00CE213B"/>
    <w:rsid w:val="00CF009D"/>
    <w:rsid w:val="00CF0AA6"/>
    <w:rsid w:val="00CF59BB"/>
    <w:rsid w:val="00CF5A2C"/>
    <w:rsid w:val="00CF6633"/>
    <w:rsid w:val="00D05DD2"/>
    <w:rsid w:val="00D076D0"/>
    <w:rsid w:val="00D079CE"/>
    <w:rsid w:val="00D134B7"/>
    <w:rsid w:val="00D13894"/>
    <w:rsid w:val="00D20FAA"/>
    <w:rsid w:val="00D21547"/>
    <w:rsid w:val="00D21D09"/>
    <w:rsid w:val="00D30573"/>
    <w:rsid w:val="00D31FF2"/>
    <w:rsid w:val="00D36A8C"/>
    <w:rsid w:val="00D428F4"/>
    <w:rsid w:val="00D43181"/>
    <w:rsid w:val="00D44D7F"/>
    <w:rsid w:val="00D4536C"/>
    <w:rsid w:val="00D45C41"/>
    <w:rsid w:val="00D461DE"/>
    <w:rsid w:val="00D50DE5"/>
    <w:rsid w:val="00D54B27"/>
    <w:rsid w:val="00D54CC0"/>
    <w:rsid w:val="00D63173"/>
    <w:rsid w:val="00D63DA8"/>
    <w:rsid w:val="00D73A86"/>
    <w:rsid w:val="00D74BA3"/>
    <w:rsid w:val="00D804D2"/>
    <w:rsid w:val="00D81E2F"/>
    <w:rsid w:val="00D83060"/>
    <w:rsid w:val="00D84A2D"/>
    <w:rsid w:val="00D8703D"/>
    <w:rsid w:val="00D8749B"/>
    <w:rsid w:val="00DA4CF2"/>
    <w:rsid w:val="00DA5880"/>
    <w:rsid w:val="00DB11D4"/>
    <w:rsid w:val="00DB227F"/>
    <w:rsid w:val="00DB61A6"/>
    <w:rsid w:val="00DB763A"/>
    <w:rsid w:val="00DB78EA"/>
    <w:rsid w:val="00DC3AC1"/>
    <w:rsid w:val="00DC4D4D"/>
    <w:rsid w:val="00DC5105"/>
    <w:rsid w:val="00DD20D1"/>
    <w:rsid w:val="00DD51F8"/>
    <w:rsid w:val="00DD64C5"/>
    <w:rsid w:val="00DE14E2"/>
    <w:rsid w:val="00DE15AC"/>
    <w:rsid w:val="00DE2C36"/>
    <w:rsid w:val="00DE2F94"/>
    <w:rsid w:val="00DE3500"/>
    <w:rsid w:val="00DE4595"/>
    <w:rsid w:val="00DE6B35"/>
    <w:rsid w:val="00DE70C2"/>
    <w:rsid w:val="00DF0675"/>
    <w:rsid w:val="00DF4FE6"/>
    <w:rsid w:val="00DF580D"/>
    <w:rsid w:val="00DF6FDA"/>
    <w:rsid w:val="00DF7E2B"/>
    <w:rsid w:val="00E05885"/>
    <w:rsid w:val="00E10BFB"/>
    <w:rsid w:val="00E1249A"/>
    <w:rsid w:val="00E12880"/>
    <w:rsid w:val="00E14D9E"/>
    <w:rsid w:val="00E16DA6"/>
    <w:rsid w:val="00E21904"/>
    <w:rsid w:val="00E21E99"/>
    <w:rsid w:val="00E2228E"/>
    <w:rsid w:val="00E23E56"/>
    <w:rsid w:val="00E30FFC"/>
    <w:rsid w:val="00E327A1"/>
    <w:rsid w:val="00E33EF0"/>
    <w:rsid w:val="00E370BF"/>
    <w:rsid w:val="00E37CB8"/>
    <w:rsid w:val="00E4016D"/>
    <w:rsid w:val="00E510C4"/>
    <w:rsid w:val="00E530B7"/>
    <w:rsid w:val="00E54066"/>
    <w:rsid w:val="00E57168"/>
    <w:rsid w:val="00E611A2"/>
    <w:rsid w:val="00E61BAB"/>
    <w:rsid w:val="00E729CB"/>
    <w:rsid w:val="00E73C50"/>
    <w:rsid w:val="00E777C8"/>
    <w:rsid w:val="00E8011B"/>
    <w:rsid w:val="00E81EE4"/>
    <w:rsid w:val="00E82DCD"/>
    <w:rsid w:val="00E83444"/>
    <w:rsid w:val="00E849E6"/>
    <w:rsid w:val="00E84DD9"/>
    <w:rsid w:val="00E870C1"/>
    <w:rsid w:val="00E909E6"/>
    <w:rsid w:val="00E90A8E"/>
    <w:rsid w:val="00E90B70"/>
    <w:rsid w:val="00E924EC"/>
    <w:rsid w:val="00E93BB0"/>
    <w:rsid w:val="00E97E34"/>
    <w:rsid w:val="00EA27C3"/>
    <w:rsid w:val="00EA2BEE"/>
    <w:rsid w:val="00EA5F36"/>
    <w:rsid w:val="00EA7A70"/>
    <w:rsid w:val="00EB15F9"/>
    <w:rsid w:val="00EB2AAE"/>
    <w:rsid w:val="00EB3D95"/>
    <w:rsid w:val="00EB57CA"/>
    <w:rsid w:val="00EC07F6"/>
    <w:rsid w:val="00EC07FA"/>
    <w:rsid w:val="00EC247E"/>
    <w:rsid w:val="00EC5B03"/>
    <w:rsid w:val="00ED7B80"/>
    <w:rsid w:val="00EE087B"/>
    <w:rsid w:val="00EE0CC2"/>
    <w:rsid w:val="00EE18F8"/>
    <w:rsid w:val="00EE1DDC"/>
    <w:rsid w:val="00EE31D9"/>
    <w:rsid w:val="00EF0C53"/>
    <w:rsid w:val="00EF368A"/>
    <w:rsid w:val="00EF4FE0"/>
    <w:rsid w:val="00EF6F9D"/>
    <w:rsid w:val="00EF7495"/>
    <w:rsid w:val="00F038F0"/>
    <w:rsid w:val="00F04E2C"/>
    <w:rsid w:val="00F06CE8"/>
    <w:rsid w:val="00F0783D"/>
    <w:rsid w:val="00F1223A"/>
    <w:rsid w:val="00F12E5F"/>
    <w:rsid w:val="00F14E08"/>
    <w:rsid w:val="00F203B0"/>
    <w:rsid w:val="00F20CD7"/>
    <w:rsid w:val="00F21099"/>
    <w:rsid w:val="00F210E9"/>
    <w:rsid w:val="00F2150A"/>
    <w:rsid w:val="00F22AF0"/>
    <w:rsid w:val="00F33929"/>
    <w:rsid w:val="00F35767"/>
    <w:rsid w:val="00F35BB4"/>
    <w:rsid w:val="00F40E37"/>
    <w:rsid w:val="00F42C1C"/>
    <w:rsid w:val="00F4744B"/>
    <w:rsid w:val="00F504FB"/>
    <w:rsid w:val="00F55691"/>
    <w:rsid w:val="00F55B87"/>
    <w:rsid w:val="00F6361F"/>
    <w:rsid w:val="00F64B86"/>
    <w:rsid w:val="00F65724"/>
    <w:rsid w:val="00F66561"/>
    <w:rsid w:val="00F71390"/>
    <w:rsid w:val="00F72F62"/>
    <w:rsid w:val="00F73E1F"/>
    <w:rsid w:val="00F75F73"/>
    <w:rsid w:val="00F77459"/>
    <w:rsid w:val="00F809EE"/>
    <w:rsid w:val="00F844E6"/>
    <w:rsid w:val="00F849DE"/>
    <w:rsid w:val="00F84BE4"/>
    <w:rsid w:val="00F865A3"/>
    <w:rsid w:val="00F909DB"/>
    <w:rsid w:val="00F9314E"/>
    <w:rsid w:val="00F9432D"/>
    <w:rsid w:val="00F9475F"/>
    <w:rsid w:val="00F95AC5"/>
    <w:rsid w:val="00FA2531"/>
    <w:rsid w:val="00FA4C1B"/>
    <w:rsid w:val="00FA5355"/>
    <w:rsid w:val="00FB35B4"/>
    <w:rsid w:val="00FB4542"/>
    <w:rsid w:val="00FB6C2F"/>
    <w:rsid w:val="00FC0091"/>
    <w:rsid w:val="00FC10E9"/>
    <w:rsid w:val="00FC3539"/>
    <w:rsid w:val="00FC4FD5"/>
    <w:rsid w:val="00FC4FF0"/>
    <w:rsid w:val="00FC57BC"/>
    <w:rsid w:val="00FC5D7E"/>
    <w:rsid w:val="00FD01DC"/>
    <w:rsid w:val="00FD01E1"/>
    <w:rsid w:val="00FD13B2"/>
    <w:rsid w:val="00FD4DFC"/>
    <w:rsid w:val="00FD6173"/>
    <w:rsid w:val="00FE0A40"/>
    <w:rsid w:val="00FE3132"/>
    <w:rsid w:val="00FE47F2"/>
    <w:rsid w:val="00FE6C0D"/>
    <w:rsid w:val="00FF10DD"/>
    <w:rsid w:val="00FF3240"/>
    <w:rsid w:val="00FF3C7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817EE"/>
  <w15:docId w15:val="{E74CE97A-50E6-4BCC-AC12-AFDA3263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BF"/>
    <w:pPr>
      <w:spacing w:after="200" w:line="276" w:lineRule="auto"/>
    </w:pPr>
    <w:rPr>
      <w:rFonts w:ascii="Arial" w:eastAsia="Arial" w:hAnsi="Arial" w:cs="Arial"/>
      <w:lang w:eastAsia="pl-PL"/>
    </w:rPr>
  </w:style>
  <w:style w:type="paragraph" w:styleId="Heading1">
    <w:name w:val="heading 1"/>
    <w:basedOn w:val="Normal"/>
    <w:next w:val="Normal"/>
    <w:link w:val="Heading1Char"/>
    <w:uiPriority w:val="9"/>
    <w:qFormat/>
    <w:rsid w:val="00FE3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4A2D"/>
    <w:pPr>
      <w:keepNext/>
      <w:keepLines/>
      <w:spacing w:after="100"/>
      <w:outlineLvl w:val="1"/>
    </w:pPr>
    <w:rPr>
      <w:rFonts w:ascii="Calibri" w:eastAsia="Calibri" w:hAnsi="Calibri" w:cs="Calibri"/>
      <w:b/>
      <w:smallCaps/>
      <w:color w:val="008B98"/>
      <w:sz w:val="18"/>
      <w:szCs w:val="18"/>
    </w:rPr>
  </w:style>
  <w:style w:type="paragraph" w:styleId="Heading3">
    <w:name w:val="heading 3"/>
    <w:basedOn w:val="Normal"/>
    <w:next w:val="Normal"/>
    <w:link w:val="Heading3Char"/>
    <w:uiPriority w:val="9"/>
    <w:semiHidden/>
    <w:unhideWhenUsed/>
    <w:qFormat/>
    <w:rsid w:val="00D84A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A2D"/>
    <w:rPr>
      <w:rFonts w:ascii="Calibri" w:eastAsia="Calibri" w:hAnsi="Calibri" w:cs="Calibri"/>
      <w:b/>
      <w:smallCaps/>
      <w:color w:val="008B98"/>
      <w:sz w:val="18"/>
      <w:szCs w:val="18"/>
      <w:lang w:eastAsia="pl-PL"/>
    </w:rPr>
  </w:style>
  <w:style w:type="paragraph" w:styleId="Footer">
    <w:name w:val="footer"/>
    <w:basedOn w:val="Normal"/>
    <w:link w:val="FooterChar"/>
    <w:uiPriority w:val="99"/>
    <w:unhideWhenUsed/>
    <w:rsid w:val="00D84A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4A2D"/>
    <w:rPr>
      <w:rFonts w:ascii="Arial" w:eastAsia="Arial" w:hAnsi="Arial" w:cs="Arial"/>
      <w:lang w:eastAsia="pl-PL"/>
    </w:rPr>
  </w:style>
  <w:style w:type="character" w:styleId="Hyperlink">
    <w:name w:val="Hyperlink"/>
    <w:basedOn w:val="DefaultParagraphFont"/>
    <w:unhideWhenUsed/>
    <w:qFormat/>
    <w:rsid w:val="00D84A2D"/>
    <w:rPr>
      <w:color w:val="4472C4" w:themeColor="accent1"/>
      <w:u w:val="single"/>
    </w:rPr>
  </w:style>
  <w:style w:type="table" w:styleId="TableGrid">
    <w:name w:val="Table Grid"/>
    <w:basedOn w:val="TableNormal"/>
    <w:uiPriority w:val="59"/>
    <w:rsid w:val="00D84A2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Name"/>
    <w:basedOn w:val="Heading3"/>
    <w:qFormat/>
    <w:rsid w:val="00D84A2D"/>
    <w:pPr>
      <w:spacing w:before="0" w:line="216" w:lineRule="atLeast"/>
    </w:pPr>
    <w:rPr>
      <w:rFonts w:ascii="Calibri" w:eastAsia="Times New Roman" w:hAnsi="Calibri" w:cs="Times New Roman"/>
      <w:b/>
      <w:bCs/>
      <w:color w:val="008B98"/>
      <w:sz w:val="18"/>
      <w:lang w:val="en-GB" w:eastAsia="en-GB"/>
    </w:rPr>
  </w:style>
  <w:style w:type="paragraph" w:customStyle="1" w:styleId="ContactDetail">
    <w:name w:val="ContactDetail"/>
    <w:basedOn w:val="Normal"/>
    <w:rsid w:val="00D84A2D"/>
    <w:pPr>
      <w:spacing w:after="0" w:line="216" w:lineRule="atLeast"/>
    </w:pPr>
    <w:rPr>
      <w:rFonts w:ascii="Calibri" w:eastAsia="Times New Roman" w:hAnsi="Calibri" w:cs="Times New Roman"/>
      <w:color w:val="000000"/>
      <w:sz w:val="18"/>
      <w:szCs w:val="24"/>
      <w:lang w:val="en-GB" w:eastAsia="en-GB"/>
    </w:rPr>
  </w:style>
  <w:style w:type="character" w:customStyle="1" w:styleId="Brak">
    <w:name w:val="Brak"/>
    <w:rsid w:val="00D84A2D"/>
  </w:style>
  <w:style w:type="character" w:customStyle="1" w:styleId="Hyperlink0">
    <w:name w:val="Hyperlink.0"/>
    <w:basedOn w:val="Brak"/>
    <w:rsid w:val="00D84A2D"/>
  </w:style>
  <w:style w:type="table" w:customStyle="1" w:styleId="PlainTable41">
    <w:name w:val="Plain Table 41"/>
    <w:basedOn w:val="TableNormal"/>
    <w:uiPriority w:val="44"/>
    <w:rsid w:val="00D84A2D"/>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D84A2D"/>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D84A2D"/>
    <w:rPr>
      <w:rFonts w:ascii="Calibri" w:eastAsia="Times New Roman" w:hAnsi="Calibri" w:cs="Consolas"/>
      <w:szCs w:val="21"/>
      <w:lang w:eastAsia="pl-PL"/>
    </w:rPr>
  </w:style>
  <w:style w:type="character" w:customStyle="1" w:styleId="Heading3Char">
    <w:name w:val="Heading 3 Char"/>
    <w:basedOn w:val="DefaultParagraphFont"/>
    <w:link w:val="Heading3"/>
    <w:uiPriority w:val="9"/>
    <w:semiHidden/>
    <w:rsid w:val="00D84A2D"/>
    <w:rPr>
      <w:rFonts w:asciiTheme="majorHAnsi" w:eastAsiaTheme="majorEastAsia" w:hAnsiTheme="majorHAnsi" w:cstheme="majorBidi"/>
      <w:color w:val="1F3763" w:themeColor="accent1" w:themeShade="7F"/>
      <w:sz w:val="24"/>
      <w:szCs w:val="24"/>
      <w:lang w:eastAsia="pl-PL"/>
    </w:rPr>
  </w:style>
  <w:style w:type="character" w:styleId="CommentReference">
    <w:name w:val="annotation reference"/>
    <w:basedOn w:val="DefaultParagraphFont"/>
    <w:uiPriority w:val="99"/>
    <w:semiHidden/>
    <w:unhideWhenUsed/>
    <w:rsid w:val="00CB2FB2"/>
    <w:rPr>
      <w:sz w:val="16"/>
      <w:szCs w:val="16"/>
    </w:rPr>
  </w:style>
  <w:style w:type="paragraph" w:styleId="CommentText">
    <w:name w:val="annotation text"/>
    <w:basedOn w:val="Normal"/>
    <w:link w:val="CommentTextChar"/>
    <w:uiPriority w:val="99"/>
    <w:unhideWhenUsed/>
    <w:rsid w:val="00CB2FB2"/>
    <w:pPr>
      <w:spacing w:line="240" w:lineRule="auto"/>
    </w:pPr>
    <w:rPr>
      <w:sz w:val="20"/>
      <w:szCs w:val="20"/>
    </w:rPr>
  </w:style>
  <w:style w:type="character" w:customStyle="1" w:styleId="CommentTextChar">
    <w:name w:val="Comment Text Char"/>
    <w:basedOn w:val="DefaultParagraphFont"/>
    <w:link w:val="CommentText"/>
    <w:uiPriority w:val="99"/>
    <w:rsid w:val="00CB2FB2"/>
    <w:rPr>
      <w:rFonts w:ascii="Arial" w:eastAsia="Arial" w:hAnsi="Arial" w:cs="Arial"/>
      <w:sz w:val="20"/>
      <w:szCs w:val="20"/>
      <w:lang w:eastAsia="pl-PL"/>
    </w:rPr>
  </w:style>
  <w:style w:type="paragraph" w:styleId="CommentSubject">
    <w:name w:val="annotation subject"/>
    <w:basedOn w:val="CommentText"/>
    <w:next w:val="CommentText"/>
    <w:link w:val="CommentSubjectChar"/>
    <w:uiPriority w:val="99"/>
    <w:semiHidden/>
    <w:unhideWhenUsed/>
    <w:rsid w:val="00CB2FB2"/>
    <w:rPr>
      <w:b/>
      <w:bCs/>
    </w:rPr>
  </w:style>
  <w:style w:type="character" w:customStyle="1" w:styleId="CommentSubjectChar">
    <w:name w:val="Comment Subject Char"/>
    <w:basedOn w:val="CommentTextChar"/>
    <w:link w:val="CommentSubject"/>
    <w:uiPriority w:val="99"/>
    <w:semiHidden/>
    <w:rsid w:val="00CB2FB2"/>
    <w:rPr>
      <w:rFonts w:ascii="Arial" w:eastAsia="Arial" w:hAnsi="Arial" w:cs="Arial"/>
      <w:b/>
      <w:bCs/>
      <w:sz w:val="20"/>
      <w:szCs w:val="20"/>
      <w:lang w:eastAsia="pl-PL"/>
    </w:rPr>
  </w:style>
  <w:style w:type="paragraph" w:styleId="BalloonText">
    <w:name w:val="Balloon Text"/>
    <w:basedOn w:val="Normal"/>
    <w:link w:val="BalloonTextChar"/>
    <w:uiPriority w:val="99"/>
    <w:semiHidden/>
    <w:unhideWhenUsed/>
    <w:rsid w:val="00CB2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FB2"/>
    <w:rPr>
      <w:rFonts w:ascii="Segoe UI" w:eastAsia="Arial" w:hAnsi="Segoe UI" w:cs="Segoe UI"/>
      <w:sz w:val="18"/>
      <w:szCs w:val="18"/>
      <w:lang w:eastAsia="pl-PL"/>
    </w:rPr>
  </w:style>
  <w:style w:type="paragraph" w:styleId="Revision">
    <w:name w:val="Revision"/>
    <w:hidden/>
    <w:uiPriority w:val="99"/>
    <w:semiHidden/>
    <w:rsid w:val="005323BE"/>
    <w:pPr>
      <w:spacing w:after="0" w:line="240" w:lineRule="auto"/>
    </w:pPr>
    <w:rPr>
      <w:rFonts w:ascii="Arial" w:eastAsia="Arial" w:hAnsi="Arial" w:cs="Arial"/>
      <w:lang w:eastAsia="pl-PL"/>
    </w:rPr>
  </w:style>
  <w:style w:type="paragraph" w:styleId="EndnoteText">
    <w:name w:val="endnote text"/>
    <w:basedOn w:val="Normal"/>
    <w:link w:val="EndnoteTextChar"/>
    <w:uiPriority w:val="99"/>
    <w:semiHidden/>
    <w:unhideWhenUsed/>
    <w:rsid w:val="00976C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6C95"/>
    <w:rPr>
      <w:rFonts w:ascii="Arial" w:eastAsia="Arial" w:hAnsi="Arial" w:cs="Arial"/>
      <w:sz w:val="20"/>
      <w:szCs w:val="20"/>
      <w:lang w:eastAsia="pl-PL"/>
    </w:rPr>
  </w:style>
  <w:style w:type="character" w:styleId="EndnoteReference">
    <w:name w:val="endnote reference"/>
    <w:basedOn w:val="DefaultParagraphFont"/>
    <w:uiPriority w:val="99"/>
    <w:semiHidden/>
    <w:unhideWhenUsed/>
    <w:rsid w:val="00976C95"/>
    <w:rPr>
      <w:vertAlign w:val="superscript"/>
    </w:rPr>
  </w:style>
  <w:style w:type="paragraph" w:styleId="Header">
    <w:name w:val="header"/>
    <w:basedOn w:val="Normal"/>
    <w:link w:val="HeaderChar"/>
    <w:uiPriority w:val="99"/>
    <w:unhideWhenUsed/>
    <w:rsid w:val="00B77D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7D91"/>
    <w:rPr>
      <w:rFonts w:ascii="Arial" w:eastAsia="Arial" w:hAnsi="Arial" w:cs="Arial"/>
      <w:lang w:eastAsia="pl-PL"/>
    </w:rPr>
  </w:style>
  <w:style w:type="character" w:customStyle="1" w:styleId="Nierozpoznanawzmianka1">
    <w:name w:val="Nierozpoznana wzmianka1"/>
    <w:basedOn w:val="DefaultParagraphFont"/>
    <w:uiPriority w:val="99"/>
    <w:semiHidden/>
    <w:unhideWhenUsed/>
    <w:rsid w:val="00B77D91"/>
    <w:rPr>
      <w:color w:val="605E5C"/>
      <w:shd w:val="clear" w:color="auto" w:fill="E1DFDD"/>
    </w:rPr>
  </w:style>
  <w:style w:type="character" w:customStyle="1" w:styleId="Nierozpoznanawzmianka2">
    <w:name w:val="Nierozpoznana wzmianka2"/>
    <w:basedOn w:val="DefaultParagraphFont"/>
    <w:uiPriority w:val="99"/>
    <w:semiHidden/>
    <w:unhideWhenUsed/>
    <w:rsid w:val="006B635B"/>
    <w:rPr>
      <w:color w:val="605E5C"/>
      <w:shd w:val="clear" w:color="auto" w:fill="E1DFDD"/>
    </w:rPr>
  </w:style>
  <w:style w:type="paragraph" w:customStyle="1" w:styleId="western">
    <w:name w:val="western"/>
    <w:basedOn w:val="Normal"/>
    <w:rsid w:val="00FE3132"/>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FE3132"/>
    <w:rPr>
      <w:b/>
      <w:bCs/>
    </w:rPr>
  </w:style>
  <w:style w:type="character" w:customStyle="1" w:styleId="Heading1Char">
    <w:name w:val="Heading 1 Char"/>
    <w:basedOn w:val="DefaultParagraphFont"/>
    <w:link w:val="Heading1"/>
    <w:uiPriority w:val="9"/>
    <w:rsid w:val="00FE3132"/>
    <w:rPr>
      <w:rFonts w:asciiTheme="majorHAnsi" w:eastAsiaTheme="majorEastAsia" w:hAnsiTheme="majorHAnsi" w:cstheme="majorBidi"/>
      <w:color w:val="2F5496" w:themeColor="accent1" w:themeShade="BF"/>
      <w:sz w:val="32"/>
      <w:szCs w:val="32"/>
      <w:lang w:eastAsia="pl-PL"/>
    </w:rPr>
  </w:style>
  <w:style w:type="character" w:styleId="Emphasis">
    <w:name w:val="Emphasis"/>
    <w:basedOn w:val="DefaultParagraphFont"/>
    <w:uiPriority w:val="20"/>
    <w:qFormat/>
    <w:rsid w:val="00E909E6"/>
    <w:rPr>
      <w:i/>
      <w:iCs/>
    </w:rPr>
  </w:style>
  <w:style w:type="character" w:customStyle="1" w:styleId="cf01">
    <w:name w:val="cf01"/>
    <w:basedOn w:val="DefaultParagraphFont"/>
    <w:rsid w:val="00167436"/>
    <w:rPr>
      <w:rFonts w:ascii="Segoe UI" w:hAnsi="Segoe UI" w:cs="Segoe UI" w:hint="default"/>
      <w:sz w:val="18"/>
      <w:szCs w:val="18"/>
    </w:rPr>
  </w:style>
  <w:style w:type="character" w:customStyle="1" w:styleId="apple-converted-space">
    <w:name w:val="apple-converted-space"/>
    <w:basedOn w:val="DefaultParagraphFont"/>
    <w:rsid w:val="00775E16"/>
  </w:style>
  <w:style w:type="paragraph" w:styleId="ListParagraph">
    <w:name w:val="List Paragraph"/>
    <w:basedOn w:val="Normal"/>
    <w:uiPriority w:val="34"/>
    <w:qFormat/>
    <w:rsid w:val="00AF11EE"/>
    <w:pPr>
      <w:spacing w:after="0" w:line="240" w:lineRule="auto"/>
      <w:ind w:left="720"/>
    </w:pPr>
    <w:rPr>
      <w:rFonts w:ascii="Calibri" w:eastAsiaTheme="minorHAnsi" w:hAnsi="Calibri" w:cs="Calibri"/>
      <w:lang w:val="en-GB" w:eastAsia="en-GB"/>
      <w14:ligatures w14:val="standardContextual"/>
    </w:rPr>
  </w:style>
  <w:style w:type="paragraph" w:styleId="NormalWeb">
    <w:name w:val="Normal (Web)"/>
    <w:basedOn w:val="Normal"/>
    <w:uiPriority w:val="99"/>
    <w:unhideWhenUsed/>
    <w:rsid w:val="00AF1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AF11EE"/>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F11EE"/>
    <w:rPr>
      <w:sz w:val="20"/>
      <w:szCs w:val="20"/>
    </w:rPr>
  </w:style>
  <w:style w:type="character" w:styleId="FootnoteReference">
    <w:name w:val="footnote reference"/>
    <w:basedOn w:val="DefaultParagraphFont"/>
    <w:uiPriority w:val="99"/>
    <w:semiHidden/>
    <w:unhideWhenUsed/>
    <w:rsid w:val="00AF11EE"/>
    <w:rPr>
      <w:vertAlign w:val="superscript"/>
    </w:rPr>
  </w:style>
  <w:style w:type="character" w:customStyle="1" w:styleId="normaltextrun">
    <w:name w:val="normaltextrun"/>
    <w:basedOn w:val="DefaultParagraphFont"/>
    <w:rsid w:val="00C0604F"/>
  </w:style>
  <w:style w:type="character" w:customStyle="1" w:styleId="eop">
    <w:name w:val="eop"/>
    <w:basedOn w:val="DefaultParagraphFont"/>
    <w:rsid w:val="00C0604F"/>
  </w:style>
  <w:style w:type="paragraph" w:customStyle="1" w:styleId="pf0">
    <w:name w:val="pf0"/>
    <w:basedOn w:val="Normal"/>
    <w:rsid w:val="00A12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C62BD"/>
    <w:rPr>
      <w:color w:val="605E5C"/>
      <w:shd w:val="clear" w:color="auto" w:fill="E1DFDD"/>
    </w:rPr>
  </w:style>
  <w:style w:type="character" w:styleId="FollowedHyperlink">
    <w:name w:val="FollowedHyperlink"/>
    <w:basedOn w:val="DefaultParagraphFont"/>
    <w:uiPriority w:val="99"/>
    <w:semiHidden/>
    <w:unhideWhenUsed/>
    <w:rsid w:val="00B70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75282">
      <w:bodyDiv w:val="1"/>
      <w:marLeft w:val="0"/>
      <w:marRight w:val="0"/>
      <w:marTop w:val="0"/>
      <w:marBottom w:val="0"/>
      <w:divBdr>
        <w:top w:val="none" w:sz="0" w:space="0" w:color="auto"/>
        <w:left w:val="none" w:sz="0" w:space="0" w:color="auto"/>
        <w:bottom w:val="none" w:sz="0" w:space="0" w:color="auto"/>
        <w:right w:val="none" w:sz="0" w:space="0" w:color="auto"/>
      </w:divBdr>
    </w:div>
    <w:div w:id="42800205">
      <w:bodyDiv w:val="1"/>
      <w:marLeft w:val="0"/>
      <w:marRight w:val="0"/>
      <w:marTop w:val="0"/>
      <w:marBottom w:val="0"/>
      <w:divBdr>
        <w:top w:val="none" w:sz="0" w:space="0" w:color="auto"/>
        <w:left w:val="none" w:sz="0" w:space="0" w:color="auto"/>
        <w:bottom w:val="none" w:sz="0" w:space="0" w:color="auto"/>
        <w:right w:val="none" w:sz="0" w:space="0" w:color="auto"/>
      </w:divBdr>
    </w:div>
    <w:div w:id="141046173">
      <w:bodyDiv w:val="1"/>
      <w:marLeft w:val="0"/>
      <w:marRight w:val="0"/>
      <w:marTop w:val="0"/>
      <w:marBottom w:val="0"/>
      <w:divBdr>
        <w:top w:val="none" w:sz="0" w:space="0" w:color="auto"/>
        <w:left w:val="none" w:sz="0" w:space="0" w:color="auto"/>
        <w:bottom w:val="none" w:sz="0" w:space="0" w:color="auto"/>
        <w:right w:val="none" w:sz="0" w:space="0" w:color="auto"/>
      </w:divBdr>
    </w:div>
    <w:div w:id="142620705">
      <w:bodyDiv w:val="1"/>
      <w:marLeft w:val="0"/>
      <w:marRight w:val="0"/>
      <w:marTop w:val="0"/>
      <w:marBottom w:val="0"/>
      <w:divBdr>
        <w:top w:val="none" w:sz="0" w:space="0" w:color="auto"/>
        <w:left w:val="none" w:sz="0" w:space="0" w:color="auto"/>
        <w:bottom w:val="none" w:sz="0" w:space="0" w:color="auto"/>
        <w:right w:val="none" w:sz="0" w:space="0" w:color="auto"/>
      </w:divBdr>
    </w:div>
    <w:div w:id="151680783">
      <w:bodyDiv w:val="1"/>
      <w:marLeft w:val="0"/>
      <w:marRight w:val="0"/>
      <w:marTop w:val="0"/>
      <w:marBottom w:val="0"/>
      <w:divBdr>
        <w:top w:val="none" w:sz="0" w:space="0" w:color="auto"/>
        <w:left w:val="none" w:sz="0" w:space="0" w:color="auto"/>
        <w:bottom w:val="none" w:sz="0" w:space="0" w:color="auto"/>
        <w:right w:val="none" w:sz="0" w:space="0" w:color="auto"/>
      </w:divBdr>
      <w:divsChild>
        <w:div w:id="792941911">
          <w:marLeft w:val="0"/>
          <w:marRight w:val="0"/>
          <w:marTop w:val="0"/>
          <w:marBottom w:val="0"/>
          <w:divBdr>
            <w:top w:val="none" w:sz="0" w:space="0" w:color="auto"/>
            <w:left w:val="none" w:sz="0" w:space="0" w:color="auto"/>
            <w:bottom w:val="none" w:sz="0" w:space="0" w:color="auto"/>
            <w:right w:val="none" w:sz="0" w:space="0" w:color="auto"/>
          </w:divBdr>
          <w:divsChild>
            <w:div w:id="308903085">
              <w:marLeft w:val="0"/>
              <w:marRight w:val="0"/>
              <w:marTop w:val="0"/>
              <w:marBottom w:val="0"/>
              <w:divBdr>
                <w:top w:val="none" w:sz="0" w:space="0" w:color="auto"/>
                <w:left w:val="none" w:sz="0" w:space="0" w:color="auto"/>
                <w:bottom w:val="none" w:sz="0" w:space="0" w:color="auto"/>
                <w:right w:val="none" w:sz="0" w:space="0" w:color="auto"/>
              </w:divBdr>
              <w:divsChild>
                <w:div w:id="1441418176">
                  <w:marLeft w:val="0"/>
                  <w:marRight w:val="0"/>
                  <w:marTop w:val="0"/>
                  <w:marBottom w:val="0"/>
                  <w:divBdr>
                    <w:top w:val="none" w:sz="0" w:space="0" w:color="auto"/>
                    <w:left w:val="none" w:sz="0" w:space="0" w:color="auto"/>
                    <w:bottom w:val="none" w:sz="0" w:space="0" w:color="auto"/>
                    <w:right w:val="none" w:sz="0" w:space="0" w:color="auto"/>
                  </w:divBdr>
                  <w:divsChild>
                    <w:div w:id="9303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6890">
      <w:bodyDiv w:val="1"/>
      <w:marLeft w:val="0"/>
      <w:marRight w:val="0"/>
      <w:marTop w:val="0"/>
      <w:marBottom w:val="0"/>
      <w:divBdr>
        <w:top w:val="none" w:sz="0" w:space="0" w:color="auto"/>
        <w:left w:val="none" w:sz="0" w:space="0" w:color="auto"/>
        <w:bottom w:val="none" w:sz="0" w:space="0" w:color="auto"/>
        <w:right w:val="none" w:sz="0" w:space="0" w:color="auto"/>
      </w:divBdr>
    </w:div>
    <w:div w:id="236403550">
      <w:bodyDiv w:val="1"/>
      <w:marLeft w:val="0"/>
      <w:marRight w:val="0"/>
      <w:marTop w:val="0"/>
      <w:marBottom w:val="0"/>
      <w:divBdr>
        <w:top w:val="none" w:sz="0" w:space="0" w:color="auto"/>
        <w:left w:val="none" w:sz="0" w:space="0" w:color="auto"/>
        <w:bottom w:val="none" w:sz="0" w:space="0" w:color="auto"/>
        <w:right w:val="none" w:sz="0" w:space="0" w:color="auto"/>
      </w:divBdr>
    </w:div>
    <w:div w:id="343946525">
      <w:bodyDiv w:val="1"/>
      <w:marLeft w:val="0"/>
      <w:marRight w:val="0"/>
      <w:marTop w:val="0"/>
      <w:marBottom w:val="0"/>
      <w:divBdr>
        <w:top w:val="none" w:sz="0" w:space="0" w:color="auto"/>
        <w:left w:val="none" w:sz="0" w:space="0" w:color="auto"/>
        <w:bottom w:val="none" w:sz="0" w:space="0" w:color="auto"/>
        <w:right w:val="none" w:sz="0" w:space="0" w:color="auto"/>
      </w:divBdr>
    </w:div>
    <w:div w:id="417020789">
      <w:bodyDiv w:val="1"/>
      <w:marLeft w:val="0"/>
      <w:marRight w:val="0"/>
      <w:marTop w:val="0"/>
      <w:marBottom w:val="0"/>
      <w:divBdr>
        <w:top w:val="none" w:sz="0" w:space="0" w:color="auto"/>
        <w:left w:val="none" w:sz="0" w:space="0" w:color="auto"/>
        <w:bottom w:val="none" w:sz="0" w:space="0" w:color="auto"/>
        <w:right w:val="none" w:sz="0" w:space="0" w:color="auto"/>
      </w:divBdr>
    </w:div>
    <w:div w:id="457918216">
      <w:bodyDiv w:val="1"/>
      <w:marLeft w:val="0"/>
      <w:marRight w:val="0"/>
      <w:marTop w:val="0"/>
      <w:marBottom w:val="0"/>
      <w:divBdr>
        <w:top w:val="none" w:sz="0" w:space="0" w:color="auto"/>
        <w:left w:val="none" w:sz="0" w:space="0" w:color="auto"/>
        <w:bottom w:val="none" w:sz="0" w:space="0" w:color="auto"/>
        <w:right w:val="none" w:sz="0" w:space="0" w:color="auto"/>
      </w:divBdr>
    </w:div>
    <w:div w:id="467286758">
      <w:bodyDiv w:val="1"/>
      <w:marLeft w:val="0"/>
      <w:marRight w:val="0"/>
      <w:marTop w:val="0"/>
      <w:marBottom w:val="0"/>
      <w:divBdr>
        <w:top w:val="none" w:sz="0" w:space="0" w:color="auto"/>
        <w:left w:val="none" w:sz="0" w:space="0" w:color="auto"/>
        <w:bottom w:val="none" w:sz="0" w:space="0" w:color="auto"/>
        <w:right w:val="none" w:sz="0" w:space="0" w:color="auto"/>
      </w:divBdr>
    </w:div>
    <w:div w:id="485362448">
      <w:bodyDiv w:val="1"/>
      <w:marLeft w:val="0"/>
      <w:marRight w:val="0"/>
      <w:marTop w:val="0"/>
      <w:marBottom w:val="0"/>
      <w:divBdr>
        <w:top w:val="none" w:sz="0" w:space="0" w:color="auto"/>
        <w:left w:val="none" w:sz="0" w:space="0" w:color="auto"/>
        <w:bottom w:val="none" w:sz="0" w:space="0" w:color="auto"/>
        <w:right w:val="none" w:sz="0" w:space="0" w:color="auto"/>
      </w:divBdr>
    </w:div>
    <w:div w:id="531765155">
      <w:bodyDiv w:val="1"/>
      <w:marLeft w:val="0"/>
      <w:marRight w:val="0"/>
      <w:marTop w:val="0"/>
      <w:marBottom w:val="0"/>
      <w:divBdr>
        <w:top w:val="none" w:sz="0" w:space="0" w:color="auto"/>
        <w:left w:val="none" w:sz="0" w:space="0" w:color="auto"/>
        <w:bottom w:val="none" w:sz="0" w:space="0" w:color="auto"/>
        <w:right w:val="none" w:sz="0" w:space="0" w:color="auto"/>
      </w:divBdr>
    </w:div>
    <w:div w:id="570240931">
      <w:bodyDiv w:val="1"/>
      <w:marLeft w:val="0"/>
      <w:marRight w:val="0"/>
      <w:marTop w:val="0"/>
      <w:marBottom w:val="0"/>
      <w:divBdr>
        <w:top w:val="none" w:sz="0" w:space="0" w:color="auto"/>
        <w:left w:val="none" w:sz="0" w:space="0" w:color="auto"/>
        <w:bottom w:val="none" w:sz="0" w:space="0" w:color="auto"/>
        <w:right w:val="none" w:sz="0" w:space="0" w:color="auto"/>
      </w:divBdr>
    </w:div>
    <w:div w:id="596065744">
      <w:bodyDiv w:val="1"/>
      <w:marLeft w:val="0"/>
      <w:marRight w:val="0"/>
      <w:marTop w:val="0"/>
      <w:marBottom w:val="0"/>
      <w:divBdr>
        <w:top w:val="none" w:sz="0" w:space="0" w:color="auto"/>
        <w:left w:val="none" w:sz="0" w:space="0" w:color="auto"/>
        <w:bottom w:val="none" w:sz="0" w:space="0" w:color="auto"/>
        <w:right w:val="none" w:sz="0" w:space="0" w:color="auto"/>
      </w:divBdr>
    </w:div>
    <w:div w:id="690228541">
      <w:bodyDiv w:val="1"/>
      <w:marLeft w:val="0"/>
      <w:marRight w:val="0"/>
      <w:marTop w:val="0"/>
      <w:marBottom w:val="0"/>
      <w:divBdr>
        <w:top w:val="none" w:sz="0" w:space="0" w:color="auto"/>
        <w:left w:val="none" w:sz="0" w:space="0" w:color="auto"/>
        <w:bottom w:val="none" w:sz="0" w:space="0" w:color="auto"/>
        <w:right w:val="none" w:sz="0" w:space="0" w:color="auto"/>
      </w:divBdr>
    </w:div>
    <w:div w:id="724794755">
      <w:bodyDiv w:val="1"/>
      <w:marLeft w:val="0"/>
      <w:marRight w:val="0"/>
      <w:marTop w:val="0"/>
      <w:marBottom w:val="0"/>
      <w:divBdr>
        <w:top w:val="none" w:sz="0" w:space="0" w:color="auto"/>
        <w:left w:val="none" w:sz="0" w:space="0" w:color="auto"/>
        <w:bottom w:val="none" w:sz="0" w:space="0" w:color="auto"/>
        <w:right w:val="none" w:sz="0" w:space="0" w:color="auto"/>
      </w:divBdr>
    </w:div>
    <w:div w:id="800079891">
      <w:bodyDiv w:val="1"/>
      <w:marLeft w:val="0"/>
      <w:marRight w:val="0"/>
      <w:marTop w:val="0"/>
      <w:marBottom w:val="0"/>
      <w:divBdr>
        <w:top w:val="none" w:sz="0" w:space="0" w:color="auto"/>
        <w:left w:val="none" w:sz="0" w:space="0" w:color="auto"/>
        <w:bottom w:val="none" w:sz="0" w:space="0" w:color="auto"/>
        <w:right w:val="none" w:sz="0" w:space="0" w:color="auto"/>
      </w:divBdr>
    </w:div>
    <w:div w:id="854810316">
      <w:bodyDiv w:val="1"/>
      <w:marLeft w:val="0"/>
      <w:marRight w:val="0"/>
      <w:marTop w:val="0"/>
      <w:marBottom w:val="0"/>
      <w:divBdr>
        <w:top w:val="none" w:sz="0" w:space="0" w:color="auto"/>
        <w:left w:val="none" w:sz="0" w:space="0" w:color="auto"/>
        <w:bottom w:val="none" w:sz="0" w:space="0" w:color="auto"/>
        <w:right w:val="none" w:sz="0" w:space="0" w:color="auto"/>
      </w:divBdr>
    </w:div>
    <w:div w:id="978025764">
      <w:bodyDiv w:val="1"/>
      <w:marLeft w:val="0"/>
      <w:marRight w:val="0"/>
      <w:marTop w:val="0"/>
      <w:marBottom w:val="0"/>
      <w:divBdr>
        <w:top w:val="none" w:sz="0" w:space="0" w:color="auto"/>
        <w:left w:val="none" w:sz="0" w:space="0" w:color="auto"/>
        <w:bottom w:val="none" w:sz="0" w:space="0" w:color="auto"/>
        <w:right w:val="none" w:sz="0" w:space="0" w:color="auto"/>
      </w:divBdr>
    </w:div>
    <w:div w:id="1115178985">
      <w:bodyDiv w:val="1"/>
      <w:marLeft w:val="0"/>
      <w:marRight w:val="0"/>
      <w:marTop w:val="0"/>
      <w:marBottom w:val="0"/>
      <w:divBdr>
        <w:top w:val="none" w:sz="0" w:space="0" w:color="auto"/>
        <w:left w:val="none" w:sz="0" w:space="0" w:color="auto"/>
        <w:bottom w:val="none" w:sz="0" w:space="0" w:color="auto"/>
        <w:right w:val="none" w:sz="0" w:space="0" w:color="auto"/>
      </w:divBdr>
    </w:div>
    <w:div w:id="1208226050">
      <w:bodyDiv w:val="1"/>
      <w:marLeft w:val="0"/>
      <w:marRight w:val="0"/>
      <w:marTop w:val="0"/>
      <w:marBottom w:val="0"/>
      <w:divBdr>
        <w:top w:val="none" w:sz="0" w:space="0" w:color="auto"/>
        <w:left w:val="none" w:sz="0" w:space="0" w:color="auto"/>
        <w:bottom w:val="none" w:sz="0" w:space="0" w:color="auto"/>
        <w:right w:val="none" w:sz="0" w:space="0" w:color="auto"/>
      </w:divBdr>
    </w:div>
    <w:div w:id="1237283063">
      <w:bodyDiv w:val="1"/>
      <w:marLeft w:val="0"/>
      <w:marRight w:val="0"/>
      <w:marTop w:val="0"/>
      <w:marBottom w:val="0"/>
      <w:divBdr>
        <w:top w:val="none" w:sz="0" w:space="0" w:color="auto"/>
        <w:left w:val="none" w:sz="0" w:space="0" w:color="auto"/>
        <w:bottom w:val="none" w:sz="0" w:space="0" w:color="auto"/>
        <w:right w:val="none" w:sz="0" w:space="0" w:color="auto"/>
      </w:divBdr>
    </w:div>
    <w:div w:id="1364021292">
      <w:bodyDiv w:val="1"/>
      <w:marLeft w:val="0"/>
      <w:marRight w:val="0"/>
      <w:marTop w:val="0"/>
      <w:marBottom w:val="0"/>
      <w:divBdr>
        <w:top w:val="none" w:sz="0" w:space="0" w:color="auto"/>
        <w:left w:val="none" w:sz="0" w:space="0" w:color="auto"/>
        <w:bottom w:val="none" w:sz="0" w:space="0" w:color="auto"/>
        <w:right w:val="none" w:sz="0" w:space="0" w:color="auto"/>
      </w:divBdr>
    </w:div>
    <w:div w:id="1379747271">
      <w:bodyDiv w:val="1"/>
      <w:marLeft w:val="0"/>
      <w:marRight w:val="0"/>
      <w:marTop w:val="0"/>
      <w:marBottom w:val="0"/>
      <w:divBdr>
        <w:top w:val="none" w:sz="0" w:space="0" w:color="auto"/>
        <w:left w:val="none" w:sz="0" w:space="0" w:color="auto"/>
        <w:bottom w:val="none" w:sz="0" w:space="0" w:color="auto"/>
        <w:right w:val="none" w:sz="0" w:space="0" w:color="auto"/>
      </w:divBdr>
    </w:div>
    <w:div w:id="1437096500">
      <w:bodyDiv w:val="1"/>
      <w:marLeft w:val="0"/>
      <w:marRight w:val="0"/>
      <w:marTop w:val="0"/>
      <w:marBottom w:val="0"/>
      <w:divBdr>
        <w:top w:val="none" w:sz="0" w:space="0" w:color="auto"/>
        <w:left w:val="none" w:sz="0" w:space="0" w:color="auto"/>
        <w:bottom w:val="none" w:sz="0" w:space="0" w:color="auto"/>
        <w:right w:val="none" w:sz="0" w:space="0" w:color="auto"/>
      </w:divBdr>
    </w:div>
    <w:div w:id="1535654787">
      <w:bodyDiv w:val="1"/>
      <w:marLeft w:val="0"/>
      <w:marRight w:val="0"/>
      <w:marTop w:val="0"/>
      <w:marBottom w:val="0"/>
      <w:divBdr>
        <w:top w:val="none" w:sz="0" w:space="0" w:color="auto"/>
        <w:left w:val="none" w:sz="0" w:space="0" w:color="auto"/>
        <w:bottom w:val="none" w:sz="0" w:space="0" w:color="auto"/>
        <w:right w:val="none" w:sz="0" w:space="0" w:color="auto"/>
      </w:divBdr>
    </w:div>
    <w:div w:id="1552106665">
      <w:bodyDiv w:val="1"/>
      <w:marLeft w:val="0"/>
      <w:marRight w:val="0"/>
      <w:marTop w:val="0"/>
      <w:marBottom w:val="0"/>
      <w:divBdr>
        <w:top w:val="none" w:sz="0" w:space="0" w:color="auto"/>
        <w:left w:val="none" w:sz="0" w:space="0" w:color="auto"/>
        <w:bottom w:val="none" w:sz="0" w:space="0" w:color="auto"/>
        <w:right w:val="none" w:sz="0" w:space="0" w:color="auto"/>
      </w:divBdr>
    </w:div>
    <w:div w:id="1624768839">
      <w:bodyDiv w:val="1"/>
      <w:marLeft w:val="0"/>
      <w:marRight w:val="0"/>
      <w:marTop w:val="0"/>
      <w:marBottom w:val="0"/>
      <w:divBdr>
        <w:top w:val="none" w:sz="0" w:space="0" w:color="auto"/>
        <w:left w:val="none" w:sz="0" w:space="0" w:color="auto"/>
        <w:bottom w:val="none" w:sz="0" w:space="0" w:color="auto"/>
        <w:right w:val="none" w:sz="0" w:space="0" w:color="auto"/>
      </w:divBdr>
    </w:div>
    <w:div w:id="1643391513">
      <w:bodyDiv w:val="1"/>
      <w:marLeft w:val="0"/>
      <w:marRight w:val="0"/>
      <w:marTop w:val="0"/>
      <w:marBottom w:val="0"/>
      <w:divBdr>
        <w:top w:val="none" w:sz="0" w:space="0" w:color="auto"/>
        <w:left w:val="none" w:sz="0" w:space="0" w:color="auto"/>
        <w:bottom w:val="none" w:sz="0" w:space="0" w:color="auto"/>
        <w:right w:val="none" w:sz="0" w:space="0" w:color="auto"/>
      </w:divBdr>
    </w:div>
    <w:div w:id="1657609540">
      <w:bodyDiv w:val="1"/>
      <w:marLeft w:val="0"/>
      <w:marRight w:val="0"/>
      <w:marTop w:val="0"/>
      <w:marBottom w:val="0"/>
      <w:divBdr>
        <w:top w:val="none" w:sz="0" w:space="0" w:color="auto"/>
        <w:left w:val="none" w:sz="0" w:space="0" w:color="auto"/>
        <w:bottom w:val="none" w:sz="0" w:space="0" w:color="auto"/>
        <w:right w:val="none" w:sz="0" w:space="0" w:color="auto"/>
      </w:divBdr>
      <w:divsChild>
        <w:div w:id="3619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813">
      <w:bodyDiv w:val="1"/>
      <w:marLeft w:val="0"/>
      <w:marRight w:val="0"/>
      <w:marTop w:val="0"/>
      <w:marBottom w:val="0"/>
      <w:divBdr>
        <w:top w:val="none" w:sz="0" w:space="0" w:color="auto"/>
        <w:left w:val="none" w:sz="0" w:space="0" w:color="auto"/>
        <w:bottom w:val="none" w:sz="0" w:space="0" w:color="auto"/>
        <w:right w:val="none" w:sz="0" w:space="0" w:color="auto"/>
      </w:divBdr>
    </w:div>
    <w:div w:id="1681545110">
      <w:bodyDiv w:val="1"/>
      <w:marLeft w:val="0"/>
      <w:marRight w:val="0"/>
      <w:marTop w:val="0"/>
      <w:marBottom w:val="0"/>
      <w:divBdr>
        <w:top w:val="none" w:sz="0" w:space="0" w:color="auto"/>
        <w:left w:val="none" w:sz="0" w:space="0" w:color="auto"/>
        <w:bottom w:val="none" w:sz="0" w:space="0" w:color="auto"/>
        <w:right w:val="none" w:sz="0" w:space="0" w:color="auto"/>
      </w:divBdr>
    </w:div>
    <w:div w:id="1763188121">
      <w:bodyDiv w:val="1"/>
      <w:marLeft w:val="0"/>
      <w:marRight w:val="0"/>
      <w:marTop w:val="0"/>
      <w:marBottom w:val="0"/>
      <w:divBdr>
        <w:top w:val="none" w:sz="0" w:space="0" w:color="auto"/>
        <w:left w:val="none" w:sz="0" w:space="0" w:color="auto"/>
        <w:bottom w:val="none" w:sz="0" w:space="0" w:color="auto"/>
        <w:right w:val="none" w:sz="0" w:space="0" w:color="auto"/>
      </w:divBdr>
    </w:div>
    <w:div w:id="1782530548">
      <w:bodyDiv w:val="1"/>
      <w:marLeft w:val="0"/>
      <w:marRight w:val="0"/>
      <w:marTop w:val="0"/>
      <w:marBottom w:val="0"/>
      <w:divBdr>
        <w:top w:val="none" w:sz="0" w:space="0" w:color="auto"/>
        <w:left w:val="none" w:sz="0" w:space="0" w:color="auto"/>
        <w:bottom w:val="none" w:sz="0" w:space="0" w:color="auto"/>
        <w:right w:val="none" w:sz="0" w:space="0" w:color="auto"/>
      </w:divBdr>
    </w:div>
    <w:div w:id="1786264962">
      <w:bodyDiv w:val="1"/>
      <w:marLeft w:val="0"/>
      <w:marRight w:val="0"/>
      <w:marTop w:val="0"/>
      <w:marBottom w:val="0"/>
      <w:divBdr>
        <w:top w:val="none" w:sz="0" w:space="0" w:color="auto"/>
        <w:left w:val="none" w:sz="0" w:space="0" w:color="auto"/>
        <w:bottom w:val="none" w:sz="0" w:space="0" w:color="auto"/>
        <w:right w:val="none" w:sz="0" w:space="0" w:color="auto"/>
      </w:divBdr>
    </w:div>
    <w:div w:id="1802503868">
      <w:bodyDiv w:val="1"/>
      <w:marLeft w:val="0"/>
      <w:marRight w:val="0"/>
      <w:marTop w:val="0"/>
      <w:marBottom w:val="0"/>
      <w:divBdr>
        <w:top w:val="none" w:sz="0" w:space="0" w:color="auto"/>
        <w:left w:val="none" w:sz="0" w:space="0" w:color="auto"/>
        <w:bottom w:val="none" w:sz="0" w:space="0" w:color="auto"/>
        <w:right w:val="none" w:sz="0" w:space="0" w:color="auto"/>
      </w:divBdr>
    </w:div>
    <w:div w:id="1804812335">
      <w:bodyDiv w:val="1"/>
      <w:marLeft w:val="0"/>
      <w:marRight w:val="0"/>
      <w:marTop w:val="0"/>
      <w:marBottom w:val="0"/>
      <w:divBdr>
        <w:top w:val="none" w:sz="0" w:space="0" w:color="auto"/>
        <w:left w:val="none" w:sz="0" w:space="0" w:color="auto"/>
        <w:bottom w:val="none" w:sz="0" w:space="0" w:color="auto"/>
        <w:right w:val="none" w:sz="0" w:space="0" w:color="auto"/>
      </w:divBdr>
      <w:divsChild>
        <w:div w:id="1228149161">
          <w:marLeft w:val="0"/>
          <w:marRight w:val="0"/>
          <w:marTop w:val="0"/>
          <w:marBottom w:val="450"/>
          <w:divBdr>
            <w:top w:val="none" w:sz="0" w:space="0" w:color="auto"/>
            <w:left w:val="none" w:sz="0" w:space="0" w:color="auto"/>
            <w:bottom w:val="none" w:sz="0" w:space="0" w:color="auto"/>
            <w:right w:val="none" w:sz="0" w:space="0" w:color="auto"/>
          </w:divBdr>
          <w:divsChild>
            <w:div w:id="1918661588">
              <w:marLeft w:val="0"/>
              <w:marRight w:val="0"/>
              <w:marTop w:val="0"/>
              <w:marBottom w:val="0"/>
              <w:divBdr>
                <w:top w:val="none" w:sz="0" w:space="0" w:color="auto"/>
                <w:left w:val="none" w:sz="0" w:space="0" w:color="auto"/>
                <w:bottom w:val="none" w:sz="0" w:space="0" w:color="auto"/>
                <w:right w:val="none" w:sz="0" w:space="0" w:color="auto"/>
              </w:divBdr>
            </w:div>
          </w:divsChild>
        </w:div>
        <w:div w:id="960959533">
          <w:marLeft w:val="0"/>
          <w:marRight w:val="0"/>
          <w:marTop w:val="0"/>
          <w:marBottom w:val="450"/>
          <w:divBdr>
            <w:top w:val="none" w:sz="0" w:space="0" w:color="auto"/>
            <w:left w:val="none" w:sz="0" w:space="0" w:color="auto"/>
            <w:bottom w:val="none" w:sz="0" w:space="0" w:color="auto"/>
            <w:right w:val="none" w:sz="0" w:space="0" w:color="auto"/>
          </w:divBdr>
          <w:divsChild>
            <w:div w:id="394860944">
              <w:marLeft w:val="0"/>
              <w:marRight w:val="0"/>
              <w:marTop w:val="0"/>
              <w:marBottom w:val="0"/>
              <w:divBdr>
                <w:top w:val="none" w:sz="0" w:space="0" w:color="auto"/>
                <w:left w:val="none" w:sz="0" w:space="0" w:color="auto"/>
                <w:bottom w:val="none" w:sz="0" w:space="0" w:color="auto"/>
                <w:right w:val="none" w:sz="0" w:space="0" w:color="auto"/>
              </w:divBdr>
            </w:div>
          </w:divsChild>
        </w:div>
        <w:div w:id="1840658126">
          <w:marLeft w:val="0"/>
          <w:marRight w:val="0"/>
          <w:marTop w:val="0"/>
          <w:marBottom w:val="450"/>
          <w:divBdr>
            <w:top w:val="none" w:sz="0" w:space="0" w:color="auto"/>
            <w:left w:val="none" w:sz="0" w:space="0" w:color="auto"/>
            <w:bottom w:val="none" w:sz="0" w:space="0" w:color="auto"/>
            <w:right w:val="none" w:sz="0" w:space="0" w:color="auto"/>
          </w:divBdr>
          <w:divsChild>
            <w:div w:id="434011314">
              <w:marLeft w:val="0"/>
              <w:marRight w:val="0"/>
              <w:marTop w:val="0"/>
              <w:marBottom w:val="0"/>
              <w:divBdr>
                <w:top w:val="none" w:sz="0" w:space="0" w:color="auto"/>
                <w:left w:val="none" w:sz="0" w:space="0" w:color="auto"/>
                <w:bottom w:val="none" w:sz="0" w:space="0" w:color="auto"/>
                <w:right w:val="none" w:sz="0" w:space="0" w:color="auto"/>
              </w:divBdr>
            </w:div>
          </w:divsChild>
        </w:div>
        <w:div w:id="695157884">
          <w:marLeft w:val="0"/>
          <w:marRight w:val="0"/>
          <w:marTop w:val="0"/>
          <w:marBottom w:val="450"/>
          <w:divBdr>
            <w:top w:val="none" w:sz="0" w:space="0" w:color="auto"/>
            <w:left w:val="none" w:sz="0" w:space="0" w:color="auto"/>
            <w:bottom w:val="none" w:sz="0" w:space="0" w:color="auto"/>
            <w:right w:val="none" w:sz="0" w:space="0" w:color="auto"/>
          </w:divBdr>
          <w:divsChild>
            <w:div w:id="568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546">
      <w:bodyDiv w:val="1"/>
      <w:marLeft w:val="0"/>
      <w:marRight w:val="0"/>
      <w:marTop w:val="0"/>
      <w:marBottom w:val="0"/>
      <w:divBdr>
        <w:top w:val="none" w:sz="0" w:space="0" w:color="auto"/>
        <w:left w:val="none" w:sz="0" w:space="0" w:color="auto"/>
        <w:bottom w:val="none" w:sz="0" w:space="0" w:color="auto"/>
        <w:right w:val="none" w:sz="0" w:space="0" w:color="auto"/>
      </w:divBdr>
      <w:divsChild>
        <w:div w:id="1445660995">
          <w:marLeft w:val="0"/>
          <w:marRight w:val="0"/>
          <w:marTop w:val="0"/>
          <w:marBottom w:val="0"/>
          <w:divBdr>
            <w:top w:val="none" w:sz="0" w:space="0" w:color="auto"/>
            <w:left w:val="none" w:sz="0" w:space="0" w:color="auto"/>
            <w:bottom w:val="none" w:sz="0" w:space="0" w:color="auto"/>
            <w:right w:val="none" w:sz="0" w:space="0" w:color="auto"/>
          </w:divBdr>
          <w:divsChild>
            <w:div w:id="424427540">
              <w:marLeft w:val="0"/>
              <w:marRight w:val="0"/>
              <w:marTop w:val="0"/>
              <w:marBottom w:val="0"/>
              <w:divBdr>
                <w:top w:val="none" w:sz="0" w:space="0" w:color="auto"/>
                <w:left w:val="none" w:sz="0" w:space="0" w:color="auto"/>
                <w:bottom w:val="none" w:sz="0" w:space="0" w:color="auto"/>
                <w:right w:val="none" w:sz="0" w:space="0" w:color="auto"/>
              </w:divBdr>
              <w:divsChild>
                <w:div w:id="16026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1540">
      <w:bodyDiv w:val="1"/>
      <w:marLeft w:val="0"/>
      <w:marRight w:val="0"/>
      <w:marTop w:val="0"/>
      <w:marBottom w:val="0"/>
      <w:divBdr>
        <w:top w:val="none" w:sz="0" w:space="0" w:color="auto"/>
        <w:left w:val="none" w:sz="0" w:space="0" w:color="auto"/>
        <w:bottom w:val="none" w:sz="0" w:space="0" w:color="auto"/>
        <w:right w:val="none" w:sz="0" w:space="0" w:color="auto"/>
      </w:divBdr>
    </w:div>
    <w:div w:id="1868443763">
      <w:bodyDiv w:val="1"/>
      <w:marLeft w:val="0"/>
      <w:marRight w:val="0"/>
      <w:marTop w:val="0"/>
      <w:marBottom w:val="0"/>
      <w:divBdr>
        <w:top w:val="none" w:sz="0" w:space="0" w:color="auto"/>
        <w:left w:val="none" w:sz="0" w:space="0" w:color="auto"/>
        <w:bottom w:val="none" w:sz="0" w:space="0" w:color="auto"/>
        <w:right w:val="none" w:sz="0" w:space="0" w:color="auto"/>
      </w:divBdr>
    </w:div>
    <w:div w:id="1904942866">
      <w:bodyDiv w:val="1"/>
      <w:marLeft w:val="0"/>
      <w:marRight w:val="0"/>
      <w:marTop w:val="0"/>
      <w:marBottom w:val="0"/>
      <w:divBdr>
        <w:top w:val="none" w:sz="0" w:space="0" w:color="auto"/>
        <w:left w:val="none" w:sz="0" w:space="0" w:color="auto"/>
        <w:bottom w:val="none" w:sz="0" w:space="0" w:color="auto"/>
        <w:right w:val="none" w:sz="0" w:space="0" w:color="auto"/>
      </w:divBdr>
    </w:div>
    <w:div w:id="1929535813">
      <w:bodyDiv w:val="1"/>
      <w:marLeft w:val="0"/>
      <w:marRight w:val="0"/>
      <w:marTop w:val="0"/>
      <w:marBottom w:val="0"/>
      <w:divBdr>
        <w:top w:val="none" w:sz="0" w:space="0" w:color="auto"/>
        <w:left w:val="none" w:sz="0" w:space="0" w:color="auto"/>
        <w:bottom w:val="none" w:sz="0" w:space="0" w:color="auto"/>
        <w:right w:val="none" w:sz="0" w:space="0" w:color="auto"/>
      </w:divBdr>
      <w:divsChild>
        <w:div w:id="690498189">
          <w:marLeft w:val="0"/>
          <w:marRight w:val="0"/>
          <w:marTop w:val="0"/>
          <w:marBottom w:val="0"/>
          <w:divBdr>
            <w:top w:val="none" w:sz="0" w:space="0" w:color="auto"/>
            <w:left w:val="none" w:sz="0" w:space="0" w:color="auto"/>
            <w:bottom w:val="none" w:sz="0" w:space="0" w:color="auto"/>
            <w:right w:val="none" w:sz="0" w:space="0" w:color="auto"/>
          </w:divBdr>
          <w:divsChild>
            <w:div w:id="2064021957">
              <w:marLeft w:val="0"/>
              <w:marRight w:val="0"/>
              <w:marTop w:val="0"/>
              <w:marBottom w:val="0"/>
              <w:divBdr>
                <w:top w:val="none" w:sz="0" w:space="0" w:color="auto"/>
                <w:left w:val="none" w:sz="0" w:space="0" w:color="auto"/>
                <w:bottom w:val="none" w:sz="0" w:space="0" w:color="auto"/>
                <w:right w:val="none" w:sz="0" w:space="0" w:color="auto"/>
              </w:divBdr>
              <w:divsChild>
                <w:div w:id="9910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5838">
      <w:bodyDiv w:val="1"/>
      <w:marLeft w:val="0"/>
      <w:marRight w:val="0"/>
      <w:marTop w:val="0"/>
      <w:marBottom w:val="0"/>
      <w:divBdr>
        <w:top w:val="none" w:sz="0" w:space="0" w:color="auto"/>
        <w:left w:val="none" w:sz="0" w:space="0" w:color="auto"/>
        <w:bottom w:val="none" w:sz="0" w:space="0" w:color="auto"/>
        <w:right w:val="none" w:sz="0" w:space="0" w:color="auto"/>
      </w:divBdr>
      <w:divsChild>
        <w:div w:id="168227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847266">
      <w:bodyDiv w:val="1"/>
      <w:marLeft w:val="0"/>
      <w:marRight w:val="0"/>
      <w:marTop w:val="0"/>
      <w:marBottom w:val="0"/>
      <w:divBdr>
        <w:top w:val="none" w:sz="0" w:space="0" w:color="auto"/>
        <w:left w:val="none" w:sz="0" w:space="0" w:color="auto"/>
        <w:bottom w:val="none" w:sz="0" w:space="0" w:color="auto"/>
        <w:right w:val="none" w:sz="0" w:space="0" w:color="auto"/>
      </w:divBdr>
    </w:div>
    <w:div w:id="20043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shmanwakefiel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media.poland@cushwak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e8c748b-9673-4c43-b9e9-f6f47eed6137" xsi:nil="true"/>
    <lcf76f155ced4ddcb4097134ff3c332f xmlns="ad0eda28-077b-48b4-981d-21104f8134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09ED7BA2763A478EDE0130F91B5123" ma:contentTypeVersion="15" ma:contentTypeDescription="Create a new document." ma:contentTypeScope="" ma:versionID="f0827b97c411c567ea7b6231876734c3">
  <xsd:schema xmlns:xsd="http://www.w3.org/2001/XMLSchema" xmlns:xs="http://www.w3.org/2001/XMLSchema" xmlns:p="http://schemas.microsoft.com/office/2006/metadata/properties" xmlns:ns2="ad0eda28-077b-48b4-981d-21104f8134f6" xmlns:ns3="9e8c748b-9673-4c43-b9e9-f6f47eed6137" targetNamespace="http://schemas.microsoft.com/office/2006/metadata/properties" ma:root="true" ma:fieldsID="b88f6f328498e53ec5465a59d7175b84" ns2:_="" ns3:_="">
    <xsd:import namespace="ad0eda28-077b-48b4-981d-21104f8134f6"/>
    <xsd:import namespace="9e8c748b-9673-4c43-b9e9-f6f47eed61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eda28-077b-48b4-981d-21104f813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8c748b-9673-4c43-b9e9-f6f47eed61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cbde1b-057e-4a17-a9b6-2fa292d2b0ef}" ma:internalName="TaxCatchAll" ma:showField="CatchAllData" ma:web="9e8c748b-9673-4c43-b9e9-f6f47eed61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020F5-6A5F-4917-A4CC-571D08771D57}">
  <ds:schemaRefs>
    <ds:schemaRef ds:uri="http://schemas.openxmlformats.org/officeDocument/2006/bibliography"/>
  </ds:schemaRefs>
</ds:datastoreItem>
</file>

<file path=customXml/itemProps2.xml><?xml version="1.0" encoding="utf-8"?>
<ds:datastoreItem xmlns:ds="http://schemas.openxmlformats.org/officeDocument/2006/customXml" ds:itemID="{5422DD7A-76A6-40A8-8556-74F891675D7E}">
  <ds:schemaRefs>
    <ds:schemaRef ds:uri="http://schemas.microsoft.com/office/2006/metadata/properties"/>
    <ds:schemaRef ds:uri="http://schemas.microsoft.com/office/infopath/2007/PartnerControls"/>
    <ds:schemaRef ds:uri="9e8c748b-9673-4c43-b9e9-f6f47eed6137"/>
    <ds:schemaRef ds:uri="ad0eda28-077b-48b4-981d-21104f8134f6"/>
  </ds:schemaRefs>
</ds:datastoreItem>
</file>

<file path=customXml/itemProps3.xml><?xml version="1.0" encoding="utf-8"?>
<ds:datastoreItem xmlns:ds="http://schemas.openxmlformats.org/officeDocument/2006/customXml" ds:itemID="{101A7165-7933-4207-B555-4CFBF4C92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eda28-077b-48b4-981d-21104f8134f6"/>
    <ds:schemaRef ds:uri="9e8c748b-9673-4c43-b9e9-f6f47eed6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03DC5-36C3-4D01-A699-677E7E955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1080</Words>
  <Characters>6161</Characters>
  <Application>Microsoft Office Word</Application>
  <DocSecurity>0</DocSecurity>
  <Lines>51</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magdalena ossowska</cp:lastModifiedBy>
  <cp:revision>31</cp:revision>
  <dcterms:created xsi:type="dcterms:W3CDTF">2025-10-17T09:02:00Z</dcterms:created>
  <dcterms:modified xsi:type="dcterms:W3CDTF">2025-10-20T09:00:00Z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01c4386eb9a1dc9de2fec12738f87015bcc4ef4c8803dccae430c9e60e042de1</vt:lpwstr>
  </property>
  <property fmtid="{D5CDD505-2E9C-101B-9397-08002B2CF9AE}" pid="3" name="ContentTypeId">
    <vt:lpwstr>0x010100C609ED7BA2763A478EDE0130F91B5123</vt:lpwstr>
  </property>
</Properties>
</file>