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39A1" w14:textId="2E95D49E" w:rsidR="00B51DB6" w:rsidRPr="00EB65C3" w:rsidRDefault="003343D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222222"/>
        </w:rPr>
      </w:pPr>
      <w:r w:rsidRPr="00EB65C3">
        <w:rPr>
          <w:rFonts w:ascii="Calibri" w:eastAsia="Calibri" w:hAnsi="Calibri" w:cs="Calibri"/>
          <w:color w:val="222222"/>
        </w:rPr>
        <w:t xml:space="preserve">Warszawa, </w:t>
      </w:r>
      <w:r w:rsidR="001A7714">
        <w:rPr>
          <w:rFonts w:ascii="Calibri" w:eastAsia="Calibri" w:hAnsi="Calibri" w:cs="Calibri"/>
          <w:color w:val="222222"/>
        </w:rPr>
        <w:t>20</w:t>
      </w:r>
      <w:r w:rsidRPr="00EB65C3">
        <w:rPr>
          <w:rFonts w:ascii="Calibri" w:eastAsia="Calibri" w:hAnsi="Calibri" w:cs="Calibri"/>
          <w:color w:val="222222"/>
        </w:rPr>
        <w:t>.</w:t>
      </w:r>
      <w:r w:rsidR="00BC43E2">
        <w:rPr>
          <w:rFonts w:ascii="Calibri" w:eastAsia="Calibri" w:hAnsi="Calibri" w:cs="Calibri"/>
          <w:color w:val="222222"/>
        </w:rPr>
        <w:t>10</w:t>
      </w:r>
      <w:r w:rsidRPr="00EB65C3">
        <w:rPr>
          <w:rFonts w:ascii="Calibri" w:eastAsia="Calibri" w:hAnsi="Calibri" w:cs="Calibri"/>
          <w:color w:val="222222"/>
        </w:rPr>
        <w:t>.2025 r.</w:t>
      </w:r>
    </w:p>
    <w:p w14:paraId="5DB59A7C" w14:textId="77777777" w:rsidR="00EB65C3" w:rsidRDefault="00EB65C3" w:rsidP="00EB65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222222"/>
          <w:sz w:val="28"/>
          <w:szCs w:val="28"/>
        </w:rPr>
      </w:pPr>
    </w:p>
    <w:p w14:paraId="7C6EA941" w14:textId="05D88010" w:rsidR="00B51DB6" w:rsidRPr="00EB65C3" w:rsidRDefault="00EB65C3" w:rsidP="00EB65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222222"/>
          <w:sz w:val="28"/>
          <w:szCs w:val="28"/>
        </w:rPr>
      </w:pPr>
      <w:r w:rsidRPr="00EB65C3">
        <w:rPr>
          <w:rFonts w:ascii="Calibri" w:eastAsia="Calibri" w:hAnsi="Calibri" w:cs="Calibri"/>
          <w:bCs/>
          <w:color w:val="222222"/>
          <w:sz w:val="28"/>
          <w:szCs w:val="28"/>
        </w:rPr>
        <w:t>INFORMACJA PRASOWA</w:t>
      </w:r>
    </w:p>
    <w:p w14:paraId="35B9A63F" w14:textId="77777777" w:rsidR="00EB65C3" w:rsidRDefault="00EB65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</w:p>
    <w:p w14:paraId="5A7A9EA3" w14:textId="77777777" w:rsidR="00EB65C3" w:rsidRDefault="00EB65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</w:p>
    <w:p w14:paraId="5CCA724E" w14:textId="1EAC58AB" w:rsidR="00B51DB6" w:rsidRDefault="003343D6" w:rsidP="00A72B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BIG InfoMonitor: </w:t>
      </w:r>
      <w:r w:rsidR="00BC43E2" w:rsidRPr="00BC43E2">
        <w:rPr>
          <w:rFonts w:ascii="Calibri" w:eastAsia="Calibri" w:hAnsi="Calibri" w:cs="Calibri"/>
          <w:b/>
          <w:color w:val="222222"/>
          <w:sz w:val="28"/>
          <w:szCs w:val="28"/>
        </w:rPr>
        <w:t xml:space="preserve">Wschód </w:t>
      </w:r>
      <w:r w:rsidR="000A574C">
        <w:rPr>
          <w:rFonts w:ascii="Calibri" w:eastAsia="Calibri" w:hAnsi="Calibri" w:cs="Calibri"/>
          <w:b/>
          <w:color w:val="222222"/>
          <w:sz w:val="28"/>
          <w:szCs w:val="28"/>
        </w:rPr>
        <w:t xml:space="preserve">Polski </w:t>
      </w:r>
      <w:r w:rsidR="00BC43E2" w:rsidRPr="00BC43E2">
        <w:rPr>
          <w:rFonts w:ascii="Calibri" w:eastAsia="Calibri" w:hAnsi="Calibri" w:cs="Calibri"/>
          <w:b/>
          <w:color w:val="222222"/>
          <w:sz w:val="28"/>
          <w:szCs w:val="28"/>
        </w:rPr>
        <w:t>lepiej radzi sobie z zaległościami, na zachodzie bez zmian</w:t>
      </w:r>
    </w:p>
    <w:p w14:paraId="2657E891" w14:textId="77777777" w:rsidR="00A72B3A" w:rsidRPr="00A72B3A" w:rsidRDefault="00A72B3A" w:rsidP="00A72B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222222"/>
          <w:sz w:val="28"/>
          <w:szCs w:val="28"/>
        </w:rPr>
      </w:pPr>
    </w:p>
    <w:p w14:paraId="01DD107E" w14:textId="05A498E4" w:rsidR="00C77043" w:rsidRPr="00B976F1" w:rsidRDefault="00F556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222222"/>
          <w:sz w:val="24"/>
          <w:szCs w:val="24"/>
        </w:rPr>
      </w:pPr>
      <w:r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Średnio w kraju 80 osób na 1000 dorosłych Polaków nie radzi sobie z terminową spłatą 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swoich </w:t>
      </w:r>
      <w:r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zobowiązań</w:t>
      </w:r>
      <w:r w:rsidR="00C63CA5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kredytowych i pozakredytowych</w:t>
      </w:r>
      <w:r w:rsidR="00060BB7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,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jednak </w:t>
      </w:r>
      <w:r w:rsidR="00C63CA5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w</w:t>
      </w:r>
      <w:r w:rsidR="00C77043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zależności od miejsca zamieszkania z różnym nasileniem. </w:t>
      </w:r>
      <w:r w:rsidR="00D8529A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Oznacza to, że 8 proc. 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dorosłej </w:t>
      </w:r>
      <w:r w:rsidR="00D8529A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populacji </w:t>
      </w:r>
      <w:r w:rsidR="001C5B2F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figuruje w Rejestrze Dłużników</w:t>
      </w:r>
      <w:r w:rsidR="00AE14EB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  <w:r w:rsidR="00D8529A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BIG InfoMonitor  lub też ma </w:t>
      </w:r>
      <w:r w:rsidR="00EC4C39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opóźnienia w spłacie kredytu czy pożyczki </w:t>
      </w:r>
      <w:r w:rsidR="00D8529A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widoczn</w:t>
      </w:r>
      <w:r w:rsidR="00EC4C39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e</w:t>
      </w:r>
      <w:r w:rsidR="00D8529A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w BIK</w:t>
      </w:r>
      <w:r w:rsidR="00245959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. </w:t>
      </w:r>
      <w:r w:rsidR="00AA7DB8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Pozycję lidera w 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niechlubnym </w:t>
      </w:r>
      <w:r w:rsidR="00AA7DB8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zestawieniu</w:t>
      </w:r>
      <w:r w:rsidR="00F2399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województw, których mieszkańcy mają</w:t>
      </w:r>
      <w:r w:rsidR="00AA7DB8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problemy finansowe </w:t>
      </w:r>
      <w:r w:rsidR="00C77043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zachowuje</w:t>
      </w:r>
      <w:r w:rsidR="00AA7DB8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woj. lubuskie</w:t>
      </w:r>
      <w:r w:rsidR="00C77043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i zachodniopomorskie</w:t>
      </w:r>
      <w:r w:rsidR="00BE4F5F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, gdzie </w:t>
      </w:r>
      <w:r w:rsidR="000A574C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takich osób </w:t>
      </w:r>
      <w:r w:rsidR="00BE4F5F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jest</w:t>
      </w:r>
      <w:r w:rsidR="00F95F38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najwięcej - </w:t>
      </w:r>
      <w:r w:rsidR="00BE4F5F" w:rsidRPr="00B976F1">
        <w:rPr>
          <w:rFonts w:ascii="Calibri" w:eastAsia="Calibri" w:hAnsi="Calibri" w:cs="Calibri"/>
          <w:b/>
          <w:bCs/>
          <w:color w:val="222222"/>
          <w:sz w:val="24"/>
          <w:szCs w:val="24"/>
        </w:rPr>
        <w:t>kolejno 107 i 104 dłużników na 1000 mieszkańców.</w:t>
      </w:r>
    </w:p>
    <w:p w14:paraId="5D3A91CA" w14:textId="77777777" w:rsidR="00E447CB" w:rsidRDefault="00E447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222222"/>
          <w:sz w:val="23"/>
          <w:szCs w:val="23"/>
        </w:rPr>
      </w:pPr>
    </w:p>
    <w:p w14:paraId="5375B55C" w14:textId="61321A0B" w:rsidR="00E447CB" w:rsidRPr="00E447CB" w:rsidRDefault="00E447CB" w:rsidP="00E447CB">
      <w:pPr>
        <w:jc w:val="both"/>
        <w:rPr>
          <w:rFonts w:ascii="Calibri" w:eastAsia="Calibri" w:hAnsi="Calibri" w:cs="Calibri"/>
          <w:color w:val="222222"/>
          <w:sz w:val="23"/>
          <w:szCs w:val="23"/>
        </w:rPr>
      </w:pPr>
      <w:r w:rsidRPr="00E447CB">
        <w:rPr>
          <w:rFonts w:ascii="Calibri" w:eastAsia="Calibri" w:hAnsi="Calibri" w:cs="Calibri"/>
          <w:color w:val="222222"/>
          <w:sz w:val="23"/>
          <w:szCs w:val="23"/>
        </w:rPr>
        <w:t>Choć</w:t>
      </w:r>
      <w:r w:rsidR="00B32B6E">
        <w:rPr>
          <w:rFonts w:ascii="Calibri" w:eastAsia="Calibri" w:hAnsi="Calibri" w:cs="Calibri"/>
          <w:color w:val="222222"/>
          <w:sz w:val="23"/>
          <w:szCs w:val="23"/>
        </w:rPr>
        <w:t xml:space="preserve"> 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liczba osób niepłacących w terminie </w:t>
      </w:r>
      <w:r w:rsidR="00B32B6E">
        <w:rPr>
          <w:rFonts w:ascii="Calibri" w:eastAsia="Calibri" w:hAnsi="Calibri" w:cs="Calibri"/>
          <w:color w:val="222222"/>
          <w:sz w:val="23"/>
          <w:szCs w:val="23"/>
        </w:rPr>
        <w:t xml:space="preserve">swoich zobowiązań kredytowych i pozakredytowych 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>spadła w</w:t>
      </w:r>
      <w:r w:rsidR="00B32B6E">
        <w:rPr>
          <w:rFonts w:ascii="Calibri" w:eastAsia="Calibri" w:hAnsi="Calibri" w:cs="Calibri"/>
          <w:color w:val="222222"/>
          <w:sz w:val="23"/>
          <w:szCs w:val="23"/>
        </w:rPr>
        <w:t xml:space="preserve"> ostatnim czasie w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 każdym województwie, to wciąż najmniej pozostaje ich na wschodzie, a najwięcej na zachodzie kraju. W statystyce</w:t>
      </w:r>
      <w:r w:rsidR="00A7069A">
        <w:rPr>
          <w:rFonts w:ascii="Calibri" w:eastAsia="Calibri" w:hAnsi="Calibri" w:cs="Calibri"/>
          <w:color w:val="222222"/>
          <w:sz w:val="23"/>
          <w:szCs w:val="23"/>
        </w:rPr>
        <w:t xml:space="preserve"> przygotowanej przez BIG InfoMonitor i BIK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 najlepiej wypada województwo podkarpackie, gdzie na 1000 osób powyżej 18 roku życia, problem z zadbaniem o swoje finanse mają 44 osoby. Na drugim biegunie znajdują się województwa z północnej, a w szczególności zachodniej Polski. Niechlubnym rekordzistą ponownie zostało województwo lubuskie ze współczynnikiem na poziomie 107 osób. Tuż za nim pozostaje zachodniopomorskie (104 osoby) i dolnośląskie (10</w:t>
      </w:r>
      <w:r w:rsidR="00A7069A">
        <w:rPr>
          <w:rFonts w:ascii="Calibri" w:eastAsia="Calibri" w:hAnsi="Calibri" w:cs="Calibri"/>
          <w:color w:val="222222"/>
          <w:sz w:val="23"/>
          <w:szCs w:val="23"/>
        </w:rPr>
        <w:t>0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 os</w:t>
      </w:r>
      <w:r w:rsidR="00A7069A">
        <w:rPr>
          <w:rFonts w:ascii="Calibri" w:eastAsia="Calibri" w:hAnsi="Calibri" w:cs="Calibri"/>
          <w:color w:val="222222"/>
          <w:sz w:val="23"/>
          <w:szCs w:val="23"/>
        </w:rPr>
        <w:t>ób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). Największy spadek liczby niesolidnych </w:t>
      </w:r>
      <w:r w:rsidR="002827A4">
        <w:rPr>
          <w:rFonts w:ascii="Calibri" w:eastAsia="Calibri" w:hAnsi="Calibri" w:cs="Calibri"/>
          <w:color w:val="222222"/>
          <w:sz w:val="23"/>
          <w:szCs w:val="23"/>
        </w:rPr>
        <w:t>płatników na 1000 mieszkańców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 między </w:t>
      </w:r>
      <w:r w:rsidR="002827A4">
        <w:rPr>
          <w:rFonts w:ascii="Calibri" w:eastAsia="Calibri" w:hAnsi="Calibri" w:cs="Calibri"/>
          <w:color w:val="222222"/>
          <w:sz w:val="23"/>
          <w:szCs w:val="23"/>
        </w:rPr>
        <w:t>sierpniem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 202</w:t>
      </w:r>
      <w:r w:rsidR="002827A4">
        <w:rPr>
          <w:rFonts w:ascii="Calibri" w:eastAsia="Calibri" w:hAnsi="Calibri" w:cs="Calibri"/>
          <w:color w:val="222222"/>
          <w:sz w:val="23"/>
          <w:szCs w:val="23"/>
        </w:rPr>
        <w:t>4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 a </w:t>
      </w:r>
      <w:r w:rsidR="002827A4">
        <w:rPr>
          <w:rFonts w:ascii="Calibri" w:eastAsia="Calibri" w:hAnsi="Calibri" w:cs="Calibri"/>
          <w:color w:val="222222"/>
          <w:sz w:val="23"/>
          <w:szCs w:val="23"/>
        </w:rPr>
        <w:t xml:space="preserve">sierpniem 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>202</w:t>
      </w:r>
      <w:r w:rsidR="002827A4">
        <w:rPr>
          <w:rFonts w:ascii="Calibri" w:eastAsia="Calibri" w:hAnsi="Calibri" w:cs="Calibri"/>
          <w:color w:val="222222"/>
          <w:sz w:val="23"/>
          <w:szCs w:val="23"/>
        </w:rPr>
        <w:t>5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 roku odnotowano w województwach: </w:t>
      </w:r>
      <w:r w:rsidR="002827A4">
        <w:rPr>
          <w:rFonts w:ascii="Calibri" w:eastAsia="Calibri" w:hAnsi="Calibri" w:cs="Calibri"/>
          <w:color w:val="222222"/>
          <w:sz w:val="23"/>
          <w:szCs w:val="23"/>
        </w:rPr>
        <w:t>pomorskim</w:t>
      </w:r>
      <w:r w:rsidRPr="00E447CB">
        <w:rPr>
          <w:rFonts w:ascii="Calibri" w:eastAsia="Calibri" w:hAnsi="Calibri" w:cs="Calibri"/>
          <w:color w:val="222222"/>
          <w:sz w:val="23"/>
          <w:szCs w:val="23"/>
        </w:rPr>
        <w:t xml:space="preserve">, </w:t>
      </w:r>
      <w:r w:rsidR="002827A4">
        <w:rPr>
          <w:rFonts w:ascii="Calibri" w:eastAsia="Calibri" w:hAnsi="Calibri" w:cs="Calibri"/>
          <w:color w:val="222222"/>
          <w:sz w:val="23"/>
          <w:szCs w:val="23"/>
        </w:rPr>
        <w:t>dolnośląskim i śląskim – kolejno minus 6, 5 i 4 osoby. Bez zmian sytuacja wygląda w województwie opolskim.</w:t>
      </w:r>
    </w:p>
    <w:p w14:paraId="03398C27" w14:textId="77777777" w:rsidR="00E447CB" w:rsidRPr="008B179D" w:rsidRDefault="00E447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5C5E278A" w14:textId="502E23C6" w:rsidR="00C00D6F" w:rsidRPr="008B179D" w:rsidRDefault="00C00D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8B179D">
        <w:rPr>
          <w:rFonts w:ascii="Calibri" w:eastAsia="Calibri" w:hAnsi="Calibri" w:cs="Calibri"/>
          <w:b/>
          <w:bCs/>
          <w:sz w:val="23"/>
          <w:szCs w:val="23"/>
        </w:rPr>
        <w:t>Dlaczego lepiej jest na wschodzie, a gorzej na zachodzie kraju?</w:t>
      </w:r>
    </w:p>
    <w:p w14:paraId="16B3EE89" w14:textId="77777777" w:rsidR="00403B13" w:rsidRPr="00403B13" w:rsidRDefault="00403B13" w:rsidP="00403B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2A183E79" w14:textId="79DB442A" w:rsidR="00403B13" w:rsidRPr="008B179D" w:rsidRDefault="00403B13" w:rsidP="00403B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3"/>
          <w:szCs w:val="23"/>
        </w:rPr>
      </w:pPr>
      <w:r w:rsidRPr="008B179D">
        <w:rPr>
          <w:rFonts w:ascii="Calibri" w:eastAsia="Calibri" w:hAnsi="Calibri" w:cs="Calibri"/>
          <w:sz w:val="23"/>
          <w:szCs w:val="23"/>
        </w:rPr>
        <w:t xml:space="preserve">Problem </w:t>
      </w:r>
      <w:r w:rsidR="000A574C">
        <w:rPr>
          <w:rFonts w:ascii="Calibri" w:eastAsia="Calibri" w:hAnsi="Calibri" w:cs="Calibri"/>
          <w:sz w:val="23"/>
          <w:szCs w:val="23"/>
        </w:rPr>
        <w:t xml:space="preserve">zaległego </w:t>
      </w:r>
      <w:r w:rsidRPr="008B179D">
        <w:rPr>
          <w:rFonts w:ascii="Calibri" w:eastAsia="Calibri" w:hAnsi="Calibri" w:cs="Calibri"/>
          <w:sz w:val="23"/>
          <w:szCs w:val="23"/>
        </w:rPr>
        <w:t>zadłużenia nie jest równomiernie rozłożony w kraju.</w:t>
      </w:r>
      <w:r w:rsidR="002E600E" w:rsidRPr="008B179D">
        <w:rPr>
          <w:rFonts w:ascii="Calibri" w:eastAsia="Calibri" w:hAnsi="Calibri" w:cs="Calibri"/>
          <w:sz w:val="23"/>
          <w:szCs w:val="23"/>
        </w:rPr>
        <w:t xml:space="preserve"> W niektórych </w:t>
      </w:r>
      <w:r w:rsidRPr="008B179D">
        <w:rPr>
          <w:rFonts w:ascii="Calibri" w:eastAsia="Calibri" w:hAnsi="Calibri" w:cs="Calibri"/>
          <w:sz w:val="23"/>
          <w:szCs w:val="23"/>
        </w:rPr>
        <w:t>regionach ponad 10</w:t>
      </w:r>
      <w:r w:rsidR="002E600E" w:rsidRPr="008B179D">
        <w:rPr>
          <w:rFonts w:ascii="Calibri" w:eastAsia="Calibri" w:hAnsi="Calibri" w:cs="Calibri"/>
          <w:sz w:val="23"/>
          <w:szCs w:val="23"/>
        </w:rPr>
        <w:t xml:space="preserve"> proc.</w:t>
      </w:r>
      <w:r w:rsidRPr="008B179D">
        <w:rPr>
          <w:rFonts w:ascii="Calibri" w:eastAsia="Calibri" w:hAnsi="Calibri" w:cs="Calibri"/>
          <w:sz w:val="23"/>
          <w:szCs w:val="23"/>
        </w:rPr>
        <w:t xml:space="preserve"> dorosłych ma problemy ze spłatą zobowiązań — znacznie powyżej średniej </w:t>
      </w:r>
      <w:r w:rsidR="00E102FF">
        <w:rPr>
          <w:rFonts w:ascii="Calibri" w:eastAsia="Calibri" w:hAnsi="Calibri" w:cs="Calibri"/>
          <w:sz w:val="23"/>
          <w:szCs w:val="23"/>
        </w:rPr>
        <w:t>dla Polski.</w:t>
      </w:r>
    </w:p>
    <w:p w14:paraId="4F34E5E1" w14:textId="77777777" w:rsidR="00403B13" w:rsidRPr="00403B13" w:rsidRDefault="00403B13" w:rsidP="00403B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3E2B11FB" w14:textId="4D5CE7AD" w:rsidR="00403B13" w:rsidRPr="008B179D" w:rsidRDefault="008B179D" w:rsidP="005009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- </w:t>
      </w:r>
      <w:r w:rsidR="000A574C">
        <w:rPr>
          <w:rFonts w:ascii="Calibri" w:eastAsia="Calibri" w:hAnsi="Calibri" w:cs="Calibri"/>
          <w:i/>
          <w:iCs/>
          <w:sz w:val="23"/>
          <w:szCs w:val="23"/>
        </w:rPr>
        <w:t>Przeterminowane z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adłużenie jest powszechnym problemem </w:t>
      </w:r>
      <w:r w:rsidR="000A574C">
        <w:rPr>
          <w:rFonts w:ascii="Calibri" w:eastAsia="Calibri" w:hAnsi="Calibri" w:cs="Calibri"/>
          <w:i/>
          <w:iCs/>
          <w:sz w:val="23"/>
          <w:szCs w:val="23"/>
        </w:rPr>
        <w:t xml:space="preserve">ekonomiczno - 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społecznym, który dotyka część </w:t>
      </w:r>
      <w:r w:rsidR="000A574C">
        <w:rPr>
          <w:rFonts w:ascii="Calibri" w:eastAsia="Calibri" w:hAnsi="Calibri" w:cs="Calibri"/>
          <w:i/>
          <w:iCs/>
          <w:sz w:val="23"/>
          <w:szCs w:val="23"/>
        </w:rPr>
        <w:t xml:space="preserve">dorosłej 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>populacji</w:t>
      </w:r>
      <w:r w:rsidR="000A574C">
        <w:rPr>
          <w:rFonts w:ascii="Calibri" w:eastAsia="Calibri" w:hAnsi="Calibri" w:cs="Calibri"/>
          <w:i/>
          <w:iCs/>
          <w:sz w:val="23"/>
          <w:szCs w:val="23"/>
        </w:rPr>
        <w:t xml:space="preserve"> Polaków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>.</w:t>
      </w:r>
      <w:r w:rsidR="00500913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>Wysoki poziom</w:t>
      </w:r>
      <w:r w:rsidR="00F55E42">
        <w:rPr>
          <w:rFonts w:ascii="Calibri" w:eastAsia="Calibri" w:hAnsi="Calibri" w:cs="Calibri"/>
          <w:i/>
          <w:iCs/>
          <w:sz w:val="23"/>
          <w:szCs w:val="23"/>
        </w:rPr>
        <w:t xml:space="preserve"> niespłacanych zobowiązań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 w niektórych województwach może wskazywać na lokalne problemy ekonomiczne, takie jak:</w:t>
      </w:r>
      <w:r w:rsidR="00FE42A2"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>niższe dochody,</w:t>
      </w:r>
      <w:r w:rsidR="00FE42A2"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lastRenderedPageBreak/>
        <w:t>wyższe bezrobocie</w:t>
      </w:r>
      <w:r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 czy</w:t>
      </w:r>
      <w:r w:rsidR="00FE42A2" w:rsidRPr="008B179D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0403B13" w:rsidRPr="008B179D">
        <w:rPr>
          <w:rFonts w:ascii="Calibri" w:eastAsia="Calibri" w:hAnsi="Calibri" w:cs="Calibri"/>
          <w:i/>
          <w:iCs/>
          <w:sz w:val="23"/>
          <w:szCs w:val="23"/>
        </w:rPr>
        <w:t>mniejszy dostęp do edukacji finansowej</w:t>
      </w:r>
      <w:r w:rsidR="00500913">
        <w:rPr>
          <w:rFonts w:ascii="Calibri" w:eastAsia="Calibri" w:hAnsi="Calibri" w:cs="Calibri"/>
          <w:i/>
          <w:iCs/>
          <w:sz w:val="23"/>
          <w:szCs w:val="23"/>
        </w:rPr>
        <w:t xml:space="preserve"> – </w:t>
      </w:r>
      <w:r w:rsidR="00500913" w:rsidRPr="00500913">
        <w:rPr>
          <w:rFonts w:ascii="Calibri" w:eastAsia="Calibri" w:hAnsi="Calibri" w:cs="Calibri"/>
          <w:b/>
          <w:bCs/>
          <w:sz w:val="23"/>
          <w:szCs w:val="23"/>
        </w:rPr>
        <w:t>wskazuje dr hab. Waldemar Rogowski, główny analityk BIG InfoMonitor.</w:t>
      </w:r>
    </w:p>
    <w:p w14:paraId="54D49189" w14:textId="77777777" w:rsidR="00F13C2D" w:rsidRDefault="00F13C2D" w:rsidP="00403B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04CCFAC4" w14:textId="2EBAE708" w:rsidR="00F13C2D" w:rsidRDefault="00F13C2D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BF4EAB">
        <w:rPr>
          <w:rFonts w:ascii="Calibri" w:eastAsia="Calibri" w:hAnsi="Calibri" w:cs="Calibri"/>
          <w:sz w:val="23"/>
          <w:szCs w:val="23"/>
        </w:rPr>
        <w:t xml:space="preserve">Różnice w poziomie </w:t>
      </w:r>
      <w:r w:rsidR="00F55E42">
        <w:rPr>
          <w:rFonts w:ascii="Calibri" w:eastAsia="Calibri" w:hAnsi="Calibri" w:cs="Calibri"/>
          <w:sz w:val="23"/>
          <w:szCs w:val="23"/>
        </w:rPr>
        <w:t>przeterminowanych długów</w:t>
      </w:r>
      <w:r w:rsidRPr="00BF4EAB">
        <w:rPr>
          <w:rFonts w:ascii="Calibri" w:eastAsia="Calibri" w:hAnsi="Calibri" w:cs="Calibri"/>
          <w:sz w:val="23"/>
          <w:szCs w:val="23"/>
        </w:rPr>
        <w:t xml:space="preserve"> między wschodnią a zachodnią Polską wynikają z</w:t>
      </w:r>
      <w:r w:rsidR="00F55E42">
        <w:rPr>
          <w:rFonts w:ascii="Calibri" w:eastAsia="Calibri" w:hAnsi="Calibri" w:cs="Calibri"/>
          <w:sz w:val="23"/>
          <w:szCs w:val="23"/>
        </w:rPr>
        <w:t xml:space="preserve">e </w:t>
      </w:r>
      <w:r w:rsidRPr="00BF4EAB">
        <w:rPr>
          <w:rFonts w:ascii="Calibri" w:eastAsia="Calibri" w:hAnsi="Calibri" w:cs="Calibri"/>
          <w:sz w:val="23"/>
          <w:szCs w:val="23"/>
        </w:rPr>
        <w:t>splotu czynników ekonomicznych, kulturowych i społecznych.</w:t>
      </w:r>
      <w:r w:rsidR="00BF4EAB">
        <w:rPr>
          <w:rFonts w:ascii="Calibri" w:eastAsia="Calibri" w:hAnsi="Calibri" w:cs="Calibri"/>
          <w:sz w:val="23"/>
          <w:szCs w:val="23"/>
        </w:rPr>
        <w:t xml:space="preserve"> </w:t>
      </w:r>
      <w:r w:rsidR="00500913" w:rsidRPr="00BF4EAB">
        <w:rPr>
          <w:rFonts w:ascii="Calibri" w:eastAsia="Calibri" w:hAnsi="Calibri" w:cs="Calibri"/>
          <w:sz w:val="23"/>
          <w:szCs w:val="23"/>
        </w:rPr>
        <w:t xml:space="preserve">- 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>Wschodnia Polska ma niższy wskaźnik ukredytowienia – mniej osób korzysta z kredytów i pożyczek bankowych.</w:t>
      </w:r>
      <w:r w:rsidR="00D66787"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>Na wschodzie częściej występuje</w:t>
      </w:r>
      <w:r w:rsidR="00D66787"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też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niechęć do</w:t>
      </w:r>
      <w:r w:rsidR="005A698F">
        <w:rPr>
          <w:rFonts w:ascii="Calibri" w:eastAsia="Calibri" w:hAnsi="Calibri" w:cs="Calibri"/>
          <w:i/>
          <w:iCs/>
          <w:sz w:val="23"/>
          <w:szCs w:val="23"/>
        </w:rPr>
        <w:t xml:space="preserve"> oficjalnego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zadłużania się – mieszkańcy wolą pożyczać pieniądze od rodziny niż od banków. </w:t>
      </w:r>
      <w:r w:rsidR="00EC4C39">
        <w:rPr>
          <w:rFonts w:ascii="Calibri" w:eastAsia="Calibri" w:hAnsi="Calibri" w:cs="Calibri"/>
          <w:i/>
          <w:iCs/>
          <w:sz w:val="23"/>
          <w:szCs w:val="23"/>
        </w:rPr>
        <w:t>Warto dodać, że</w:t>
      </w:r>
      <w:r w:rsidR="00EC4C39"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wschodnia Polska ma niższe średnie zarobki i wyższe bezrobocie, to </w:t>
      </w:r>
      <w:r w:rsidR="00EC4C39">
        <w:rPr>
          <w:rFonts w:ascii="Calibri" w:eastAsia="Calibri" w:hAnsi="Calibri" w:cs="Calibri"/>
          <w:i/>
          <w:iCs/>
          <w:sz w:val="23"/>
          <w:szCs w:val="23"/>
        </w:rPr>
        <w:t xml:space="preserve">również 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>ogranicza to dostęp do kredytów – banki mniej chętnie udzielają finansowania osobom z niższą zdolnością kredytową.</w:t>
      </w:r>
      <w:r w:rsidR="00D66787"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Mniejsze możliwości zaciągania zobowiązań oznaczają mniej </w:t>
      </w:r>
      <w:r w:rsidR="000A574C">
        <w:rPr>
          <w:rFonts w:ascii="Calibri" w:eastAsia="Calibri" w:hAnsi="Calibri" w:cs="Calibri"/>
          <w:i/>
          <w:iCs/>
          <w:sz w:val="23"/>
          <w:szCs w:val="23"/>
        </w:rPr>
        <w:t xml:space="preserve">niesolidnych 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>dłużników.</w:t>
      </w:r>
      <w:r w:rsidR="00754C81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="00D66787" w:rsidRPr="00BF4EAB">
        <w:rPr>
          <w:rFonts w:ascii="Calibri" w:eastAsia="Calibri" w:hAnsi="Calibri" w:cs="Calibri"/>
          <w:i/>
          <w:iCs/>
          <w:sz w:val="23"/>
          <w:szCs w:val="23"/>
        </w:rPr>
        <w:t>Istotne jest również to, że w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wielu wschodnich województwach nadal silne są więzi rodzinne i lokalne, co sprzyja pomocy wewnątrz społeczności zamiast korzystania z</w:t>
      </w:r>
      <w:r w:rsidR="00D66787" w:rsidRPr="00BF4EAB">
        <w:rPr>
          <w:rFonts w:ascii="Calibri" w:eastAsia="Calibri" w:hAnsi="Calibri" w:cs="Calibri"/>
          <w:i/>
          <w:iCs/>
          <w:sz w:val="23"/>
          <w:szCs w:val="23"/>
        </w:rPr>
        <w:t>e wsparcia</w:t>
      </w:r>
      <w:r w:rsidRPr="00BF4EAB">
        <w:rPr>
          <w:rFonts w:ascii="Calibri" w:eastAsia="Calibri" w:hAnsi="Calibri" w:cs="Calibri"/>
          <w:i/>
          <w:iCs/>
          <w:sz w:val="23"/>
          <w:szCs w:val="23"/>
        </w:rPr>
        <w:t xml:space="preserve"> instytucji finansowych</w:t>
      </w:r>
      <w:r w:rsidR="000A574C">
        <w:rPr>
          <w:rFonts w:ascii="Calibri" w:eastAsia="Calibri" w:hAnsi="Calibri" w:cs="Calibri"/>
          <w:i/>
          <w:iCs/>
          <w:sz w:val="23"/>
          <w:szCs w:val="23"/>
        </w:rPr>
        <w:t xml:space="preserve">. Trzeba jednak pamiętać, że zaległe długi prywatne (zobowiązania wobec rodziny i znajomych) nie są ujmowane w bazach BIK-u i bardzo rzadko wpisywane są do </w:t>
      </w:r>
      <w:r w:rsidR="00EC4C39">
        <w:rPr>
          <w:rFonts w:ascii="Calibri" w:eastAsia="Calibri" w:hAnsi="Calibri" w:cs="Calibri"/>
          <w:i/>
          <w:iCs/>
          <w:sz w:val="23"/>
          <w:szCs w:val="23"/>
        </w:rPr>
        <w:t xml:space="preserve">baz </w:t>
      </w:r>
      <w:r w:rsidR="000A574C">
        <w:rPr>
          <w:rFonts w:ascii="Calibri" w:eastAsia="Calibri" w:hAnsi="Calibri" w:cs="Calibri"/>
          <w:i/>
          <w:iCs/>
          <w:sz w:val="23"/>
          <w:szCs w:val="23"/>
        </w:rPr>
        <w:t>biur informacji gospodarczej, co w konsekwencji zaniża statystyki</w:t>
      </w:r>
      <w:r w:rsidR="00500913" w:rsidRPr="00BF4EAB">
        <w:rPr>
          <w:rFonts w:ascii="Calibri" w:eastAsia="Calibri" w:hAnsi="Calibri" w:cs="Calibri"/>
          <w:sz w:val="23"/>
          <w:szCs w:val="23"/>
        </w:rPr>
        <w:t xml:space="preserve"> – </w:t>
      </w:r>
      <w:r w:rsidR="00500913" w:rsidRPr="00BF4EAB">
        <w:rPr>
          <w:rFonts w:ascii="Calibri" w:eastAsia="Calibri" w:hAnsi="Calibri" w:cs="Calibri"/>
          <w:b/>
          <w:bCs/>
          <w:sz w:val="23"/>
          <w:szCs w:val="23"/>
        </w:rPr>
        <w:t>podkreśla dr hab</w:t>
      </w:r>
      <w:r w:rsidR="00500913" w:rsidRPr="00500913">
        <w:rPr>
          <w:rFonts w:ascii="Calibri" w:eastAsia="Calibri" w:hAnsi="Calibri" w:cs="Calibri"/>
          <w:b/>
          <w:bCs/>
          <w:sz w:val="23"/>
          <w:szCs w:val="23"/>
        </w:rPr>
        <w:t>. Waldemar Rogowski, główny analityk BIG InfoMonitor</w:t>
      </w:r>
      <w:r w:rsidR="003E0990">
        <w:rPr>
          <w:rFonts w:ascii="Calibri" w:eastAsia="Calibri" w:hAnsi="Calibri" w:cs="Calibri"/>
          <w:b/>
          <w:bCs/>
          <w:sz w:val="23"/>
          <w:szCs w:val="23"/>
        </w:rPr>
        <w:t>.</w:t>
      </w:r>
    </w:p>
    <w:p w14:paraId="5C579A6F" w14:textId="77777777" w:rsidR="003E0990" w:rsidRDefault="003E0990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69156E24" w14:textId="61378ABA" w:rsidR="003E0990" w:rsidRPr="00500913" w:rsidRDefault="003E0990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  <w:highlight w:val="yellow"/>
        </w:rPr>
      </w:pPr>
      <w:r>
        <w:rPr>
          <w:rFonts w:ascii="Calibri" w:eastAsia="Calibri" w:hAnsi="Calibri" w:cs="Calibri"/>
          <w:noProof/>
          <w:color w:val="222222"/>
        </w:rPr>
        <w:drawing>
          <wp:inline distT="0" distB="0" distL="0" distR="0" wp14:anchorId="2AD1DFAF" wp14:editId="673CAF19">
            <wp:extent cx="5733415" cy="3108325"/>
            <wp:effectExtent l="0" t="0" r="635" b="0"/>
            <wp:docPr id="315630389" name="Obraz 1" descr="Obraz zawierający tekst, map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30389" name="Obraz 1" descr="Obraz zawierający tekst, mapa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DDEF" w14:textId="77777777" w:rsidR="00F13C2D" w:rsidRPr="00F13C2D" w:rsidRDefault="00F13C2D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  <w:highlight w:val="yellow"/>
        </w:rPr>
      </w:pPr>
    </w:p>
    <w:p w14:paraId="14095556" w14:textId="0C919002" w:rsidR="00F13C2D" w:rsidRPr="00BF4EAB" w:rsidRDefault="00F13C2D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BF4EAB">
        <w:rPr>
          <w:rFonts w:ascii="Calibri" w:eastAsia="Calibri" w:hAnsi="Calibri" w:cs="Calibri"/>
          <w:b/>
          <w:bCs/>
          <w:sz w:val="23"/>
          <w:szCs w:val="23"/>
        </w:rPr>
        <w:t>Zachód bardziej skłonny do konsumpcji i ryzyka</w:t>
      </w:r>
    </w:p>
    <w:p w14:paraId="451B70C0" w14:textId="77777777" w:rsidR="00F13C2D" w:rsidRPr="00F13C2D" w:rsidRDefault="00F13C2D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3"/>
          <w:szCs w:val="23"/>
          <w:highlight w:val="yellow"/>
        </w:rPr>
      </w:pPr>
    </w:p>
    <w:p w14:paraId="7F6FFCD7" w14:textId="77777777" w:rsidR="002F1E8A" w:rsidRDefault="00F13C2D" w:rsidP="00F13C2D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2F1E8A">
        <w:rPr>
          <w:rFonts w:ascii="Calibri" w:eastAsia="Calibri" w:hAnsi="Calibri" w:cs="Calibri"/>
          <w:sz w:val="23"/>
          <w:szCs w:val="23"/>
        </w:rPr>
        <w:t xml:space="preserve">Mieszkańcy zachodnich województw częściej korzystają z kredytów, co wiąże się z wyższym poziomem życia, aspiracjami konsumpcyjnymi i </w:t>
      </w:r>
      <w:r w:rsidR="0010456D" w:rsidRPr="002F1E8A">
        <w:rPr>
          <w:rFonts w:ascii="Calibri" w:eastAsia="Calibri" w:hAnsi="Calibri" w:cs="Calibri"/>
          <w:sz w:val="23"/>
          <w:szCs w:val="23"/>
        </w:rPr>
        <w:t xml:space="preserve">generalnie </w:t>
      </w:r>
      <w:r w:rsidRPr="002F1E8A">
        <w:rPr>
          <w:rFonts w:ascii="Calibri" w:eastAsia="Calibri" w:hAnsi="Calibri" w:cs="Calibri"/>
          <w:sz w:val="23"/>
          <w:szCs w:val="23"/>
        </w:rPr>
        <w:t xml:space="preserve">większą dostępnością </w:t>
      </w:r>
      <w:r w:rsidR="00500913" w:rsidRPr="002F1E8A">
        <w:rPr>
          <w:rFonts w:ascii="Calibri" w:eastAsia="Calibri" w:hAnsi="Calibri" w:cs="Calibri"/>
          <w:sz w:val="23"/>
          <w:szCs w:val="23"/>
        </w:rPr>
        <w:t xml:space="preserve">do </w:t>
      </w:r>
      <w:r w:rsidRPr="002F1E8A">
        <w:rPr>
          <w:rFonts w:ascii="Calibri" w:eastAsia="Calibri" w:hAnsi="Calibri" w:cs="Calibri"/>
          <w:sz w:val="23"/>
          <w:szCs w:val="23"/>
        </w:rPr>
        <w:t xml:space="preserve">usług </w:t>
      </w:r>
      <w:r w:rsidRPr="002F1E8A">
        <w:rPr>
          <w:rFonts w:ascii="Calibri" w:eastAsia="Calibri" w:hAnsi="Calibri" w:cs="Calibri"/>
          <w:sz w:val="23"/>
          <w:szCs w:val="23"/>
        </w:rPr>
        <w:lastRenderedPageBreak/>
        <w:t>finansowych.</w:t>
      </w:r>
      <w:r w:rsidR="0010456D" w:rsidRPr="002F1E8A">
        <w:rPr>
          <w:rFonts w:ascii="Calibri" w:eastAsia="Calibri" w:hAnsi="Calibri" w:cs="Calibri"/>
          <w:sz w:val="23"/>
          <w:szCs w:val="23"/>
        </w:rPr>
        <w:t xml:space="preserve"> </w:t>
      </w:r>
      <w:r w:rsidRPr="002F1E8A">
        <w:rPr>
          <w:rFonts w:ascii="Calibri" w:eastAsia="Calibri" w:hAnsi="Calibri" w:cs="Calibri"/>
          <w:sz w:val="23"/>
          <w:szCs w:val="23"/>
        </w:rPr>
        <w:t>To</w:t>
      </w:r>
      <w:r w:rsidR="0010456D" w:rsidRPr="002F1E8A">
        <w:rPr>
          <w:rFonts w:ascii="Calibri" w:eastAsia="Calibri" w:hAnsi="Calibri" w:cs="Calibri"/>
          <w:sz w:val="23"/>
          <w:szCs w:val="23"/>
        </w:rPr>
        <w:t xml:space="preserve"> z kolei może </w:t>
      </w:r>
      <w:r w:rsidRPr="002F1E8A">
        <w:rPr>
          <w:rFonts w:ascii="Calibri" w:eastAsia="Calibri" w:hAnsi="Calibri" w:cs="Calibri"/>
          <w:sz w:val="23"/>
          <w:szCs w:val="23"/>
        </w:rPr>
        <w:t xml:space="preserve"> prowadzi</w:t>
      </w:r>
      <w:r w:rsidR="0010456D" w:rsidRPr="002F1E8A">
        <w:rPr>
          <w:rFonts w:ascii="Calibri" w:eastAsia="Calibri" w:hAnsi="Calibri" w:cs="Calibri"/>
          <w:sz w:val="23"/>
          <w:szCs w:val="23"/>
        </w:rPr>
        <w:t>ć</w:t>
      </w:r>
      <w:r w:rsidRPr="002F1E8A">
        <w:rPr>
          <w:rFonts w:ascii="Calibri" w:eastAsia="Calibri" w:hAnsi="Calibri" w:cs="Calibri"/>
          <w:sz w:val="23"/>
          <w:szCs w:val="23"/>
        </w:rPr>
        <w:t xml:space="preserve"> do większego ryzyka zadłużenia, zwłaszcza w przypadku nieprzewidzianych trudności finansowych.</w:t>
      </w:r>
      <w:r w:rsidR="00500913" w:rsidRPr="00BF4EAB">
        <w:t xml:space="preserve"> </w:t>
      </w:r>
    </w:p>
    <w:p w14:paraId="09FA5277" w14:textId="77777777" w:rsidR="00871DDA" w:rsidRDefault="00871DDA" w:rsidP="00F13C2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3008FCF" w14:textId="6181B335" w:rsidR="00871DDA" w:rsidRPr="001D221D" w:rsidRDefault="00871DDA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bCs/>
          <w:sz w:val="23"/>
          <w:szCs w:val="23"/>
        </w:rPr>
      </w:pPr>
      <w:r w:rsidRPr="001D221D">
        <w:rPr>
          <w:rFonts w:ascii="Calibri" w:hAnsi="Calibri" w:cs="Calibri"/>
          <w:b/>
          <w:bCs/>
          <w:sz w:val="23"/>
          <w:szCs w:val="23"/>
        </w:rPr>
        <w:t>Ochrona przed nadmiernym zadłużeniem</w:t>
      </w:r>
    </w:p>
    <w:p w14:paraId="154DCAED" w14:textId="77777777" w:rsidR="00185861" w:rsidRPr="001D221D" w:rsidRDefault="00185861" w:rsidP="00F13C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3"/>
          <w:szCs w:val="23"/>
        </w:rPr>
      </w:pPr>
    </w:p>
    <w:p w14:paraId="6348E227" w14:textId="6329E899" w:rsidR="000A7D2B" w:rsidRPr="001D221D" w:rsidRDefault="00185861" w:rsidP="001858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bCs/>
          <w:sz w:val="23"/>
          <w:szCs w:val="23"/>
        </w:rPr>
      </w:pPr>
      <w:r w:rsidRPr="001D221D">
        <w:rPr>
          <w:rFonts w:ascii="Calibri" w:hAnsi="Calibri" w:cs="Calibri"/>
          <w:sz w:val="23"/>
          <w:szCs w:val="23"/>
        </w:rPr>
        <w:t xml:space="preserve"> - </w:t>
      </w:r>
      <w:r w:rsidR="000A7D2B" w:rsidRPr="001D221D">
        <w:rPr>
          <w:rFonts w:ascii="Calibri" w:hAnsi="Calibri" w:cs="Calibri"/>
          <w:i/>
          <w:iCs/>
          <w:sz w:val="23"/>
          <w:szCs w:val="23"/>
        </w:rPr>
        <w:t>Przeciwdziałanie i</w:t>
      </w:r>
      <w:r w:rsidRPr="001D221D">
        <w:rPr>
          <w:rFonts w:ascii="Calibri" w:hAnsi="Calibri" w:cs="Calibri"/>
          <w:i/>
          <w:iCs/>
          <w:sz w:val="23"/>
          <w:szCs w:val="23"/>
        </w:rPr>
        <w:t xml:space="preserve"> ochrona przed nadmiernym zadłużeniem staje się</w:t>
      </w:r>
      <w:r w:rsidR="000A7D2B" w:rsidRPr="001D221D">
        <w:rPr>
          <w:rFonts w:ascii="Calibri" w:hAnsi="Calibri" w:cs="Calibri"/>
          <w:i/>
          <w:iCs/>
          <w:sz w:val="23"/>
          <w:szCs w:val="23"/>
        </w:rPr>
        <w:t xml:space="preserve"> dziś</w:t>
      </w:r>
      <w:r w:rsidRPr="001D221D">
        <w:rPr>
          <w:rFonts w:ascii="Calibri" w:hAnsi="Calibri" w:cs="Calibri"/>
          <w:i/>
          <w:iCs/>
          <w:sz w:val="23"/>
          <w:szCs w:val="23"/>
        </w:rPr>
        <w:t xml:space="preserve"> jednym z kluczowych wyzwań zarówno dla instytucji finansowych, jak i dla konsumentów. Nadmierne zadłużenie może prowadzić do poważnych konsekwencji społecznych i ekonomicznych – od utraty płynności finansowej, przez problemy zdrowotne, aż po wykluczenie społeczne.</w:t>
      </w:r>
      <w:r w:rsidR="000A7D2B" w:rsidRPr="001D221D">
        <w:rPr>
          <w:i/>
          <w:iCs/>
          <w:sz w:val="23"/>
          <w:szCs w:val="23"/>
        </w:rPr>
        <w:t xml:space="preserve"> </w:t>
      </w:r>
      <w:r w:rsidR="000A7D2B" w:rsidRPr="001D221D">
        <w:rPr>
          <w:rFonts w:ascii="Calibri" w:hAnsi="Calibri" w:cs="Calibri"/>
          <w:i/>
          <w:iCs/>
          <w:sz w:val="23"/>
          <w:szCs w:val="23"/>
        </w:rPr>
        <w:t>Odpowiedzialne podejście do zaciągania zobowiązań, uwzględniające realne możliwości finansowe klienta to niezwykle ważny aspekt.</w:t>
      </w:r>
      <w:r w:rsidR="00FB0516" w:rsidRPr="001D221D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1D221D">
        <w:rPr>
          <w:rFonts w:ascii="Calibri" w:hAnsi="Calibri" w:cs="Calibri"/>
          <w:i/>
          <w:iCs/>
          <w:sz w:val="23"/>
          <w:szCs w:val="23"/>
        </w:rPr>
        <w:t xml:space="preserve">Dlatego tak </w:t>
      </w:r>
      <w:r w:rsidR="000A7D2B" w:rsidRPr="001D221D">
        <w:rPr>
          <w:rFonts w:ascii="Calibri" w:hAnsi="Calibri" w:cs="Calibri"/>
          <w:i/>
          <w:iCs/>
          <w:sz w:val="23"/>
          <w:szCs w:val="23"/>
        </w:rPr>
        <w:t xml:space="preserve">istotne </w:t>
      </w:r>
      <w:r w:rsidRPr="001D221D">
        <w:rPr>
          <w:rFonts w:ascii="Calibri" w:hAnsi="Calibri" w:cs="Calibri"/>
          <w:i/>
          <w:iCs/>
          <w:sz w:val="23"/>
          <w:szCs w:val="23"/>
        </w:rPr>
        <w:t>jest podejmowanie działań prewencyjnych, takich jak</w:t>
      </w:r>
      <w:r w:rsidR="00FB0516" w:rsidRPr="001D221D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0A7D2B" w:rsidRPr="001D221D">
        <w:rPr>
          <w:rFonts w:ascii="Calibri" w:hAnsi="Calibri" w:cs="Calibri"/>
          <w:i/>
          <w:iCs/>
          <w:sz w:val="23"/>
          <w:szCs w:val="23"/>
        </w:rPr>
        <w:t>zwiększanie świadomości obywateli na temat odpowiedzialnego</w:t>
      </w:r>
      <w:r w:rsidR="00754C81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0A7D2B" w:rsidRPr="001D221D">
        <w:rPr>
          <w:rFonts w:ascii="Calibri" w:hAnsi="Calibri" w:cs="Calibri"/>
          <w:i/>
          <w:iCs/>
          <w:sz w:val="23"/>
          <w:szCs w:val="23"/>
        </w:rPr>
        <w:t>zarządzania budżetem domowym, ryzyka związanego z zadłużeniem oraz zasad bezpiecznego korzystania z produktów finansowych</w:t>
      </w:r>
      <w:r w:rsidR="00FB0516" w:rsidRPr="001D221D">
        <w:rPr>
          <w:rFonts w:ascii="Calibri" w:hAnsi="Calibri" w:cs="Calibri"/>
          <w:sz w:val="23"/>
          <w:szCs w:val="23"/>
        </w:rPr>
        <w:t xml:space="preserve"> – </w:t>
      </w:r>
      <w:r w:rsidR="00FB0516" w:rsidRPr="001D221D">
        <w:rPr>
          <w:rFonts w:ascii="Calibri" w:hAnsi="Calibri" w:cs="Calibri"/>
          <w:b/>
          <w:bCs/>
          <w:sz w:val="23"/>
          <w:szCs w:val="23"/>
        </w:rPr>
        <w:t>podkreśla Paweł Szarkowski, prezes BIG InfoMonitor.</w:t>
      </w:r>
    </w:p>
    <w:p w14:paraId="716CF568" w14:textId="77777777" w:rsidR="002F1E8A" w:rsidRDefault="002F1E8A" w:rsidP="00F13C2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2018C8" w14:textId="77777777" w:rsidR="00B51DB6" w:rsidRPr="00A11A94" w:rsidRDefault="00B51D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3"/>
          <w:szCs w:val="23"/>
        </w:rPr>
      </w:pPr>
    </w:p>
    <w:p w14:paraId="0F639C8E" w14:textId="77777777" w:rsidR="00B51DB6" w:rsidRDefault="003343D6">
      <w:pPr>
        <w:spacing w:before="240" w:after="16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BIG InfoMonitor</w:t>
      </w:r>
      <w:r>
        <w:rPr>
          <w:rFonts w:ascii="Calibri" w:eastAsia="Calibri" w:hAnsi="Calibri" w:cs="Calibri"/>
          <w:sz w:val="20"/>
          <w:szCs w:val="20"/>
        </w:rPr>
        <w:t>, spółka z Grupy BIK, już od 20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zawierają wiarygodne informacje o kondycji finansowej osób i firm i wspierają podmioty gospodarcze w dbaniu o płynność finansową. BIG InfoMonitor posiada jedną z największych baz dłużników – zasoby rejestru obejmują ponad 100 mln informacji gospodarczych, w tym 5,2 mln informacji o przeterminowanych zobowiązaniach.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w ten sposób wiarygodność płatniczą swoich klientów. Od początku działania BIG InfoMonitor udostępnił 280 mln raportów, w tym ponad 242 mln na temat konsumentów i 37,5 mln na temat firm.</w:t>
      </w:r>
    </w:p>
    <w:p w14:paraId="7B79BCA3" w14:textId="77777777" w:rsidR="00B51DB6" w:rsidRDefault="003343D6">
      <w:pPr>
        <w:spacing w:before="240" w:after="160" w:line="259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0846BD3E" w14:textId="77777777" w:rsidR="00B51DB6" w:rsidRDefault="003343D6">
      <w:pPr>
        <w:spacing w:before="240" w:after="160" w:line="259" w:lineRule="auto"/>
        <w:jc w:val="both"/>
        <w:rPr>
          <w:rFonts w:ascii="Calibri" w:eastAsia="Calibri" w:hAnsi="Calibri" w:cs="Calibri"/>
          <w:color w:val="467886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>BIG InfoMonitor jako jedyne Biuro Informacji Gospodarczej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</w:t>
      </w:r>
      <w:hyperlink r:id="rId10">
        <w:r w:rsidR="00B51DB6">
          <w:rPr>
            <w:rFonts w:ascii="Calibri" w:eastAsia="Calibri" w:hAnsi="Calibri" w:cs="Calibri"/>
            <w:sz w:val="20"/>
            <w:szCs w:val="20"/>
          </w:rPr>
          <w:t xml:space="preserve"> </w:t>
        </w:r>
      </w:hyperlink>
      <w:hyperlink r:id="rId11">
        <w:r w:rsidR="00B51DB6">
          <w:rPr>
            <w:rFonts w:ascii="Calibri" w:eastAsia="Calibri" w:hAnsi="Calibri" w:cs="Calibri"/>
            <w:color w:val="467886"/>
            <w:sz w:val="20"/>
            <w:szCs w:val="20"/>
            <w:u w:val="single"/>
          </w:rPr>
          <w:t>www.big.pl</w:t>
        </w:r>
      </w:hyperlink>
    </w:p>
    <w:p w14:paraId="1CD6A91A" w14:textId="77777777" w:rsidR="00B51DB6" w:rsidRDefault="003343D6">
      <w:pPr>
        <w:spacing w:before="24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Kontakt dla mediów:</w:t>
      </w:r>
    </w:p>
    <w:p w14:paraId="7221F90C" w14:textId="77777777" w:rsidR="00B51DB6" w:rsidRDefault="003343D6">
      <w:pPr>
        <w:spacing w:before="24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Diana Borowiecka</w:t>
      </w:r>
      <w:r>
        <w:rPr>
          <w:rFonts w:ascii="Calibri" w:eastAsia="Calibri" w:hAnsi="Calibri" w:cs="Calibri"/>
          <w:sz w:val="18"/>
          <w:szCs w:val="18"/>
        </w:rPr>
        <w:br/>
        <w:t>Biuro PR i Komunikacji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lastRenderedPageBreak/>
        <w:t>tel.: +48 22 486 56 46</w:t>
      </w:r>
      <w:r>
        <w:rPr>
          <w:rFonts w:ascii="Calibri" w:eastAsia="Calibri" w:hAnsi="Calibri" w:cs="Calibri"/>
          <w:sz w:val="18"/>
          <w:szCs w:val="18"/>
        </w:rPr>
        <w:br/>
        <w:t>kom.: + 48 607 146 583</w:t>
      </w:r>
      <w:r>
        <w:rPr>
          <w:rFonts w:ascii="Calibri" w:eastAsia="Calibri" w:hAnsi="Calibri" w:cs="Calibri"/>
          <w:sz w:val="18"/>
          <w:szCs w:val="18"/>
        </w:rPr>
        <w:br/>
        <w:t>diana.borowiecka@big.pl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5"/>
        <w:gridCol w:w="2890"/>
        <w:gridCol w:w="2890"/>
      </w:tblGrid>
      <w:tr w:rsidR="00B51DB6" w14:paraId="0A34FD25" w14:textId="77777777">
        <w:trPr>
          <w:trHeight w:val="2495"/>
        </w:trPr>
        <w:tc>
          <w:tcPr>
            <w:tcW w:w="3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40D1" w14:textId="77777777" w:rsidR="00B51DB6" w:rsidRDefault="003343D6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445B" w14:textId="77777777" w:rsidR="00B51DB6" w:rsidRDefault="003343D6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  <w:p w14:paraId="225E13E7" w14:textId="77777777" w:rsidR="00B51DB6" w:rsidRDefault="003343D6">
            <w:pPr>
              <w:ind w:left="-100"/>
              <w:jc w:val="both"/>
            </w:pPr>
            <w:r>
              <w:br/>
              <w:t xml:space="preserve"> </w:t>
            </w:r>
            <w:r>
              <w:tab/>
            </w:r>
            <w:r>
              <w:tab/>
            </w:r>
            <w:r>
              <w:tab/>
            </w:r>
          </w:p>
          <w:p w14:paraId="0E2E4B47" w14:textId="77777777" w:rsidR="00B51DB6" w:rsidRDefault="003343D6">
            <w:pPr>
              <w:jc w:val="both"/>
            </w:pPr>
            <w:r>
              <w:tab/>
            </w:r>
            <w:r>
              <w:tab/>
            </w:r>
          </w:p>
        </w:tc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ABC6" w14:textId="77777777" w:rsidR="00B51DB6" w:rsidRDefault="003343D6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  <w:p w14:paraId="316CA19F" w14:textId="77777777" w:rsidR="00B51DB6" w:rsidRDefault="003343D6">
            <w:pPr>
              <w:jc w:val="both"/>
            </w:pPr>
            <w:r>
              <w:br/>
              <w:t xml:space="preserve"> </w:t>
            </w:r>
            <w:r>
              <w:tab/>
            </w:r>
            <w:r>
              <w:tab/>
            </w:r>
            <w:r>
              <w:tab/>
            </w:r>
          </w:p>
          <w:p w14:paraId="2F8130AC" w14:textId="77777777" w:rsidR="00B51DB6" w:rsidRDefault="003343D6">
            <w:pPr>
              <w:jc w:val="both"/>
            </w:pPr>
            <w:r>
              <w:tab/>
            </w:r>
            <w:r>
              <w:tab/>
            </w:r>
          </w:p>
        </w:tc>
      </w:tr>
    </w:tbl>
    <w:p w14:paraId="2DE032EF" w14:textId="77777777" w:rsidR="00B51DB6" w:rsidRDefault="003343D6">
      <w:pPr>
        <w:spacing w:before="240" w:line="240" w:lineRule="auto"/>
        <w:jc w:val="both"/>
      </w:pPr>
      <w:r>
        <w:br/>
      </w:r>
    </w:p>
    <w:p w14:paraId="0D0EC109" w14:textId="77777777" w:rsidR="00B51DB6" w:rsidRDefault="00B51DB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B51DB6">
      <w:headerReference w:type="default" r:id="rId12"/>
      <w:footerReference w:type="even" r:id="rId13"/>
      <w:footerReference w:type="defaul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F50F" w14:textId="77777777" w:rsidR="00E07487" w:rsidRDefault="00E07487">
      <w:pPr>
        <w:spacing w:line="240" w:lineRule="auto"/>
      </w:pPr>
      <w:r>
        <w:separator/>
      </w:r>
    </w:p>
  </w:endnote>
  <w:endnote w:type="continuationSeparator" w:id="0">
    <w:p w14:paraId="64E34F0F" w14:textId="77777777" w:rsidR="00E07487" w:rsidRDefault="00E0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8847" w14:textId="77777777" w:rsidR="00B51DB6" w:rsidRDefault="003343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 wp14:anchorId="67E19C06" wp14:editId="552B7FA6">
              <wp:simplePos x="0" y="0"/>
              <wp:positionH relativeFrom="column">
                <wp:posOffset>3632200</wp:posOffset>
              </wp:positionH>
              <wp:positionV relativeFrom="paragraph">
                <wp:posOffset>0</wp:posOffset>
              </wp:positionV>
              <wp:extent cx="1182370" cy="387985"/>
              <wp:effectExtent l="0" t="0" r="0" b="0"/>
              <wp:wrapNone/>
              <wp:docPr id="1218427655" name="Prostokąt 1218427655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4340" y="3595533"/>
                        <a:ext cx="11633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F5655" w14:textId="77777777" w:rsidR="00B51DB6" w:rsidRDefault="003343D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E19C06" id="Prostokąt 1218427655" o:spid="_x0000_s1026" alt="Informacje Jawne" style="position:absolute;margin-left:286pt;margin-top:0;width:93.1pt;height:30.5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" filled="f" stroked="f">
              <v:textbox inset="0,0,20pt,15pt">
                <w:txbxContent>
                  <w:p w14:paraId="5C3F5655" w14:textId="77777777" w:rsidR="00B51DB6" w:rsidRDefault="003343D6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8597" w14:textId="77777777" w:rsidR="00B51DB6" w:rsidRDefault="003343D6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0CCEB9C" wp14:editId="50776D27">
              <wp:simplePos x="0" y="0"/>
              <wp:positionH relativeFrom="column">
                <wp:posOffset>4533900</wp:posOffset>
              </wp:positionH>
              <wp:positionV relativeFrom="paragraph">
                <wp:posOffset>0</wp:posOffset>
              </wp:positionV>
              <wp:extent cx="1191895" cy="397510"/>
              <wp:effectExtent l="0" t="0" r="0" b="0"/>
              <wp:wrapNone/>
              <wp:docPr id="1218427651" name="Prostokąt 1218427651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4340" y="3595533"/>
                        <a:ext cx="11633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D4C5C" w14:textId="77777777" w:rsidR="00B51DB6" w:rsidRDefault="003343D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CCEB9C" id="Prostokąt 1218427651" o:spid="_x0000_s1027" alt="Informacje Jawne" style="position:absolute;margin-left:357pt;margin-top:0;width:93.85pt;height:31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" filled="f" stroked="f">
              <v:textbox inset="0,0,20pt,15pt">
                <w:txbxContent>
                  <w:p w14:paraId="497D4C5C" w14:textId="77777777" w:rsidR="00B51DB6" w:rsidRDefault="003343D6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0A354D4" wp14:editId="64F9F7EB">
              <wp:simplePos x="0" y="0"/>
              <wp:positionH relativeFrom="column">
                <wp:posOffset>114300</wp:posOffset>
              </wp:positionH>
              <wp:positionV relativeFrom="paragraph">
                <wp:posOffset>45720</wp:posOffset>
              </wp:positionV>
              <wp:extent cx="4619625" cy="1433195"/>
              <wp:effectExtent l="0" t="0" r="0" b="0"/>
              <wp:wrapSquare wrapText="bothSides" distT="45720" distB="45720" distL="114300" distR="114300"/>
              <wp:docPr id="1218427653" name="Prostokąt 12184276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A0916F" w14:textId="77777777" w:rsidR="00B51DB6" w:rsidRDefault="003343D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17F81E00" w14:textId="77777777" w:rsidR="00B51DB6" w:rsidRPr="00F04796" w:rsidRDefault="003343D6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F04796"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F04796">
                            <w:rPr>
                              <w:rFonts w:ascii="Calibri" w:eastAsia="Calibri" w:hAnsi="Calibri" w:cs="Calibri"/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354D4" id="Prostokąt 1218427653" o:spid="_x0000_s1028" style="position:absolute;margin-left:9pt;margin-top:3.6pt;width:363.75pt;height:112.8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" stroked="f">
              <v:textbox inset="2.53958mm,1.2694mm,2.53958mm,1.2694mm">
                <w:txbxContent>
                  <w:p w14:paraId="51A0916F" w14:textId="77777777" w:rsidR="00B51DB6" w:rsidRDefault="003343D6">
                    <w:pPr>
                      <w:spacing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BFBFBF"/>
                        <w:sz w:val="16"/>
                      </w:rPr>
                      <w:t xml:space="preserve">Biuro Informacji Gospodarczej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BFBFBF"/>
                        <w:sz w:val="16"/>
                      </w:rPr>
                      <w:t>InfoMonitor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BFBFBF"/>
                        <w:sz w:val="16"/>
                      </w:rPr>
                      <w:t xml:space="preserve"> S.A</w:t>
                    </w:r>
                    <w:r>
                      <w:rPr>
                        <w:rFonts w:ascii="Calibri" w:eastAsia="Calibri" w:hAnsi="Calibri" w:cs="Calibri"/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17F81E00" w14:textId="77777777" w:rsidR="00B51DB6" w:rsidRPr="00F04796" w:rsidRDefault="003343D6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F04796">
                      <w:rPr>
                        <w:rFonts w:ascii="Calibri" w:eastAsia="Calibri" w:hAnsi="Calibri" w:cs="Calibri"/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F04796">
                      <w:rPr>
                        <w:rFonts w:ascii="Calibri" w:eastAsia="Calibri" w:hAnsi="Calibri" w:cs="Calibri"/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64A8E755" wp14:editId="3EBF9679">
              <wp:simplePos x="0" y="0"/>
              <wp:positionH relativeFrom="column">
                <wp:posOffset>3632200</wp:posOffset>
              </wp:positionH>
              <wp:positionV relativeFrom="paragraph">
                <wp:posOffset>0</wp:posOffset>
              </wp:positionV>
              <wp:extent cx="1182370" cy="387985"/>
              <wp:effectExtent l="0" t="0" r="0" b="0"/>
              <wp:wrapNone/>
              <wp:docPr id="1218427652" name="Prostokąt 1218427652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4340" y="3595533"/>
                        <a:ext cx="11633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B3F24" w14:textId="77777777" w:rsidR="00B51DB6" w:rsidRDefault="003343D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A8E755" id="Prostokąt 1218427652" o:spid="_x0000_s1029" alt="Informacje Jawne" style="position:absolute;margin-left:286pt;margin-top:0;width:93.1pt;height:30.5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" filled="f" stroked="f">
              <v:textbox inset="0,0,20pt,15pt">
                <w:txbxContent>
                  <w:p w14:paraId="376B3F24" w14:textId="77777777" w:rsidR="00B51DB6" w:rsidRDefault="003343D6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4BC4" w14:textId="77777777" w:rsidR="00B51DB6" w:rsidRDefault="003343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hidden="0" allowOverlap="1" wp14:anchorId="56FC7DB1" wp14:editId="2F6ED20F">
              <wp:simplePos x="0" y="0"/>
              <wp:positionH relativeFrom="column">
                <wp:posOffset>3632200</wp:posOffset>
              </wp:positionH>
              <wp:positionV relativeFrom="paragraph">
                <wp:posOffset>0</wp:posOffset>
              </wp:positionV>
              <wp:extent cx="1182370" cy="387985"/>
              <wp:effectExtent l="0" t="0" r="0" b="0"/>
              <wp:wrapNone/>
              <wp:docPr id="1218427654" name="Prostokąt 1218427654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4340" y="3595533"/>
                        <a:ext cx="11633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07601" w14:textId="77777777" w:rsidR="00B51DB6" w:rsidRDefault="003343D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C7DB1" id="Prostokąt 1218427654" o:spid="_x0000_s1030" alt="Informacje Jawne" style="position:absolute;margin-left:286pt;margin-top:0;width:93.1pt;height:30.5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" filled="f" stroked="f">
              <v:textbox inset="0,0,20pt,15pt">
                <w:txbxContent>
                  <w:p w14:paraId="59207601" w14:textId="77777777" w:rsidR="00B51DB6" w:rsidRDefault="003343D6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EA24" w14:textId="77777777" w:rsidR="00E07487" w:rsidRDefault="00E07487">
      <w:pPr>
        <w:spacing w:line="240" w:lineRule="auto"/>
      </w:pPr>
      <w:r>
        <w:separator/>
      </w:r>
    </w:p>
  </w:footnote>
  <w:footnote w:type="continuationSeparator" w:id="0">
    <w:p w14:paraId="2F09DF4A" w14:textId="77777777" w:rsidR="00E07487" w:rsidRDefault="00E07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50C" w14:textId="77777777" w:rsidR="00B51DB6" w:rsidRDefault="003343D6">
    <w:r>
      <w:rPr>
        <w:noProof/>
      </w:rPr>
      <w:drawing>
        <wp:anchor distT="0" distB="0" distL="0" distR="0" simplePos="0" relativeHeight="251658240" behindDoc="0" locked="0" layoutInCell="1" hidden="0" allowOverlap="1" wp14:anchorId="60289E8E" wp14:editId="1157945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266950" cy="1197584"/>
          <wp:effectExtent l="0" t="0" r="0" b="0"/>
          <wp:wrapTopAndBottom distT="0" distB="0"/>
          <wp:docPr id="12184276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BFC"/>
    <w:multiLevelType w:val="multilevel"/>
    <w:tmpl w:val="5EF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C3C9A"/>
    <w:multiLevelType w:val="multilevel"/>
    <w:tmpl w:val="346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4186C"/>
    <w:multiLevelType w:val="multilevel"/>
    <w:tmpl w:val="51E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898575">
    <w:abstractNumId w:val="1"/>
  </w:num>
  <w:num w:numId="2" w16cid:durableId="1211723080">
    <w:abstractNumId w:val="2"/>
  </w:num>
  <w:num w:numId="3" w16cid:durableId="44882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B6"/>
    <w:rsid w:val="000163C8"/>
    <w:rsid w:val="00020064"/>
    <w:rsid w:val="000337B3"/>
    <w:rsid w:val="00060BB7"/>
    <w:rsid w:val="000857A0"/>
    <w:rsid w:val="00096FD4"/>
    <w:rsid w:val="000A574C"/>
    <w:rsid w:val="000A7D2B"/>
    <w:rsid w:val="000D4D53"/>
    <w:rsid w:val="000F277E"/>
    <w:rsid w:val="00102F97"/>
    <w:rsid w:val="0010456D"/>
    <w:rsid w:val="00104D68"/>
    <w:rsid w:val="00122945"/>
    <w:rsid w:val="001266B9"/>
    <w:rsid w:val="0017647C"/>
    <w:rsid w:val="00185861"/>
    <w:rsid w:val="001A13CE"/>
    <w:rsid w:val="001A2C00"/>
    <w:rsid w:val="001A7714"/>
    <w:rsid w:val="001C19A4"/>
    <w:rsid w:val="001C5B2F"/>
    <w:rsid w:val="001D221D"/>
    <w:rsid w:val="001E59B4"/>
    <w:rsid w:val="00220232"/>
    <w:rsid w:val="00233EE7"/>
    <w:rsid w:val="002447F9"/>
    <w:rsid w:val="00245959"/>
    <w:rsid w:val="0025001B"/>
    <w:rsid w:val="002519DE"/>
    <w:rsid w:val="00264638"/>
    <w:rsid w:val="00265EDD"/>
    <w:rsid w:val="002827A4"/>
    <w:rsid w:val="002E600E"/>
    <w:rsid w:val="002F1E8A"/>
    <w:rsid w:val="002F799C"/>
    <w:rsid w:val="00322928"/>
    <w:rsid w:val="003250DF"/>
    <w:rsid w:val="00333155"/>
    <w:rsid w:val="00333AEF"/>
    <w:rsid w:val="003343D6"/>
    <w:rsid w:val="00342701"/>
    <w:rsid w:val="0035333A"/>
    <w:rsid w:val="00361F43"/>
    <w:rsid w:val="00375A0E"/>
    <w:rsid w:val="003A69F4"/>
    <w:rsid w:val="003D0583"/>
    <w:rsid w:val="003D0D3B"/>
    <w:rsid w:val="003E0990"/>
    <w:rsid w:val="003E3417"/>
    <w:rsid w:val="003F6E10"/>
    <w:rsid w:val="00402F54"/>
    <w:rsid w:val="00403B13"/>
    <w:rsid w:val="004045E9"/>
    <w:rsid w:val="00436C73"/>
    <w:rsid w:val="00437EA6"/>
    <w:rsid w:val="004466F6"/>
    <w:rsid w:val="0046552C"/>
    <w:rsid w:val="00467A14"/>
    <w:rsid w:val="00482B4D"/>
    <w:rsid w:val="004A6750"/>
    <w:rsid w:val="004D1EBB"/>
    <w:rsid w:val="004E0EE1"/>
    <w:rsid w:val="00500913"/>
    <w:rsid w:val="00505DC6"/>
    <w:rsid w:val="0053244C"/>
    <w:rsid w:val="00556ABC"/>
    <w:rsid w:val="00565E35"/>
    <w:rsid w:val="00572A35"/>
    <w:rsid w:val="00582D88"/>
    <w:rsid w:val="005A698F"/>
    <w:rsid w:val="005B20E9"/>
    <w:rsid w:val="005C1BE4"/>
    <w:rsid w:val="005D3211"/>
    <w:rsid w:val="005F0C50"/>
    <w:rsid w:val="005F4599"/>
    <w:rsid w:val="00635D1B"/>
    <w:rsid w:val="0064531B"/>
    <w:rsid w:val="00657EEA"/>
    <w:rsid w:val="006A2570"/>
    <w:rsid w:val="006E0F27"/>
    <w:rsid w:val="006E19BB"/>
    <w:rsid w:val="006E5767"/>
    <w:rsid w:val="006F1EBF"/>
    <w:rsid w:val="006F2EDC"/>
    <w:rsid w:val="006F71D2"/>
    <w:rsid w:val="00703FBA"/>
    <w:rsid w:val="00751E24"/>
    <w:rsid w:val="007531DC"/>
    <w:rsid w:val="00754C81"/>
    <w:rsid w:val="00761531"/>
    <w:rsid w:val="00794D6B"/>
    <w:rsid w:val="007A169D"/>
    <w:rsid w:val="00802DEB"/>
    <w:rsid w:val="00817298"/>
    <w:rsid w:val="00820E26"/>
    <w:rsid w:val="00844A6F"/>
    <w:rsid w:val="00852D3C"/>
    <w:rsid w:val="0085534C"/>
    <w:rsid w:val="00864EFA"/>
    <w:rsid w:val="00871DDA"/>
    <w:rsid w:val="008801E6"/>
    <w:rsid w:val="008A1C69"/>
    <w:rsid w:val="008A578D"/>
    <w:rsid w:val="008A6BE4"/>
    <w:rsid w:val="008B003F"/>
    <w:rsid w:val="008B179D"/>
    <w:rsid w:val="008C2B03"/>
    <w:rsid w:val="008D0B40"/>
    <w:rsid w:val="008D1115"/>
    <w:rsid w:val="008E38EF"/>
    <w:rsid w:val="008F125C"/>
    <w:rsid w:val="008F5BCB"/>
    <w:rsid w:val="00917F76"/>
    <w:rsid w:val="00984676"/>
    <w:rsid w:val="009958D5"/>
    <w:rsid w:val="009C1772"/>
    <w:rsid w:val="009C6E9B"/>
    <w:rsid w:val="009E5E03"/>
    <w:rsid w:val="009F128B"/>
    <w:rsid w:val="00A05E9D"/>
    <w:rsid w:val="00A11A94"/>
    <w:rsid w:val="00A7069A"/>
    <w:rsid w:val="00A72B3A"/>
    <w:rsid w:val="00A93CC4"/>
    <w:rsid w:val="00AA5EEB"/>
    <w:rsid w:val="00AA7DB8"/>
    <w:rsid w:val="00AB2279"/>
    <w:rsid w:val="00AC0892"/>
    <w:rsid w:val="00AD5305"/>
    <w:rsid w:val="00AD6D89"/>
    <w:rsid w:val="00AE14EB"/>
    <w:rsid w:val="00AE256D"/>
    <w:rsid w:val="00B00634"/>
    <w:rsid w:val="00B046C0"/>
    <w:rsid w:val="00B32B6E"/>
    <w:rsid w:val="00B51DB6"/>
    <w:rsid w:val="00B62E27"/>
    <w:rsid w:val="00B976F1"/>
    <w:rsid w:val="00BA1C9E"/>
    <w:rsid w:val="00BB0F52"/>
    <w:rsid w:val="00BC2BD8"/>
    <w:rsid w:val="00BC2EAC"/>
    <w:rsid w:val="00BC43E2"/>
    <w:rsid w:val="00BD0232"/>
    <w:rsid w:val="00BD17FD"/>
    <w:rsid w:val="00BE4F5F"/>
    <w:rsid w:val="00BF4EAB"/>
    <w:rsid w:val="00BF576D"/>
    <w:rsid w:val="00C00D6F"/>
    <w:rsid w:val="00C41085"/>
    <w:rsid w:val="00C414EE"/>
    <w:rsid w:val="00C514F4"/>
    <w:rsid w:val="00C63CA5"/>
    <w:rsid w:val="00C74F10"/>
    <w:rsid w:val="00C77043"/>
    <w:rsid w:val="00CA59BE"/>
    <w:rsid w:val="00CB6501"/>
    <w:rsid w:val="00D41D08"/>
    <w:rsid w:val="00D543B7"/>
    <w:rsid w:val="00D66787"/>
    <w:rsid w:val="00D8529A"/>
    <w:rsid w:val="00DA0A25"/>
    <w:rsid w:val="00DA6EC3"/>
    <w:rsid w:val="00DC1FBF"/>
    <w:rsid w:val="00DD70DF"/>
    <w:rsid w:val="00DE3C7C"/>
    <w:rsid w:val="00E07487"/>
    <w:rsid w:val="00E102FF"/>
    <w:rsid w:val="00E338A7"/>
    <w:rsid w:val="00E447CB"/>
    <w:rsid w:val="00E623D9"/>
    <w:rsid w:val="00EB65C3"/>
    <w:rsid w:val="00EB7DE1"/>
    <w:rsid w:val="00EC050F"/>
    <w:rsid w:val="00EC4C39"/>
    <w:rsid w:val="00EE17CF"/>
    <w:rsid w:val="00EE3DE9"/>
    <w:rsid w:val="00EE4C21"/>
    <w:rsid w:val="00EF44A3"/>
    <w:rsid w:val="00F04796"/>
    <w:rsid w:val="00F136BE"/>
    <w:rsid w:val="00F13C2D"/>
    <w:rsid w:val="00F2117F"/>
    <w:rsid w:val="00F23991"/>
    <w:rsid w:val="00F30204"/>
    <w:rsid w:val="00F55675"/>
    <w:rsid w:val="00F55E42"/>
    <w:rsid w:val="00F74BEA"/>
    <w:rsid w:val="00F95F38"/>
    <w:rsid w:val="00F96C87"/>
    <w:rsid w:val="00FB0516"/>
    <w:rsid w:val="00FB690D"/>
    <w:rsid w:val="00FD7F60"/>
    <w:rsid w:val="00FE42A2"/>
    <w:rsid w:val="00FF24F4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3D25"/>
  <w15:docId w15:val="{A32A8913-B6CC-4AF4-B983-483A40A4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404B2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B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B5A"/>
  </w:style>
  <w:style w:type="paragraph" w:styleId="Poprawka">
    <w:name w:val="Revision"/>
    <w:hidden/>
    <w:uiPriority w:val="99"/>
    <w:semiHidden/>
    <w:rsid w:val="00217B5A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15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6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D237EE"/>
  </w:style>
  <w:style w:type="paragraph" w:styleId="NormalnyWeb">
    <w:name w:val="Normal (Web)"/>
    <w:basedOn w:val="Normalny"/>
    <w:uiPriority w:val="99"/>
    <w:semiHidden/>
    <w:unhideWhenUsed/>
    <w:rsid w:val="00F26C05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26C05"/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A6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B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B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B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g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big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tzaTQFF3HODrojiGW1RimioyQ==">CgMxLjA4AHIhMTNsdkFzVHhJSENqWlBPSlNMZHQtRzhDS1BjRDF0Ni1F</go:docsCustomData>
</go:gDocsCustomXmlDataStorage>
</file>

<file path=customXml/itemProps1.xml><?xml version="1.0" encoding="utf-8"?>
<ds:datastoreItem xmlns:ds="http://schemas.openxmlformats.org/officeDocument/2006/customXml" ds:itemID="{E7822067-E849-4BA6-8994-B9D2888C4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Borowiecka Diana</cp:lastModifiedBy>
  <cp:revision>34</cp:revision>
  <dcterms:created xsi:type="dcterms:W3CDTF">2025-10-13T16:53:00Z</dcterms:created>
  <dcterms:modified xsi:type="dcterms:W3CDTF">2025-10-17T15:02:00Z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2f2732e,489fbafc,29de4db4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2024-10-15T10:12:18Z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47910aa5-731d-40f6-8bac-452fa7d34b06</vt:lpwstr>
  </property>
  <property fmtid="{D5CDD505-2E9C-101B-9397-08002B2CF9AE}" pid="11" name="MSIP_Label_1391a466-f120-4668-a5e5-7af4d8a99d82_ContentBits">
    <vt:lpwstr>2</vt:lpwstr>
  </property>
</Properties>
</file>