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073763"/>
          <w:sz w:val="32"/>
          <w:szCs w:val="32"/>
        </w:rPr>
      </w:pPr>
      <w:r w:rsidDel="00000000" w:rsidR="00000000" w:rsidRPr="00000000">
        <w:rPr>
          <w:rFonts w:ascii="Calibri" w:cs="Calibri" w:eastAsia="Calibri" w:hAnsi="Calibri"/>
          <w:b w:val="1"/>
          <w:color w:val="073763"/>
          <w:sz w:val="32"/>
          <w:szCs w:val="32"/>
          <w:rtl w:val="0"/>
        </w:rPr>
        <w:t xml:space="preserve">The construction market in Vietnam expects annual growth of 9.8% in 2025 and bets on Sarens as a reliable partner for the growth and development of the national economy</w:t>
      </w:r>
    </w:p>
    <w:p w:rsidR="00000000" w:rsidDel="00000000" w:rsidP="00000000" w:rsidRDefault="00000000" w:rsidRPr="00000000" w14:paraId="00000002">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The compound annual growth rate (CAGR) is expected to remain at 7.6% between 2025 and 2029, potentially reaching an approximate value of VND 1,014,795 billion.</w:t>
      </w:r>
    </w:p>
    <w:p w:rsidR="00000000" w:rsidDel="00000000" w:rsidP="00000000" w:rsidRDefault="00000000" w:rsidRPr="00000000" w14:paraId="00000004">
      <w:pPr>
        <w:jc w:val="both"/>
        <w:rPr>
          <w:rFonts w:ascii="Calibri" w:cs="Calibri" w:eastAsia="Calibri" w:hAnsi="Calibri"/>
          <w:i w:val="1"/>
          <w:color w:val="073763"/>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The Government’s commitment is reflected in the record allocation of VND 657 billion for public investment in 2025, with more than two-thirds dedicated to key infrastructure projects in the country.</w:t>
      </w:r>
    </w:p>
    <w:p w:rsidR="00000000" w:rsidDel="00000000" w:rsidP="00000000" w:rsidRDefault="00000000" w:rsidRPr="00000000" w14:paraId="00000006">
      <w:pPr>
        <w:jc w:val="both"/>
        <w:rPr>
          <w:rFonts w:ascii="Calibri" w:cs="Calibri" w:eastAsia="Calibri" w:hAnsi="Calibri"/>
          <w:i w:val="1"/>
          <w:color w:val="073763"/>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has been recognized as one of the Top 10 Outstanding Foreign Direct Investment (FDI) Enterprises of Vietnam 2025 by the Institute of Vietnam Economics and Culture (SIDECM) and the Vietnam Consumer Protection Center (CONPROCEN).</w:t>
      </w:r>
    </w:p>
    <w:p w:rsidR="00000000" w:rsidDel="00000000" w:rsidP="00000000" w:rsidRDefault="00000000" w:rsidRPr="00000000" w14:paraId="00000008">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color w:val="073763"/>
          <w:rtl w:val="0"/>
        </w:rPr>
        <w:t xml:space="preserve">The construction market in Vietnam maintains a solid growth trajectory, according to the latest ResearchAndMarkets report. Urbanization, rising incomes, and a steady flow of foreign investment, are anticipating an annual growth of 9.8%, reaching VND 695.6 billion in 2025. Between 2020 and 2024, the market already recorded a compound annual growth rate (CAGR) of 14.9%, and it is expected to remain at 7.6% between 2025 and 2029, potentially reaching an approximate value of VND 1,014,795 billion.</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addition to these figures, there is a boom in transport infrastructure, which is generating a decisive boost for the growth of the construction sector in Vietnam. Public investment in this sector has already been consolidated as one of the pillars of the country’s economic development, stimulating long-term demand and improving regional connectivity. According to the government’s public investment plan, Vietnam aims to have 3,000 kilometers of highways by 2025 and add another 2,000 kilometers by 2030, a goal that positions the country as a key player in the logistics and commercial expansion of Southeast Asia.</w:t>
      </w:r>
    </w:p>
    <w:p w:rsidR="00000000" w:rsidDel="00000000" w:rsidP="00000000" w:rsidRDefault="00000000" w:rsidRPr="00000000" w14:paraId="0000000D">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a context where Vietnam relies on construction as a fundamental pillar for the country’s economic development, Sarens, world leader in heavy lifting, engineered transport and crane rental services, has been recognized as one of the Top 10 Outstanding Foreign Direct Investment (FDI) Enterprises of Vietnam 2025. The award was presented on September 13th, 2025, by the Institute of Vietnam Economics and Culture (SIDECM) and the Vietnam Consumer Protection Center (CONPROCEN) during a ceremony that highlighted the work of the main international companies operating in the country.</w:t>
      </w:r>
    </w:p>
    <w:p w:rsidR="00000000" w:rsidDel="00000000" w:rsidP="00000000" w:rsidRDefault="00000000" w:rsidRPr="00000000" w14:paraId="0000000F">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Over the years, Sarens has contributed to the success of large-scale developments in infrastructure, energy, oil &amp; gas, and wind power, consolidating its role as a reliable partner in Vietnam’s growth and development. The award highlights Sarens’ ability to combine international standards of safety and quality with deep local knowledge, positioning the company as a responsible and trustworthy partner for large-scale projects across the region. Moreover, this recognition coincides with the celebration of 15 years since the establishment of Sarens in Vietnam in 2010, a milestone in the company’s continuous journey to provide high-quality services in some of the country’s most strategic national projects.</w:t>
      </w:r>
    </w:p>
    <w:p w:rsidR="00000000" w:rsidDel="00000000" w:rsidP="00000000" w:rsidRDefault="00000000" w:rsidRPr="00000000" w14:paraId="00000011">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This commitment to infrastructure development is also reflected in the record allocation of VND 657 billion (almost USD 27 billion) for public investment in 2025. More than two-thirds of these funds will be dedicated to key infrastructure projects, reaffirming the country’s commitment to improving its transport, energy, and urban development networks. In this context, the Government has emphasized the need to implement solutions that accelerate project execution without compromising construction quality and safety, thereby consolidating the sector’s role as a strategic driver of sustainable growth and Vietnam’s competitiveness in the region.</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ff0000"/>
        </w:rPr>
      </w:pPr>
      <w:r w:rsidDel="00000000" w:rsidR="00000000" w:rsidRPr="00000000">
        <w:rPr>
          <w:rFonts w:ascii="Calibri" w:cs="Calibri" w:eastAsia="Calibri" w:hAnsi="Calibri"/>
          <w:color w:val="073763"/>
          <w:rtl w:val="0"/>
        </w:rPr>
        <w:t xml:space="preserve">According to Truong Nguyen Hoang Tien, Vietnam Country Manager, "Receiving this award is both an honour and a testament to the dedication of our team in Vietnam. This recognition reflects not only Sarens' global expertise, but also our strong commitment to the country's economic and industrial progress. Looking ahead, Sarens will continue to promote the values of safety, reliability and innovation, contributing its expertise to Vietnam's cultural, economic and industrial development, helping the country to consolidate its position as one of the most promising emerging markets in Asia in terms of infrastructure and urban development".</w:t>
      </w:r>
      <w:r w:rsidDel="00000000" w:rsidR="00000000" w:rsidRPr="00000000">
        <w:rPr>
          <w:rtl w:val="0"/>
        </w:rPr>
      </w:r>
    </w:p>
    <w:p w:rsidR="00000000" w:rsidDel="00000000" w:rsidP="00000000" w:rsidRDefault="00000000" w:rsidRPr="00000000" w14:paraId="00000015">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already has extensive experience in the construction industry both nationally and internationally. Its state-of-the-art machinery and team of professionals have already contributed their expertise to strategically important projects such as the Balikpapan refinery in Kalimantan, Indonesia, and the Glenn Innes wind farm in New South Wales, where it installed the tallest wind turbine towers in Australia. Sarens was also recently commissioned by PTSC M&amp;C for the load out of an LQUP jacket weighing more than 4,500 tonnes in Vietnam that will be dedicated to the extraction of oil and gas in the Bay of Bengal.</w:t>
      </w:r>
    </w:p>
    <w:p w:rsidR="00000000" w:rsidDel="00000000" w:rsidP="00000000" w:rsidRDefault="00000000" w:rsidRPr="00000000" w14:paraId="00000017">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Since the 2000s, Sarens Vietnam has established its reputation through more than 100 major projects, notably: the Long Son, Nghi Son, and Dung Quat Petrochemical and Refinery complexes; major power plants including Quang Trach 1, Nhon Trach 1, 2, 3, 4, Duyen Hai 1, 2, &amp; 3, Vinh Tan 2 &amp; 4, Nghi Son 2, Vung Ang 2, Mong Duong 1, Van Phong 1, Long Phu 1, and Song Hau 1; landmark infrastructure such as Long Thanh International Airport, Noi Bai International Airport, HCMC tidal gates, the National Assembly House, and Binh Duong Political Center; and wind power projects including Dam Nai 1, Trung Nam 2, and Ca Mau 1A &amp; 1C. </w:t>
      </w:r>
    </w:p>
    <w:p w:rsidR="00000000" w:rsidDel="00000000" w:rsidP="00000000" w:rsidRDefault="00000000" w:rsidRPr="00000000" w14:paraId="00000019">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oil &amp; gas and offshore wind, Sarens has, together with local EPC contractors, successfully executed large-scale projects both domestically and internationally, such as Block B Gas Development, Bien Dong 1 Gas Field Development, the Su Tu Den/Trang/Nau/Vang Oil Fields, the Te Giac Trang Oil Fields, while partnering with leading Vietnamese contractors including PTSC, Vietsovpetro, Lilama, ATAD, and DDC to deliver world-class projects like the Gallaf Gas Development in Qatar, Greater Changhua 2204 Offshore Wind in Taiwan, Ghana FPSO, and Zawtika in Myanmar.</w:t>
      </w:r>
    </w:p>
    <w:p w:rsidR="00000000" w:rsidDel="00000000" w:rsidP="00000000" w:rsidRDefault="00000000" w:rsidRPr="00000000" w14:paraId="0000001B">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About Sarens </w:t>
      </w:r>
    </w:p>
    <w:p w:rsidR="00000000" w:rsidDel="00000000" w:rsidP="00000000" w:rsidRDefault="00000000" w:rsidRPr="00000000" w14:paraId="0000001E">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F">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Fonts w:ascii="Calibri" w:cs="Calibri" w:eastAsia="Calibri" w:hAnsi="Calibri"/>
          <w:color w:val="073763"/>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TQluzB19pzeS5OepyMT8LRsdA==">CgMxLjA4AHIhMWVMakZGUHRtU0pFTnZuam94ajBTOGpYSUZhN29INUZF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